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1412E1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E43C9B">
      <w:pPr>
        <w:suppressAutoHyphens w:val="0"/>
        <w:spacing w:line="276" w:lineRule="auto"/>
        <w:ind w:left="426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FC319B" w:rsidRDefault="002D5940" w:rsidP="00E43C9B">
      <w:pPr>
        <w:suppressAutoHyphens w:val="0"/>
        <w:spacing w:line="276" w:lineRule="auto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:rsidR="002D5940" w:rsidRPr="00FC319B" w:rsidRDefault="002D5940" w:rsidP="00E43C9B">
      <w:pPr>
        <w:suppressAutoHyphens w:val="0"/>
        <w:spacing w:line="276" w:lineRule="auto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FC319B" w:rsidRDefault="002D5940" w:rsidP="00E43C9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:rsidR="002D5940" w:rsidRPr="00FC319B" w:rsidRDefault="002D5940" w:rsidP="00E43C9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78120 RAMBOUILLET</w:t>
      </w:r>
    </w:p>
    <w:p w:rsidR="002D5940" w:rsidRPr="00FC319B" w:rsidRDefault="002D5940" w:rsidP="00E43C9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5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FC319B" w:rsidRDefault="002D5940" w:rsidP="00E43C9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6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FC319B" w:rsidRDefault="002D5940" w:rsidP="00E43C9B">
      <w:pPr>
        <w:spacing w:line="276" w:lineRule="auto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7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  <w:bookmarkStart w:id="0" w:name="_GoBack"/>
      <w:bookmarkEnd w:id="0"/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10331" w:type="dxa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AD7F60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E43C9B" w:rsidRDefault="00E43C9B" w:rsidP="00E43C9B">
      <w:pPr>
        <w:shd w:val="clear" w:color="auto" w:fill="FFFFFF" w:themeFill="background1"/>
        <w:spacing w:line="276" w:lineRule="auto"/>
        <w:ind w:left="284" w:right="254"/>
        <w:jc w:val="center"/>
        <w:rPr>
          <w:rFonts w:cs="Arial"/>
          <w:b/>
          <w:color w:val="FF0000"/>
          <w:sz w:val="24"/>
        </w:rPr>
      </w:pPr>
    </w:p>
    <w:p w:rsidR="00AD7F60" w:rsidRPr="00E43C9B" w:rsidRDefault="00AD7F60" w:rsidP="00940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ind w:left="284" w:right="254"/>
        <w:jc w:val="center"/>
        <w:rPr>
          <w:rFonts w:ascii="Arial" w:hAnsi="Arial" w:cs="Arial"/>
          <w:b/>
          <w:color w:val="000000" w:themeColor="text1"/>
          <w:sz w:val="24"/>
        </w:rPr>
      </w:pPr>
      <w:r w:rsidRPr="00E43C9B">
        <w:rPr>
          <w:rFonts w:ascii="Arial" w:hAnsi="Arial" w:cs="Arial"/>
          <w:b/>
          <w:color w:val="000000" w:themeColor="text1"/>
          <w:sz w:val="24"/>
        </w:rPr>
        <w:t xml:space="preserve">Fabrication de </w:t>
      </w:r>
      <w:r w:rsidR="00E43C9B">
        <w:rPr>
          <w:rFonts w:ascii="Arial" w:hAnsi="Arial" w:cs="Arial"/>
          <w:b/>
          <w:color w:val="000000" w:themeColor="text1"/>
          <w:sz w:val="24"/>
        </w:rPr>
        <w:t>t</w:t>
      </w:r>
      <w:r w:rsidRPr="00E43C9B">
        <w:rPr>
          <w:rFonts w:ascii="Arial" w:hAnsi="Arial" w:cs="Arial"/>
          <w:b/>
          <w:color w:val="000000" w:themeColor="text1"/>
          <w:sz w:val="24"/>
        </w:rPr>
        <w:t>enues pour le personnel des forces spéciales de l’armée de l’air et de l’espace</w:t>
      </w: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8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:rsidR="004A0FA9" w:rsidRPr="004A0FA9" w:rsidRDefault="004A0FA9" w:rsidP="004A0FA9"/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:rsidTr="004A0FA9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:rsidR="00F27BB1" w:rsidRPr="00D86122" w:rsidRDefault="00F27BB1" w:rsidP="00D86122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174E37">
        <w:rPr>
          <w:rFonts w:ascii="Arial" w:hAnsi="Arial" w:cs="Arial"/>
          <w:b w:val="0"/>
          <w:bCs w:val="0"/>
        </w:rPr>
        <w:t>La candidature est présentée </w:t>
      </w:r>
      <w:r w:rsidR="00D86122" w:rsidRPr="00D86122">
        <w:rPr>
          <w:rFonts w:ascii="Arial" w:hAnsi="Arial" w:cs="Arial"/>
          <w:b w:val="0"/>
          <w:bCs w:val="0"/>
        </w:rPr>
        <w:t>pour</w:t>
      </w:r>
      <w:r w:rsidRPr="00D86122">
        <w:rPr>
          <w:rFonts w:ascii="Arial" w:hAnsi="Arial" w:cs="Arial"/>
          <w:b w:val="0"/>
        </w:rPr>
        <w:t xml:space="preserve"> la procédure de passation </w:t>
      </w:r>
      <w:r w:rsidR="00AD7F60" w:rsidRPr="00D86122">
        <w:rPr>
          <w:rFonts w:ascii="Arial" w:hAnsi="Arial" w:cs="Arial"/>
          <w:b w:val="0"/>
        </w:rPr>
        <w:t>de l’accord cadre</w:t>
      </w:r>
      <w:r w:rsidR="00D86122">
        <w:rPr>
          <w:rFonts w:ascii="Arial" w:hAnsi="Arial" w:cs="Arial"/>
          <w:b w:val="0"/>
        </w:rPr>
        <w:t>.</w:t>
      </w:r>
    </w:p>
    <w:p w:rsidR="00E43C9B" w:rsidRDefault="00E43C9B">
      <w:pPr>
        <w:suppressAutoHyphens w:val="0"/>
        <w:rPr>
          <w:rFonts w:ascii="Arial" w:eastAsia="Wingdings" w:hAnsi="Arial" w:cs="Arial"/>
          <w:spacing w:val="-10"/>
        </w:rPr>
      </w:pPr>
      <w:r>
        <w:rPr>
          <w:rFonts w:ascii="Arial" w:eastAsia="Wingdings" w:hAnsi="Arial" w:cs="Arial"/>
          <w:spacing w:val="-10"/>
        </w:rPr>
        <w:br w:type="page"/>
      </w: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940824">
        <w:rPr>
          <w:rFonts w:ascii="Arial" w:hAnsi="Arial" w:cs="Arial"/>
        </w:rPr>
      </w:r>
      <w:r w:rsidR="00940824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940824">
        <w:rPr>
          <w:rFonts w:ascii="Arial" w:hAnsi="Arial" w:cs="Arial"/>
        </w:rPr>
      </w:r>
      <w:r w:rsidR="00940824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940824">
        <w:rPr>
          <w:rFonts w:ascii="Arial" w:hAnsi="Arial" w:cs="Arial"/>
        </w:rPr>
      </w:r>
      <w:r w:rsidR="00940824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940824">
        <w:rPr>
          <w:rFonts w:ascii="Arial" w:hAnsi="Arial" w:cs="Arial"/>
        </w:rPr>
      </w:r>
      <w:r w:rsidR="00940824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940824">
        <w:rPr>
          <w:rFonts w:ascii="Arial" w:hAnsi="Arial" w:cs="Arial"/>
        </w:rPr>
      </w:r>
      <w:r w:rsidR="00940824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B41C9B" w:rsidRPr="00174E37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DERNIERS EX</w:t>
            </w:r>
            <w:r w:rsidR="00B41C9B" w:rsidRPr="00174E37">
              <w:rPr>
                <w:rFonts w:ascii="Arial" w:hAnsi="Arial" w:cs="Arial"/>
                <w:b/>
              </w:rPr>
              <w:t>ERCICES DISPONIBLES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E43C9B" w:rsidRDefault="00AD7F60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E43C9B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E43C9B" w:rsidRDefault="00AD7F60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E43C9B">
              <w:rPr>
                <w:rFonts w:ascii="Arial" w:hAnsi="Arial" w:cs="Arial"/>
                <w:color w:val="000000" w:themeColor="text1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E43C9B" w:rsidRDefault="00AD7F60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E43C9B">
              <w:rPr>
                <w:rFonts w:ascii="Arial" w:hAnsi="Arial" w:cs="Arial"/>
                <w:color w:val="000000" w:themeColor="text1"/>
              </w:rPr>
              <w:t>2024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14" w:rsidRDefault="00CD3714">
      <w:r>
        <w:separator/>
      </w:r>
    </w:p>
  </w:endnote>
  <w:endnote w:type="continuationSeparator" w:id="0">
    <w:p w:rsidR="00CD3714" w:rsidRDefault="00C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C9B" w:rsidRDefault="00E43C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E43C9B" w:rsidRDefault="00BE40BB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</w:pPr>
          <w:r w:rsidRPr="00E43C9B"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E43C9B" w:rsidRDefault="00AD7F60" w:rsidP="00AD7F60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000000" w:themeColor="text1"/>
            </w:rPr>
          </w:pPr>
          <w:r w:rsidRPr="00E43C9B">
            <w:rPr>
              <w:rFonts w:ascii="Marianne" w:hAnsi="Marianne" w:cs="Arial"/>
              <w:b/>
              <w:bCs/>
              <w:color w:val="000000" w:themeColor="text1"/>
            </w:rPr>
            <w:t>DAF 2025_000216</w:t>
          </w:r>
        </w:p>
      </w:tc>
      <w:tc>
        <w:tcPr>
          <w:tcW w:w="949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40824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FB219B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40824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C9B" w:rsidRDefault="00E43C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14" w:rsidRDefault="00CD3714">
      <w:r>
        <w:separator/>
      </w:r>
    </w:p>
  </w:footnote>
  <w:footnote w:type="continuationSeparator" w:id="0">
    <w:p w:rsidR="00CD3714" w:rsidRDefault="00CD3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C9B" w:rsidRDefault="00E43C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C9B" w:rsidRDefault="00E43C9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C9B" w:rsidRDefault="00E43C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30041"/>
    <w:rsid w:val="00940824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D7F60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21AD8"/>
    <w:rsid w:val="00D317D6"/>
    <w:rsid w:val="00D40985"/>
    <w:rsid w:val="00D436D9"/>
    <w:rsid w:val="00D63EF7"/>
    <w:rsid w:val="00D71D47"/>
    <w:rsid w:val="00D82167"/>
    <w:rsid w:val="00D86122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3C9B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240757BE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arches-publics.gouv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pfc-rbt.contact.fct@intradef.gouv.fr" TargetMode="External"/><Relationship Id="rId23" Type="http://schemas.openxmlformats.org/officeDocument/2006/relationships/customXml" Target="../customXml/item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984DF7-AF8A-4743-81F3-56393FFBC1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BF162-E5DB-49DA-9CCA-D08DA9961ABC}"/>
</file>

<file path=customXml/itemProps3.xml><?xml version="1.0" encoding="utf-8"?>
<ds:datastoreItem xmlns:ds="http://schemas.openxmlformats.org/officeDocument/2006/customXml" ds:itemID="{B305DB36-CE03-45E7-8005-AD37BBC65B52}"/>
</file>

<file path=customXml/itemProps4.xml><?xml version="1.0" encoding="utf-8"?>
<ds:datastoreItem xmlns:ds="http://schemas.openxmlformats.org/officeDocument/2006/customXml" ds:itemID="{BCE689CC-8B22-4214-AC1D-C52D9EA0AC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2196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PEZZIN Laetitia MAJ</cp:lastModifiedBy>
  <cp:revision>25</cp:revision>
  <cp:lastPrinted>2016-11-02T14:02:00Z</cp:lastPrinted>
  <dcterms:created xsi:type="dcterms:W3CDTF">2022-06-01T07:09:00Z</dcterms:created>
  <dcterms:modified xsi:type="dcterms:W3CDTF">2025-03-28T14:32:00Z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