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CE39" w14:textId="77777777" w:rsidR="006E52F7" w:rsidRPr="009E4F1B" w:rsidRDefault="006E52F7" w:rsidP="006E52F7">
      <w:pPr>
        <w:rPr>
          <w:rFonts w:ascii="Arial Narrow" w:hAnsi="Arial Narrow"/>
        </w:rPr>
      </w:pPr>
    </w:p>
    <w:p w14:paraId="00A644E4" w14:textId="77777777" w:rsidR="006E52F7" w:rsidRPr="009E4F1B" w:rsidRDefault="006E52F7" w:rsidP="006E52F7">
      <w:pPr>
        <w:rPr>
          <w:rFonts w:ascii="Arial Narrow" w:hAnsi="Arial Narrow"/>
        </w:rPr>
      </w:pPr>
    </w:p>
    <w:p w14:paraId="05AD8CB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DFAF5B5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4FB107D0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55859618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00DC0744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140F687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E265506" w14:textId="77777777" w:rsidR="006E52F7" w:rsidRPr="009E4F1B" w:rsidRDefault="006E52F7" w:rsidP="006E52F7">
      <w:pPr>
        <w:rPr>
          <w:rFonts w:ascii="Arial Narrow" w:hAnsi="Arial Narrow"/>
        </w:rPr>
      </w:pPr>
    </w:p>
    <w:p w14:paraId="0F989F56" w14:textId="77777777" w:rsidR="006E52F7" w:rsidRPr="009E4F1B" w:rsidRDefault="006E52F7" w:rsidP="006E52F7">
      <w:pPr>
        <w:rPr>
          <w:rFonts w:ascii="Arial Narrow" w:hAnsi="Arial Narrow"/>
        </w:rPr>
      </w:pPr>
    </w:p>
    <w:p w14:paraId="6D256165" w14:textId="77777777"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14:paraId="4ADE3C3F" w14:textId="287CE363" w:rsidR="00C811E6" w:rsidRDefault="008D162F" w:rsidP="002B2D6A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>Marché de travaux d’aménagement de l’exposition temporaire « </w:t>
      </w:r>
      <w:r w:rsidR="002B2D6A" w:rsidRPr="002B2D6A">
        <w:rPr>
          <w:rFonts w:ascii="Arial Narrow" w:hAnsi="Arial Narrow"/>
          <w:sz w:val="28"/>
          <w:szCs w:val="28"/>
        </w:rPr>
        <w:t xml:space="preserve">"BERTHE </w:t>
      </w:r>
      <w:proofErr w:type="gramStart"/>
      <w:r w:rsidR="002B2D6A" w:rsidRPr="002B2D6A">
        <w:rPr>
          <w:rFonts w:ascii="Arial Narrow" w:hAnsi="Arial Narrow"/>
          <w:sz w:val="28"/>
          <w:szCs w:val="28"/>
        </w:rPr>
        <w:t>WEILL:GALERISTE</w:t>
      </w:r>
      <w:proofErr w:type="gramEnd"/>
      <w:r w:rsidR="002B2D6A" w:rsidRPr="002B2D6A">
        <w:rPr>
          <w:rFonts w:ascii="Arial Narrow" w:hAnsi="Arial Narrow"/>
          <w:sz w:val="28"/>
          <w:szCs w:val="28"/>
        </w:rPr>
        <w:t xml:space="preserve"> DE L'AVANT-GARDE PARISIENNE"</w:t>
      </w:r>
      <w:r w:rsidRPr="008D162F">
        <w:rPr>
          <w:rFonts w:ascii="Arial Narrow" w:hAnsi="Arial Narrow"/>
          <w:sz w:val="28"/>
          <w:szCs w:val="28"/>
        </w:rPr>
        <w:t xml:space="preserve"> </w:t>
      </w:r>
    </w:p>
    <w:p w14:paraId="4ABA28C8" w14:textId="6305383B"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281C83">
        <w:rPr>
          <w:rFonts w:ascii="Arial Narrow" w:hAnsi="Arial Narrow"/>
          <w:sz w:val="28"/>
          <w:szCs w:val="28"/>
        </w:rPr>
        <w:t>3</w:t>
      </w:r>
      <w:r w:rsidR="00643210">
        <w:rPr>
          <w:rFonts w:ascii="Arial Narrow" w:hAnsi="Arial Narrow"/>
          <w:sz w:val="28"/>
          <w:szCs w:val="28"/>
        </w:rPr>
        <w:t xml:space="preserve"> : </w:t>
      </w:r>
      <w:r w:rsidR="00281C83">
        <w:rPr>
          <w:rFonts w:ascii="Arial Narrow" w:hAnsi="Arial Narrow"/>
          <w:sz w:val="28"/>
          <w:szCs w:val="28"/>
        </w:rPr>
        <w:t>SIGNALETIQUE</w:t>
      </w:r>
    </w:p>
    <w:p w14:paraId="62BB7013" w14:textId="77777777"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BC76690" w14:textId="77777777"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14:paraId="59E35C12" w14:textId="77777777" w:rsidTr="00935A7F">
        <w:tc>
          <w:tcPr>
            <w:tcW w:w="9062" w:type="dxa"/>
            <w:shd w:val="clear" w:color="auto" w:fill="DEEAF6" w:themeFill="accent1" w:themeFillTint="33"/>
          </w:tcPr>
          <w:p w14:paraId="3BB67E1A" w14:textId="77777777"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10727A" w14:textId="7AE2E7DF"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281C83">
              <w:rPr>
                <w:rFonts w:ascii="Arial Narrow" w:hAnsi="Arial Narrow"/>
                <w:b/>
                <w:sz w:val="22"/>
                <w:szCs w:val="22"/>
              </w:rPr>
              <w:t>2025-196</w:t>
            </w:r>
          </w:p>
          <w:p w14:paraId="090493A8" w14:textId="77777777"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FA145A3" w14:textId="77777777"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8F93B22" w14:textId="77777777"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4C5E54AD" w14:textId="77777777"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14:paraId="024FF59C" w14:textId="77777777"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08E17B2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762FE014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14:paraId="25B45CFF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136074B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7669337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14:paraId="3CE7560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11DC64F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4F1A65CB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14:paraId="42C00592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14:paraId="5BA2904C" w14:textId="77777777"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0686A0C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5D2E51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6AB3AF5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6201AB3C" w14:textId="77777777"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7512FBA7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44D3438" w14:textId="77777777"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50D9409A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39904251" w14:textId="77777777"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579">
        <w:rPr>
          <w:rFonts w:ascii="Arial Narrow" w:hAnsi="Arial Narrow" w:cs="Calibri Light"/>
        </w:rPr>
      </w:r>
      <w:r w:rsidR="009E35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579">
        <w:rPr>
          <w:rFonts w:ascii="Arial Narrow" w:hAnsi="Arial Narrow" w:cs="Calibri Light"/>
        </w:rPr>
      </w:r>
      <w:r w:rsidR="009E35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6E4CE641" w14:textId="77777777"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172A3ABC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4A1C0029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2F3EF1C6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1CCDFA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2509CB67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03CCE233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660E5F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506CA23D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7298CDE2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6B1F3B21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579">
        <w:rPr>
          <w:rFonts w:ascii="Arial Narrow" w:hAnsi="Arial Narrow" w:cs="Calibri Light"/>
        </w:rPr>
      </w:r>
      <w:r w:rsidR="009E35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579">
        <w:rPr>
          <w:rFonts w:ascii="Arial Narrow" w:hAnsi="Arial Narrow" w:cs="Calibri Light"/>
        </w:rPr>
      </w:r>
      <w:r w:rsidR="009E35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1D7C5DA6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47215EBA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663BF2F7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24E4CF10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78E870C6" w14:textId="77777777"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083B6594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579">
        <w:rPr>
          <w:rFonts w:ascii="Arial Narrow" w:hAnsi="Arial Narrow" w:cs="Calibri Light"/>
        </w:rPr>
      </w:r>
      <w:r w:rsidR="009E35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579">
        <w:rPr>
          <w:rFonts w:ascii="Arial Narrow" w:hAnsi="Arial Narrow" w:cs="Calibri Light"/>
        </w:rPr>
      </w:r>
      <w:r w:rsidR="009E35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9B485CD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14:paraId="7E0AFE35" w14:textId="77777777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FBAA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52C7BB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4692852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14:paraId="3B1E8D7F" w14:textId="77777777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6C73DA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95EA9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558D6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62365E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E271C4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D73984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6554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783059B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70A381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E15F7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BD28D49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8FD4DE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AEE3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1184D5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E21927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C246F38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8A178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93A0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B8F1BA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A5F637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CCB8EEF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8374D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A9D50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C04CD0C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6820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5660A5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6A6E13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B1A539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49285DC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F3B2A5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BD505E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65154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D0A1F22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CA3A65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D303C4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855B3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4CF82FE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8592B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FE1DB6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B4DAC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07E13D5E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6FBF29F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6A97B5CB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59262C7F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2885F8BA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36A3C353" w14:textId="77777777"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43891321" w14:textId="77777777"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14:paraId="7CAFB9DE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C7A7487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00D55B0E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579">
        <w:rPr>
          <w:rFonts w:ascii="Arial Narrow" w:hAnsi="Arial Narrow" w:cs="Calibri Light"/>
        </w:rPr>
      </w:r>
      <w:r w:rsidR="009E35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579">
        <w:rPr>
          <w:rFonts w:ascii="Arial Narrow" w:hAnsi="Arial Narrow" w:cs="Calibri Light"/>
        </w:rPr>
      </w:r>
      <w:r w:rsidR="009E3579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1412CCE1" w14:textId="77777777"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304A8E56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74339DE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290FD9D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6024191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14:paraId="63E466D8" w14:textId="77777777"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C4A493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58E8315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EB935A3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24B8B0E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27224D96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14:paraId="6A07417E" w14:textId="77777777"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14:paraId="336872FD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4910232F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B22A2A9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4AC6E60A" w14:textId="60CA91B5" w:rsidR="006E52F7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14:paraId="29F0DC71" w14:textId="7AB4DF79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 ;</w:t>
      </w:r>
    </w:p>
    <w:p w14:paraId="3AA5D78E" w14:textId="37649D3C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>
        <w:rPr>
          <w:rFonts w:ascii="Arial Narrow" w:hAnsi="Arial Narrow"/>
        </w:rPr>
        <w:t>Plans généraux ;</w:t>
      </w:r>
    </w:p>
    <w:p w14:paraId="5644C9CF" w14:textId="77777777" w:rsidR="00E44962" w:rsidRPr="007D2FA3" w:rsidRDefault="00E44962" w:rsidP="00E44962">
      <w:pPr>
        <w:pStyle w:val="Corpsdetexte"/>
        <w:ind w:left="720"/>
        <w:rPr>
          <w:rFonts w:ascii="Arial Narrow" w:hAnsi="Arial Narrow"/>
        </w:rPr>
      </w:pPr>
    </w:p>
    <w:p w14:paraId="1EBFF000" w14:textId="479869A8" w:rsidR="0008711B" w:rsidRDefault="00281C83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Pour le lot 3</w:t>
      </w:r>
      <w:r w:rsidR="0008711B" w:rsidRPr="007F51AC">
        <w:rPr>
          <w:rFonts w:ascii="Arial Narrow" w:hAnsi="Arial Narrow"/>
        </w:rPr>
        <w:t xml:space="preserve"> : </w:t>
      </w:r>
    </w:p>
    <w:p w14:paraId="00F47185" w14:textId="77777777" w:rsidR="00E44962" w:rsidRDefault="00E44962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 plans</w:t>
      </w:r>
    </w:p>
    <w:p w14:paraId="20CE717F" w14:textId="77777777" w:rsidR="00E44962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>
        <w:rPr>
          <w:rFonts w:ascii="Arial Narrow" w:hAnsi="Arial Narrow"/>
        </w:rPr>
        <w:t>s du musée de l’Orangerie ;</w:t>
      </w:r>
    </w:p>
    <w:p w14:paraId="2AE4C9BD" w14:textId="77777777" w:rsidR="00E44962" w:rsidRPr="003209BB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;</w:t>
      </w:r>
    </w:p>
    <w:p w14:paraId="3D61EC44" w14:textId="77777777" w:rsidR="0008711B" w:rsidRPr="007F51AC" w:rsidRDefault="0008711B" w:rsidP="0051426B">
      <w:pPr>
        <w:pStyle w:val="Corpsdetexte"/>
        <w:rPr>
          <w:rFonts w:ascii="Arial Narrow" w:hAnsi="Arial Narrow"/>
        </w:rPr>
      </w:pPr>
    </w:p>
    <w:p w14:paraId="70B1B29C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14:paraId="6C1DF691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4890818" w14:textId="77777777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8085E75" w14:textId="77777777"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41C6AE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313DBC78" w14:textId="46FEC1AD"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2B2D6A">
        <w:rPr>
          <w:rFonts w:ascii="Arial Narrow" w:hAnsi="Arial Narrow"/>
        </w:rPr>
        <w:t>10 février 2026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14:paraId="287402F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</w:p>
    <w:p w14:paraId="05A185A3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20906687" w14:textId="77777777"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BA183E" w14:textId="332E13DE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9E3579">
        <w:rPr>
          <w:rFonts w:ascii="Arial Narrow" w:hAnsi="Arial Narrow"/>
          <w:b/>
          <w:bCs/>
        </w:rPr>
        <w:t>la part à commande</w:t>
      </w:r>
    </w:p>
    <w:p w14:paraId="2440DC24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74A0DD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14:paraId="1F01FD39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2A5C40CF" w14:textId="51E5E39F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9E3579">
        <w:rPr>
          <w:rFonts w:ascii="Arial Narrow" w:hAnsi="Arial Narrow"/>
        </w:rPr>
        <w:t>1</w:t>
      </w:r>
      <w:r w:rsidR="0008711B">
        <w:rPr>
          <w:rFonts w:ascii="Arial Narrow" w:hAnsi="Arial Narrow"/>
        </w:rPr>
        <w:t>0</w:t>
      </w:r>
      <w:r w:rsidR="00F31243" w:rsidRPr="00E139D0">
        <w:rPr>
          <w:rFonts w:ascii="Arial Narrow" w:hAnsi="Arial Narrow"/>
        </w:rPr>
        <w:t xml:space="preserve"> 000</w:t>
      </w:r>
      <w:r w:rsidRPr="00E139D0">
        <w:rPr>
          <w:rFonts w:ascii="Arial Narrow" w:hAnsi="Arial Narrow"/>
        </w:rPr>
        <w:t>€ HT.</w:t>
      </w:r>
      <w:r>
        <w:rPr>
          <w:rFonts w:ascii="Arial Narrow" w:hAnsi="Arial Narrow"/>
        </w:rPr>
        <w:t xml:space="preserve"> </w:t>
      </w:r>
    </w:p>
    <w:p w14:paraId="302F1B85" w14:textId="3EE996C7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bookmarkStart w:id="0" w:name="_GoBack"/>
      <w:bookmarkEnd w:id="0"/>
    </w:p>
    <w:p w14:paraId="1A3F7A63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046DCDE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993ED45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B022186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BCCC0A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07E8F7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F810FFE" w14:textId="77777777"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54F48F6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4DAEB5FF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4288CD0E" w14:textId="77777777"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52F6EA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57B3B01D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23782706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537DC687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1B360F79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14:paraId="03FC540D" w14:textId="77777777"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14:paraId="023127F4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2D67C1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6962ED32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1332978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6EB8291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3FC9F7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6D7E40D7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F8A632E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14:paraId="1B0BA4EB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28C2909B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4B325DDA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66476256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5B947DE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AAE8F4F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45BCB0BA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72D4A00A" w14:textId="77777777"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14:paraId="620CA2FB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19D5610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29F9492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5B791D2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0618C1C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948E790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CE84D8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46F372E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9E3579">
        <w:rPr>
          <w:rFonts w:ascii="Arial Narrow" w:hAnsi="Arial Narrow"/>
          <w:b/>
          <w:bCs/>
        </w:rPr>
      </w:r>
      <w:r w:rsidR="009E3579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14:paraId="048B3A7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579">
        <w:rPr>
          <w:rFonts w:ascii="Arial Narrow" w:hAnsi="Arial Narrow"/>
        </w:rPr>
      </w:r>
      <w:r w:rsidR="009E3579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6C4DE1EE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2E16259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B869F9D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7C84EA8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16A6151E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14:paraId="6F6E5099" w14:textId="77777777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12261397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9CA338A" w14:textId="77777777"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D280B00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3579">
              <w:rPr>
                <w:rFonts w:ascii="Arial Narrow" w:eastAsia="Times New Roman" w:hAnsi="Arial Narrow" w:cs="Calibri Light"/>
                <w:lang w:eastAsia="fr-FR"/>
              </w:rPr>
            </w:r>
            <w:r w:rsidR="009E3579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443ADEFC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3579">
              <w:rPr>
                <w:rFonts w:ascii="Arial Narrow" w:eastAsia="Times New Roman" w:hAnsi="Arial Narrow" w:cs="Calibri Light"/>
                <w:lang w:eastAsia="fr-FR"/>
              </w:rPr>
            </w:r>
            <w:r w:rsidR="009E3579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2189372D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3579">
              <w:rPr>
                <w:rFonts w:ascii="Arial Narrow" w:eastAsia="Times New Roman" w:hAnsi="Arial Narrow" w:cs="Calibri Light"/>
                <w:lang w:eastAsia="fr-FR"/>
              </w:rPr>
            </w:r>
            <w:r w:rsidR="009E3579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81673B8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3579">
              <w:rPr>
                <w:rFonts w:ascii="Arial Narrow" w:eastAsia="Times New Roman" w:hAnsi="Arial Narrow" w:cs="Calibri Light"/>
                <w:lang w:eastAsia="fr-FR"/>
              </w:rPr>
            </w:r>
            <w:r w:rsidR="009E3579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0062206E" w14:textId="77777777"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4F82D37B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8F8066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E19804C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35B9A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C52921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6BA839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56595F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7AF697B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7616F145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5D47210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932CF49" w14:textId="77777777"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14:paraId="4DA7CFAB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0CCAC68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A2F4A10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3392E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3C99E7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8D07AA5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FDCFC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417E159" w14:textId="77777777"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14:paraId="032D030E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0DADCE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759088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39D6C3AA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1BF54CE5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F1D23DA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6E52F7" w:rsidRPr="009E4F1B" w14:paraId="5C9F5409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2C93B9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A4D6657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65BED66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4FAF3B1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79F34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17717E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DBDC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DB4169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D3B40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4AEAF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767C7AA" w14:textId="77777777" w:rsidR="00854101" w:rsidRDefault="009E3579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E890" w14:textId="77777777" w:rsidR="00B11BBE" w:rsidRDefault="00B11BBE" w:rsidP="006E52F7">
      <w:pPr>
        <w:spacing w:after="0" w:line="240" w:lineRule="auto"/>
      </w:pPr>
      <w:r>
        <w:separator/>
      </w:r>
    </w:p>
  </w:endnote>
  <w:endnote w:type="continuationSeparator" w:id="0">
    <w:p w14:paraId="45549542" w14:textId="77777777" w:rsidR="00B11BBE" w:rsidRDefault="00B11BBE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0F823D18" w14:textId="0E00D5B1"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579">
          <w:rPr>
            <w:noProof/>
          </w:rPr>
          <w:t>8</w:t>
        </w:r>
        <w:r>
          <w:fldChar w:fldCharType="end"/>
        </w:r>
      </w:p>
    </w:sdtContent>
  </w:sdt>
  <w:p w14:paraId="126E7487" w14:textId="77777777" w:rsidR="00EC6141" w:rsidRDefault="009E35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9B04" w14:textId="77777777" w:rsidR="00B11BBE" w:rsidRDefault="00B11BBE" w:rsidP="006E52F7">
      <w:pPr>
        <w:spacing w:after="0" w:line="240" w:lineRule="auto"/>
      </w:pPr>
      <w:r>
        <w:separator/>
      </w:r>
    </w:p>
  </w:footnote>
  <w:footnote w:type="continuationSeparator" w:id="0">
    <w:p w14:paraId="1002A706" w14:textId="77777777" w:rsidR="00B11BBE" w:rsidRDefault="00B11BBE" w:rsidP="006E52F7">
      <w:pPr>
        <w:spacing w:after="0" w:line="240" w:lineRule="auto"/>
      </w:pPr>
      <w:r>
        <w:continuationSeparator/>
      </w:r>
    </w:p>
  </w:footnote>
  <w:footnote w:id="1">
    <w:p w14:paraId="50CE37FE" w14:textId="77777777"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8FC617C" w14:textId="77777777" w:rsidTr="00E42FF3">
      <w:tc>
        <w:tcPr>
          <w:tcW w:w="2725" w:type="dxa"/>
        </w:tcPr>
        <w:p w14:paraId="685B3A69" w14:textId="77777777"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0EDCC030" w14:textId="77777777"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45C5B672" w14:textId="77777777"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4CF5186B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71B69503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047F939F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D4EF43C" w14:textId="77777777" w:rsidR="00EC6141" w:rsidRDefault="009E3579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1534BB06" w14:textId="77777777" w:rsidR="00EC6141" w:rsidRDefault="009E35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6FBF"/>
    <w:multiLevelType w:val="hybridMultilevel"/>
    <w:tmpl w:val="A3AA2D66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1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6604D"/>
    <w:rsid w:val="0008711B"/>
    <w:rsid w:val="000978C6"/>
    <w:rsid w:val="000F4AE5"/>
    <w:rsid w:val="002331B0"/>
    <w:rsid w:val="00260CB2"/>
    <w:rsid w:val="00265DA1"/>
    <w:rsid w:val="00281C83"/>
    <w:rsid w:val="002B2D6A"/>
    <w:rsid w:val="003640EC"/>
    <w:rsid w:val="00374CE4"/>
    <w:rsid w:val="003A22B5"/>
    <w:rsid w:val="003D6AD9"/>
    <w:rsid w:val="004A5B90"/>
    <w:rsid w:val="0051426B"/>
    <w:rsid w:val="00557C5D"/>
    <w:rsid w:val="00557CEE"/>
    <w:rsid w:val="00643210"/>
    <w:rsid w:val="00651520"/>
    <w:rsid w:val="006E52F7"/>
    <w:rsid w:val="007650D8"/>
    <w:rsid w:val="007930B6"/>
    <w:rsid w:val="00793576"/>
    <w:rsid w:val="007D2FA3"/>
    <w:rsid w:val="00843EF6"/>
    <w:rsid w:val="008501A2"/>
    <w:rsid w:val="00851E21"/>
    <w:rsid w:val="0085510A"/>
    <w:rsid w:val="00856398"/>
    <w:rsid w:val="008D162F"/>
    <w:rsid w:val="00946258"/>
    <w:rsid w:val="009944E6"/>
    <w:rsid w:val="009E3579"/>
    <w:rsid w:val="00A018CE"/>
    <w:rsid w:val="00AA5949"/>
    <w:rsid w:val="00B11BBE"/>
    <w:rsid w:val="00B64103"/>
    <w:rsid w:val="00B70614"/>
    <w:rsid w:val="00C35925"/>
    <w:rsid w:val="00C811E6"/>
    <w:rsid w:val="00CA7D86"/>
    <w:rsid w:val="00CF1BF2"/>
    <w:rsid w:val="00D85C69"/>
    <w:rsid w:val="00DA43E5"/>
    <w:rsid w:val="00DE46E5"/>
    <w:rsid w:val="00E139D0"/>
    <w:rsid w:val="00E30459"/>
    <w:rsid w:val="00E44962"/>
    <w:rsid w:val="00E87CF5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2DDC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1312</Words>
  <Characters>7216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LE GOFF Ludovic</cp:lastModifiedBy>
  <cp:revision>18</cp:revision>
  <dcterms:created xsi:type="dcterms:W3CDTF">2024-10-01T13:14:00Z</dcterms:created>
  <dcterms:modified xsi:type="dcterms:W3CDTF">2025-04-01T07:30:00Z</dcterms:modified>
</cp:coreProperties>
</file>