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6932" w14:textId="6BF84CF4" w:rsidR="00A341C7" w:rsidRPr="00A341C7" w:rsidRDefault="00A341C7" w:rsidP="00A341C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22C6C39" wp14:editId="3B88036D">
            <wp:extent cx="2707005" cy="1274445"/>
            <wp:effectExtent l="0" t="0" r="0" b="0"/>
            <wp:docPr id="14555110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8A180" w14:textId="77777777" w:rsidR="00A341C7" w:rsidRDefault="00A341C7" w:rsidP="00A341C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A36C7A" w14:textId="30DE6014" w:rsidR="00A341C7" w:rsidRDefault="00A341C7" w:rsidP="00A341C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41C7">
        <w:rPr>
          <w:rFonts w:asciiTheme="minorHAnsi" w:hAnsiTheme="minorHAnsi" w:cstheme="minorHAnsi"/>
          <w:b/>
          <w:bCs/>
          <w:sz w:val="24"/>
          <w:szCs w:val="24"/>
        </w:rPr>
        <w:t xml:space="preserve">Avis de </w:t>
      </w:r>
      <w:proofErr w:type="spellStart"/>
      <w:r w:rsidRPr="00A341C7">
        <w:rPr>
          <w:rFonts w:asciiTheme="minorHAnsi" w:hAnsiTheme="minorHAnsi" w:cstheme="minorHAnsi"/>
          <w:b/>
          <w:bCs/>
          <w:sz w:val="24"/>
          <w:szCs w:val="24"/>
        </w:rPr>
        <w:t>marché</w:t>
      </w:r>
      <w:proofErr w:type="spellEnd"/>
    </w:p>
    <w:p w14:paraId="69678683" w14:textId="77777777" w:rsidR="00A341C7" w:rsidRDefault="00A341C7" w:rsidP="00A341C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FA093F" w14:textId="77777777" w:rsidR="00A341C7" w:rsidRPr="00A341C7" w:rsidRDefault="00A341C7" w:rsidP="00A341C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33565C" w14:textId="4F3A88EB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1. A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cheteur</w:t>
      </w:r>
      <w:proofErr w:type="spellEnd"/>
    </w:p>
    <w:p w14:paraId="2B84EE4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1.1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Acheteur</w:t>
      </w:r>
      <w:proofErr w:type="spellEnd"/>
    </w:p>
    <w:p w14:paraId="25B6C29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officiel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CCI DE CORSE</w:t>
      </w:r>
    </w:p>
    <w:p w14:paraId="6F53BA5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Forme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juridique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l'acheteur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droit public</w:t>
      </w:r>
    </w:p>
    <w:p w14:paraId="7A1FE71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Activité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pouvoir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adjudicateur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Services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d'administration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générale</w:t>
      </w:r>
      <w:proofErr w:type="spellEnd"/>
    </w:p>
    <w:p w14:paraId="34F0DDE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2.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</w:t>
      </w:r>
      <w:proofErr w:type="spellEnd"/>
    </w:p>
    <w:p w14:paraId="177CE51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2.1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</w:t>
      </w:r>
      <w:proofErr w:type="spellEnd"/>
    </w:p>
    <w:p w14:paraId="2D6C9F5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Titre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consommables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pour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besoins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techniques des Ports de Commerce de Corse du Sud et du Port de Plaisance Ajaccio Tino Rossi</w:t>
      </w:r>
    </w:p>
    <w:p w14:paraId="3B2957C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consommables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pour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besoins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techniques des Ports de Commerce de Corse du Sud et du Port de Plaisance Ajaccio Tino Rossi</w:t>
      </w:r>
    </w:p>
    <w:p w14:paraId="3C18FCE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621a1a3e-0e46-4db7-bbd2-88d36324b350</w:t>
      </w:r>
    </w:p>
    <w:p w14:paraId="25AA153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interne: 2025-AOO-010</w:t>
      </w:r>
    </w:p>
    <w:p w14:paraId="08FB96E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Ouverte</w:t>
      </w:r>
    </w:p>
    <w:p w14:paraId="36D9B65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Justification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accélérée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593458C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caractéristiques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483EC73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2.1.1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</w:p>
    <w:p w14:paraId="2B6CC18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Nature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Fournitures</w:t>
      </w:r>
      <w:proofErr w:type="spellEnd"/>
    </w:p>
    <w:p w14:paraId="06481A6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Nomenclature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cpv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): 44510000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Outils</w:t>
      </w:r>
      <w:proofErr w:type="spellEnd"/>
    </w:p>
    <w:p w14:paraId="17299F2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2.1.4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générales</w:t>
      </w:r>
      <w:proofErr w:type="spellEnd"/>
    </w:p>
    <w:p w14:paraId="32CBB52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lastRenderedPageBreak/>
        <w:t xml:space="preserve">Base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juridique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4BF130B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Directive 2014/24/UE</w:t>
      </w:r>
    </w:p>
    <w:p w14:paraId="7EE5F7D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2.1.5 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</w:t>
      </w:r>
    </w:p>
    <w:p w14:paraId="5762423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F92C73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Nombre maximal de lots pour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soumissionnaire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5</w:t>
      </w:r>
    </w:p>
    <w:p w14:paraId="6CF077C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02F99C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Nombre maximal de lots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pouvant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attribués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à un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soumissionnaire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le cadre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5</w:t>
      </w:r>
    </w:p>
    <w:p w14:paraId="1D2C5A9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2.1.6 Motifs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d'exclusion</w:t>
      </w:r>
      <w:proofErr w:type="spellEnd"/>
    </w:p>
    <w:p w14:paraId="499B214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État de cessation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d'activités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5F5867E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5. Lot</w:t>
      </w:r>
    </w:p>
    <w:p w14:paraId="5D96CAD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du lot: LOT-0001</w:t>
      </w:r>
    </w:p>
    <w:p w14:paraId="7CF1076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Titre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Port de Commerce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d'Ajaccio</w:t>
      </w:r>
      <w:proofErr w:type="spellEnd"/>
    </w:p>
    <w:p w14:paraId="45B5DE1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Description: Port de Commerce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d'Ajaccio</w:t>
      </w:r>
      <w:proofErr w:type="spellEnd"/>
    </w:p>
    <w:p w14:paraId="6D1548D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interne: 2025-AOO-010-01</w:t>
      </w:r>
    </w:p>
    <w:p w14:paraId="6498DE1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</w:p>
    <w:p w14:paraId="578DCF6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Nature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Fournitures</w:t>
      </w:r>
      <w:proofErr w:type="spellEnd"/>
    </w:p>
    <w:p w14:paraId="7659BC1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Nomenclature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cpv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): 44510000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Outils</w:t>
      </w:r>
      <w:proofErr w:type="spellEnd"/>
    </w:p>
    <w:p w14:paraId="6B90AD5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5.1.3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estimée</w:t>
      </w:r>
      <w:proofErr w:type="spellEnd"/>
    </w:p>
    <w:p w14:paraId="2857DD3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Durée: 4 An</w:t>
      </w:r>
    </w:p>
    <w:p w14:paraId="4DCE80B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générales</w:t>
      </w:r>
      <w:proofErr w:type="spellEnd"/>
    </w:p>
    <w:p w14:paraId="062DB2D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La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n'est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.</w:t>
      </w:r>
    </w:p>
    <w:p w14:paraId="2233D12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passation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financé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fonds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l'UE</w:t>
      </w:r>
      <w:proofErr w:type="spellEnd"/>
    </w:p>
    <w:p w14:paraId="38ECA61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relève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l'accord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publics (AMP):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oui</w:t>
      </w:r>
      <w:proofErr w:type="spellEnd"/>
    </w:p>
    <w:p w14:paraId="69AC3B5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maximum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annuel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50 000 euros HT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date de notification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jusqu'au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2025. Pour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du 1er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janvier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La durée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1 an. La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maximale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toutes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confondues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+ 3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ans</w:t>
      </w:r>
      <w:proofErr w:type="spellEnd"/>
    </w:p>
    <w:p w14:paraId="0F6D259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5.1.9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sélection</w:t>
      </w:r>
      <w:proofErr w:type="spellEnd"/>
    </w:p>
    <w:p w14:paraId="6946DE8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lastRenderedPageBreak/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5ED4ADD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Autre</w:t>
      </w:r>
      <w:proofErr w:type="spellEnd"/>
    </w:p>
    <w:p w14:paraId="201F3E5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Lettre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candidature (DC1)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</w:t>
      </w:r>
    </w:p>
    <w:p w14:paraId="69A88DB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252739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économique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financière</w:t>
      </w:r>
    </w:p>
    <w:p w14:paraId="302918D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(DC2)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chiffre d'affaires global et le chiffre d'affaires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études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réalisés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derniers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exercices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disponibles</w:t>
      </w:r>
      <w:proofErr w:type="spellEnd"/>
    </w:p>
    <w:p w14:paraId="33AB81D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55A0343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professionnelle</w:t>
      </w:r>
      <w:proofErr w:type="spellEnd"/>
    </w:p>
    <w:p w14:paraId="7E004DD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prestations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effectuées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indiquant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la date et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Elles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prouvées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attestations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défaut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</w:p>
    <w:p w14:paraId="6CB80B5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</w:p>
    <w:p w14:paraId="6B983D1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4A6D24A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Type: Prix</w:t>
      </w:r>
    </w:p>
    <w:p w14:paraId="5824E20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Nom:</w:t>
      </w:r>
    </w:p>
    <w:p w14:paraId="1A0016F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Description: 100 %</w:t>
      </w:r>
    </w:p>
    <w:p w14:paraId="107CBA5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méthode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exprimée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1C05B4E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Justification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l'absence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d'indication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1FA1A8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5.1.11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</w:p>
    <w:p w14:paraId="12D946C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Langues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parties)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officieusement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disponibles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français</w:t>
      </w:r>
    </w:p>
    <w:p w14:paraId="347CF29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3872A04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5.1.12 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</w:t>
      </w:r>
    </w:p>
    <w:p w14:paraId="207CC54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DA9E33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voie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Requise</w:t>
      </w:r>
      <w:proofErr w:type="spellEnd"/>
    </w:p>
    <w:p w14:paraId="297E1FA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66901FF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Langues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demandes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peuvent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français</w:t>
      </w:r>
    </w:p>
    <w:p w14:paraId="4226C3E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lastRenderedPageBreak/>
        <w:t xml:space="preserve">Catalogue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643592A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réception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05/05/2025 16:00 +02:00</w:t>
      </w:r>
    </w:p>
    <w:p w14:paraId="76493EC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validité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l'offre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180 Jour</w:t>
      </w:r>
    </w:p>
    <w:p w14:paraId="72F963A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46FF88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doit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exécuté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le cadre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programmes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d'emplois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protégés: Non</w:t>
      </w:r>
    </w:p>
    <w:p w14:paraId="369DE8D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Facturation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62FAA13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commande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44070F9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paiement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5DEE33E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5.1.15 Techniques</w:t>
      </w:r>
    </w:p>
    <w:p w14:paraId="1649FE2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Accord-cadre:</w:t>
      </w:r>
    </w:p>
    <w:p w14:paraId="2FA82B2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Accord-cadre, sans remise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concurrence</w:t>
      </w:r>
    </w:p>
    <w:p w14:paraId="618D7E1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C2A43C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</w:p>
    <w:p w14:paraId="4C769E2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réexamen</w:t>
      </w:r>
      <w:proofErr w:type="spellEnd"/>
    </w:p>
    <w:p w14:paraId="7D9D2F5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consultatif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interrégional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règlement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amiable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litiges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-</w:t>
      </w:r>
    </w:p>
    <w:p w14:paraId="122E87F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CCI DE CORSE -</w:t>
      </w:r>
    </w:p>
    <w:p w14:paraId="1E228A0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qui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précisions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l'introduction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Tribunal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administratif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Bastia -</w:t>
      </w:r>
    </w:p>
    <w:p w14:paraId="2E155DE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du lot: LOT-0002</w:t>
      </w:r>
    </w:p>
    <w:p w14:paraId="04C0EF7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Titre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Port de Plaisance et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Pêche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Ajaccio Tino Rossi</w:t>
      </w:r>
    </w:p>
    <w:p w14:paraId="78B0768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Description: Port de Plaisance et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Pêche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Ajaccio Tino Rossi</w:t>
      </w:r>
    </w:p>
    <w:p w14:paraId="24C1383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interne: 2025-AOO-010-02</w:t>
      </w:r>
    </w:p>
    <w:p w14:paraId="2396A85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</w:p>
    <w:p w14:paraId="65C3FB7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Nature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Fournitures</w:t>
      </w:r>
      <w:proofErr w:type="spellEnd"/>
    </w:p>
    <w:p w14:paraId="2A92445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Nomenclature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cpv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): 44510000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Outils</w:t>
      </w:r>
      <w:proofErr w:type="spellEnd"/>
    </w:p>
    <w:p w14:paraId="4853B39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5.1.3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estimée</w:t>
      </w:r>
      <w:proofErr w:type="spellEnd"/>
    </w:p>
    <w:p w14:paraId="4E1D6B5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Durée: 4 An</w:t>
      </w:r>
    </w:p>
    <w:p w14:paraId="59ACC1E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lastRenderedPageBreak/>
        <w:t xml:space="preserve">5.1.6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générales</w:t>
      </w:r>
      <w:proofErr w:type="spellEnd"/>
    </w:p>
    <w:p w14:paraId="5396883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La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n'est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.</w:t>
      </w:r>
    </w:p>
    <w:p w14:paraId="50F477A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passation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financé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fonds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l'UE</w:t>
      </w:r>
      <w:proofErr w:type="spellEnd"/>
    </w:p>
    <w:p w14:paraId="4D9F1B0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relève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l'accord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publics (AMP):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oui</w:t>
      </w:r>
      <w:proofErr w:type="spellEnd"/>
    </w:p>
    <w:p w14:paraId="6BDDDCA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maximum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annuel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: 25 000 euros HT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date de notification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jusqu'au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2025. Pour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du 1er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janvier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La durée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1 an. La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maximale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toutes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confondues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+ 3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ans</w:t>
      </w:r>
      <w:proofErr w:type="spellEnd"/>
    </w:p>
    <w:p w14:paraId="3967A49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5.1.9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sélection</w:t>
      </w:r>
      <w:proofErr w:type="spellEnd"/>
    </w:p>
    <w:p w14:paraId="582273F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3CC8E57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Autre</w:t>
      </w:r>
      <w:proofErr w:type="spellEnd"/>
    </w:p>
    <w:p w14:paraId="0218BCD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Lettre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candidature (DC1)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</w:t>
      </w:r>
    </w:p>
    <w:p w14:paraId="0A10273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8BD56E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économique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financière</w:t>
      </w:r>
    </w:p>
    <w:p w14:paraId="02BBB84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(DC2)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chiffre d'affaires global et le chiffre d'affaires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études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réalisés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derniers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exercices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disponibles</w:t>
      </w:r>
      <w:proofErr w:type="spellEnd"/>
    </w:p>
    <w:p w14:paraId="769A04C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DB61B3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professionnelle</w:t>
      </w:r>
      <w:proofErr w:type="spellEnd"/>
    </w:p>
    <w:p w14:paraId="1E3F599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prestations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effectuées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indiquant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la date et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Elles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prouvées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attestations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défaut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</w:p>
    <w:p w14:paraId="7F5D91D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</w:p>
    <w:p w14:paraId="43B0824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581C46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Type: Prix</w:t>
      </w:r>
    </w:p>
    <w:p w14:paraId="3E58F75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Nom:</w:t>
      </w:r>
    </w:p>
    <w:p w14:paraId="7614ABF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Description: 100 %</w:t>
      </w:r>
    </w:p>
    <w:p w14:paraId="12166F9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méthode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exprimée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1C3985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Justification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l'absence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d'indication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47B8536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5.1.11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</w:p>
    <w:p w14:paraId="0564F57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lastRenderedPageBreak/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0D2A56B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5.1.12 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</w:t>
      </w:r>
    </w:p>
    <w:p w14:paraId="2C4D549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DB301D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voie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Requise</w:t>
      </w:r>
      <w:proofErr w:type="spellEnd"/>
    </w:p>
    <w:p w14:paraId="475A7EE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75C3500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Langues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demandes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peuvent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français</w:t>
      </w:r>
    </w:p>
    <w:p w14:paraId="60E26D9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Catalogue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699331A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réception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05/05/2025 16:00 +02:00</w:t>
      </w:r>
    </w:p>
    <w:p w14:paraId="4EE5319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validité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l'offre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180 Jour</w:t>
      </w:r>
    </w:p>
    <w:p w14:paraId="49ACE1E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862FF3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doit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exécuté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le cadre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programmes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d'emplois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protégés: Non</w:t>
      </w:r>
    </w:p>
    <w:p w14:paraId="58E4849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Facturation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51C0735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commande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5F16D26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paiement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0992EA4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5.1.15 Techniques</w:t>
      </w:r>
    </w:p>
    <w:p w14:paraId="6431668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Accord-cadre:</w:t>
      </w:r>
    </w:p>
    <w:p w14:paraId="563620C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Accord-cadre, sans remise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concurrence</w:t>
      </w:r>
    </w:p>
    <w:p w14:paraId="7593674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32EED0F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</w:p>
    <w:p w14:paraId="0ED42F7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réexamen</w:t>
      </w:r>
      <w:proofErr w:type="spellEnd"/>
    </w:p>
    <w:p w14:paraId="7D2E7D0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consultatif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interrégional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règlement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amiable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litiges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-</w:t>
      </w:r>
    </w:p>
    <w:p w14:paraId="7B7EDB8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CCI DE CORSE -</w:t>
      </w:r>
    </w:p>
    <w:p w14:paraId="4CB93C4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qui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précisions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l'introduction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Tribunal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administratif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Bastia -</w:t>
      </w:r>
    </w:p>
    <w:p w14:paraId="794A9FC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du lot: LOT-0003</w:t>
      </w:r>
    </w:p>
    <w:p w14:paraId="3EE148C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Titre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Port de Commerce de Porto Vecchio</w:t>
      </w:r>
    </w:p>
    <w:p w14:paraId="63B2A55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Description: Port de Commerce de Porto Vecchio</w:t>
      </w:r>
    </w:p>
    <w:p w14:paraId="577D84F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lastRenderedPageBreak/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interne: 2025-AOO-010-03</w:t>
      </w:r>
    </w:p>
    <w:p w14:paraId="0562144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</w:p>
    <w:p w14:paraId="1EB1A66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Nature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Fournitures</w:t>
      </w:r>
      <w:proofErr w:type="spellEnd"/>
    </w:p>
    <w:p w14:paraId="20490AB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Nomenclature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cpv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): 44510000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Outils</w:t>
      </w:r>
      <w:proofErr w:type="spellEnd"/>
    </w:p>
    <w:p w14:paraId="2D2C034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5.1.3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estimée</w:t>
      </w:r>
      <w:proofErr w:type="spellEnd"/>
    </w:p>
    <w:p w14:paraId="0C860ED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Durée: 4 An</w:t>
      </w:r>
    </w:p>
    <w:p w14:paraId="0DF3038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générales</w:t>
      </w:r>
      <w:proofErr w:type="spellEnd"/>
    </w:p>
    <w:p w14:paraId="3EDA195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La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n'est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.</w:t>
      </w:r>
    </w:p>
    <w:p w14:paraId="500B289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passation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financé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fonds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l'UE</w:t>
      </w:r>
      <w:proofErr w:type="spellEnd"/>
    </w:p>
    <w:p w14:paraId="57224BE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relève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l'accord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publics (AMP):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oui</w:t>
      </w:r>
      <w:proofErr w:type="spellEnd"/>
    </w:p>
    <w:p w14:paraId="59C7C01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maximum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annuel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: 20 000 euros HT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date de notification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jusqu'au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2025. Pour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du 1er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janvier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La durée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1 an. La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maximale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toutes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confondues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+ 3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ans</w:t>
      </w:r>
      <w:proofErr w:type="spellEnd"/>
    </w:p>
    <w:p w14:paraId="5F20983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5.1.9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sélection</w:t>
      </w:r>
      <w:proofErr w:type="spellEnd"/>
    </w:p>
    <w:p w14:paraId="007BF40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E4DBB6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Autre</w:t>
      </w:r>
      <w:proofErr w:type="spellEnd"/>
    </w:p>
    <w:p w14:paraId="771A8EB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Lettre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candidature (DC1)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</w:t>
      </w:r>
    </w:p>
    <w:p w14:paraId="50E11DD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741A06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économique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financière</w:t>
      </w:r>
    </w:p>
    <w:p w14:paraId="5BB2B80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(DC2)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chiffre d'affaires global et le chiffre d'affaires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études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réalisés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derniers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exercices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disponibles</w:t>
      </w:r>
      <w:proofErr w:type="spellEnd"/>
    </w:p>
    <w:p w14:paraId="724BAC8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5C25AC4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professionnelle</w:t>
      </w:r>
      <w:proofErr w:type="spellEnd"/>
    </w:p>
    <w:p w14:paraId="2C4EEA5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prestations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effectuées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indiquant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la date et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Elles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prouvées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attestations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défaut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</w:p>
    <w:p w14:paraId="6A8127E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</w:p>
    <w:p w14:paraId="77E4C55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1E74C26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lastRenderedPageBreak/>
        <w:t>Type: Prix</w:t>
      </w:r>
    </w:p>
    <w:p w14:paraId="0052AAA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Nom:</w:t>
      </w:r>
    </w:p>
    <w:p w14:paraId="7E6AB71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Description: 100%</w:t>
      </w:r>
    </w:p>
    <w:p w14:paraId="5EFDE98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méthode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exprimée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4DF5E7D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Justification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l'absence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d'indication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DCC1B9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5.1.11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</w:p>
    <w:p w14:paraId="4A4B4CB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45C9FE3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5.1.12 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</w:t>
      </w:r>
    </w:p>
    <w:p w14:paraId="712B3F2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321AE1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voie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Requise</w:t>
      </w:r>
      <w:proofErr w:type="spellEnd"/>
    </w:p>
    <w:p w14:paraId="5E200E0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0EC8124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Langues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demandes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peuvent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français</w:t>
      </w:r>
    </w:p>
    <w:p w14:paraId="2C728D9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Catalogue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41AF3C4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réception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05/05/2025 16:00 +02:00</w:t>
      </w:r>
    </w:p>
    <w:p w14:paraId="7AA8B99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validité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l'offre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180 Jour</w:t>
      </w:r>
    </w:p>
    <w:p w14:paraId="35E41C5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B1EEFB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doit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exécuté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le cadre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programmes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d'emplois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protégés: Non</w:t>
      </w:r>
    </w:p>
    <w:p w14:paraId="3CDF4AB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Facturation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5D417B3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commande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34218E3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paiement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06593FD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5.1.15 Techniques</w:t>
      </w:r>
    </w:p>
    <w:p w14:paraId="28F260D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Accord-cadre:</w:t>
      </w:r>
    </w:p>
    <w:p w14:paraId="7578D94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Accord-cadre, sans remise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concurrence</w:t>
      </w:r>
    </w:p>
    <w:p w14:paraId="3833C70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3567B37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</w:p>
    <w:p w14:paraId="665C6DC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réexamen</w:t>
      </w:r>
      <w:proofErr w:type="spellEnd"/>
    </w:p>
    <w:p w14:paraId="02EBBF0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lastRenderedPageBreak/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consultatif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interrégional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règlement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amiable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litiges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-</w:t>
      </w:r>
    </w:p>
    <w:p w14:paraId="290BA28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CCI DE CORSE -</w:t>
      </w:r>
    </w:p>
    <w:p w14:paraId="3E66864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qui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précisions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l'introduction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Tribunal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administratif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Bastia -</w:t>
      </w:r>
    </w:p>
    <w:p w14:paraId="7E3A715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du lot: LOT-0004</w:t>
      </w:r>
    </w:p>
    <w:p w14:paraId="2319FF4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Titre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Port de Commerce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Propriano</w:t>
      </w:r>
      <w:proofErr w:type="spellEnd"/>
    </w:p>
    <w:p w14:paraId="3762176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Description: Port de Commerce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Propriano</w:t>
      </w:r>
      <w:proofErr w:type="spellEnd"/>
    </w:p>
    <w:p w14:paraId="4928025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interne: 2025-AOO-010-04</w:t>
      </w:r>
    </w:p>
    <w:p w14:paraId="1EEE812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</w:p>
    <w:p w14:paraId="3EDC60F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Nature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Fournitures</w:t>
      </w:r>
      <w:proofErr w:type="spellEnd"/>
    </w:p>
    <w:p w14:paraId="2780FAB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Nomenclature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cpv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): 44510000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Outils</w:t>
      </w:r>
      <w:proofErr w:type="spellEnd"/>
    </w:p>
    <w:p w14:paraId="1A1EF22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5.1.3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estimée</w:t>
      </w:r>
      <w:proofErr w:type="spellEnd"/>
    </w:p>
    <w:p w14:paraId="303DB54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Durée: 4 An</w:t>
      </w:r>
    </w:p>
    <w:p w14:paraId="4A60A4E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générales</w:t>
      </w:r>
      <w:proofErr w:type="spellEnd"/>
    </w:p>
    <w:p w14:paraId="78A34DF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La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n'est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.</w:t>
      </w:r>
    </w:p>
    <w:p w14:paraId="2BF3F0D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passation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financé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fonds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l'UE</w:t>
      </w:r>
      <w:proofErr w:type="spellEnd"/>
    </w:p>
    <w:p w14:paraId="486AA9B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relève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l'accord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publics (AMP):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oui</w:t>
      </w:r>
      <w:proofErr w:type="spellEnd"/>
    </w:p>
    <w:p w14:paraId="3EFCB96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maximum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annuel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: 20 000 euros HT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date de notification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jusqu'au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2025. Pour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du 1er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janvier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La durée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1 an. La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maximale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toutes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confondues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+ 3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ans</w:t>
      </w:r>
      <w:proofErr w:type="spellEnd"/>
    </w:p>
    <w:p w14:paraId="00607C0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5.1.9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sélection</w:t>
      </w:r>
      <w:proofErr w:type="spellEnd"/>
    </w:p>
    <w:p w14:paraId="1083F94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3200057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Autre</w:t>
      </w:r>
      <w:proofErr w:type="spellEnd"/>
    </w:p>
    <w:p w14:paraId="45DEB68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Lettre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candidature (DC1)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</w:t>
      </w:r>
    </w:p>
    <w:p w14:paraId="0C0D0E3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BE8390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économique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financière</w:t>
      </w:r>
    </w:p>
    <w:p w14:paraId="46E015C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lastRenderedPageBreak/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(DC2)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chiffre d'affaires global et le chiffre d'affaires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études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réalisés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derniers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exercices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disponibles</w:t>
      </w:r>
      <w:proofErr w:type="spellEnd"/>
    </w:p>
    <w:p w14:paraId="1DB096D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1A9863C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professionnelle</w:t>
      </w:r>
      <w:proofErr w:type="spellEnd"/>
    </w:p>
    <w:p w14:paraId="63383AF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prestations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effectuées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indiquant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la date et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Elles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prouvées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attestations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défaut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</w:p>
    <w:p w14:paraId="7F3B94C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</w:p>
    <w:p w14:paraId="2BC7C88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A65817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Type: Prix</w:t>
      </w:r>
    </w:p>
    <w:p w14:paraId="1325A86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Nom:</w:t>
      </w:r>
    </w:p>
    <w:p w14:paraId="26BB156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Description: 100 %</w:t>
      </w:r>
    </w:p>
    <w:p w14:paraId="7231901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méthode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exprimée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7270F97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Justification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l'absence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d'indication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731E94C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5.1.11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</w:p>
    <w:p w14:paraId="773F8F8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5C732A0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5.1.12 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</w:t>
      </w:r>
    </w:p>
    <w:p w14:paraId="491F461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4FD10FD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voie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Requise</w:t>
      </w:r>
      <w:proofErr w:type="spellEnd"/>
    </w:p>
    <w:p w14:paraId="22596E0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5BDE712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Langues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demandes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peuvent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français</w:t>
      </w:r>
    </w:p>
    <w:p w14:paraId="7FA8065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Catalogue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6C08064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réception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05/05/2025 16:00 +02:00</w:t>
      </w:r>
    </w:p>
    <w:p w14:paraId="0AE5C78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validité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l'offre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180 Jour</w:t>
      </w:r>
    </w:p>
    <w:p w14:paraId="2C23877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A11A84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doit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exécuté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le cadre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programmes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d'emplois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protégés: Non</w:t>
      </w:r>
    </w:p>
    <w:p w14:paraId="42711B1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Facturation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0828E16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lastRenderedPageBreak/>
        <w:t xml:space="preserve">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commande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235CE28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paiement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3D6BE76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5.1.15 Techniques</w:t>
      </w:r>
    </w:p>
    <w:p w14:paraId="6F9A473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Accord-cadre:</w:t>
      </w:r>
    </w:p>
    <w:p w14:paraId="0CABFF0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Accord-cadre, sans remise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concurrence</w:t>
      </w:r>
    </w:p>
    <w:p w14:paraId="3D63596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76A990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</w:p>
    <w:p w14:paraId="3F7E0AC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réexamen</w:t>
      </w:r>
      <w:proofErr w:type="spellEnd"/>
    </w:p>
    <w:p w14:paraId="6170F8B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consultatif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interrégional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règlement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amiable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litiges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-</w:t>
      </w:r>
    </w:p>
    <w:p w14:paraId="4603798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CCI DE CORSE -</w:t>
      </w:r>
    </w:p>
    <w:p w14:paraId="0E5AD89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qui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précisions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l'introduction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Tribunal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administratif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Bastia -</w:t>
      </w:r>
    </w:p>
    <w:p w14:paraId="4E34AFF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du lot: LOT-0005</w:t>
      </w:r>
    </w:p>
    <w:p w14:paraId="564F61A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Titre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Port de Commerce de Bonifacio</w:t>
      </w:r>
    </w:p>
    <w:p w14:paraId="3E625C7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Description: Port de Commerce de Bonifacio</w:t>
      </w:r>
    </w:p>
    <w:p w14:paraId="5E81694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interne: 2025-AOO-010-05</w:t>
      </w:r>
    </w:p>
    <w:p w14:paraId="25B0261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</w:p>
    <w:p w14:paraId="71B2897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Nature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Fournitures</w:t>
      </w:r>
      <w:proofErr w:type="spellEnd"/>
    </w:p>
    <w:p w14:paraId="695061C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Nomenclature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cpv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): 44510000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Outils</w:t>
      </w:r>
      <w:proofErr w:type="spellEnd"/>
    </w:p>
    <w:p w14:paraId="4BC447D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5.1.3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estimée</w:t>
      </w:r>
      <w:proofErr w:type="spellEnd"/>
    </w:p>
    <w:p w14:paraId="4404EB8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Durée: 4 An</w:t>
      </w:r>
    </w:p>
    <w:p w14:paraId="0BCD885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générales</w:t>
      </w:r>
      <w:proofErr w:type="spellEnd"/>
    </w:p>
    <w:p w14:paraId="66F5598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La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n'est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réservée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.</w:t>
      </w:r>
    </w:p>
    <w:p w14:paraId="6D79B3D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passation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financé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fonds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l'UE</w:t>
      </w:r>
      <w:proofErr w:type="spellEnd"/>
    </w:p>
    <w:p w14:paraId="70F61B3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relève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l'accord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publics (AMP):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oui</w:t>
      </w:r>
      <w:proofErr w:type="spellEnd"/>
    </w:p>
    <w:p w14:paraId="2C7F2FF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maximum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annuel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: 24 000 euros HT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date de notification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jusqu'au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2025. Pour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du </w:t>
      </w:r>
      <w:r w:rsidRPr="00A341C7">
        <w:rPr>
          <w:rFonts w:asciiTheme="minorHAnsi" w:hAnsiTheme="minorHAnsi" w:cstheme="minorHAnsi"/>
          <w:sz w:val="24"/>
          <w:szCs w:val="24"/>
        </w:rPr>
        <w:lastRenderedPageBreak/>
        <w:t xml:space="preserve">1er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janvier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31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Décembre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La durée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reconduction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1 an. La durée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maximale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toutes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confondues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période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initiale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+ 3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ans</w:t>
      </w:r>
      <w:proofErr w:type="spellEnd"/>
    </w:p>
    <w:p w14:paraId="265F59D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5.1.9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sélection</w:t>
      </w:r>
      <w:proofErr w:type="spellEnd"/>
    </w:p>
    <w:p w14:paraId="330566E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7149FD7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Autre</w:t>
      </w:r>
      <w:proofErr w:type="spellEnd"/>
    </w:p>
    <w:p w14:paraId="3E8EA67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Lettre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candidature (DC1)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</w:t>
      </w:r>
    </w:p>
    <w:p w14:paraId="0195C97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6A5F0C6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économique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financière</w:t>
      </w:r>
    </w:p>
    <w:p w14:paraId="5B6BEFB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(DC2)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DUME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chiffre d'affaires global et le chiffre d'affaires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études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objet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contrat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réalisés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derniers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exercices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disponibles</w:t>
      </w:r>
      <w:proofErr w:type="spellEnd"/>
    </w:p>
    <w:p w14:paraId="56D8F19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5BB7FB3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Capacité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technique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professionnelle</w:t>
      </w:r>
      <w:proofErr w:type="spellEnd"/>
    </w:p>
    <w:p w14:paraId="3C2DB8B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principales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prestations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effectuées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trois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dernières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années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indiquant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la date et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. Elles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sont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prouvées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attestations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destinataire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défaut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déclaration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candidat</w:t>
      </w:r>
      <w:proofErr w:type="spellEnd"/>
    </w:p>
    <w:p w14:paraId="4113F36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5.1.10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</w:p>
    <w:p w14:paraId="356CEB9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E95E1E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Type: Prix</w:t>
      </w:r>
    </w:p>
    <w:p w14:paraId="47085F0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Nom:</w:t>
      </w:r>
    </w:p>
    <w:p w14:paraId="2731FF3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Description: 100%</w:t>
      </w:r>
    </w:p>
    <w:p w14:paraId="44187D8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Description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méthode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utiliser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exprimée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7A9485B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Justification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l'absence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d'indication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pondération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critères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d'attribution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2EDBEB3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5.1.11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</w:p>
    <w:p w14:paraId="45DAABE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documents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7102062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5.1.12 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public</w:t>
      </w:r>
    </w:p>
    <w:p w14:paraId="75B3C1D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C2038B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voie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Requise</w:t>
      </w:r>
      <w:proofErr w:type="spellEnd"/>
    </w:p>
    <w:p w14:paraId="4B2B7AD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http://www.cci.corsica</w:t>
      </w:r>
    </w:p>
    <w:p w14:paraId="5E14B88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lastRenderedPageBreak/>
        <w:t>Langues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les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demandes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participation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peuvent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présentées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français</w:t>
      </w:r>
    </w:p>
    <w:p w14:paraId="5BF85A9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Catalogue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61B7AE7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réception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05/05/2025 16:00 +02:00</w:t>
      </w:r>
    </w:p>
    <w:p w14:paraId="5EABF44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limite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validité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l'offre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180 Jour</w:t>
      </w:r>
    </w:p>
    <w:p w14:paraId="05C614D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Conditions du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1B1B456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doit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être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exécuté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le cadre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programmes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d'emplois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protégés: Non</w:t>
      </w:r>
    </w:p>
    <w:p w14:paraId="0042D94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Facturation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Non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autorisée</w:t>
      </w:r>
      <w:proofErr w:type="spellEnd"/>
    </w:p>
    <w:p w14:paraId="1F95AC7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commande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4C05415F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paiement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ligne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sera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utilisé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non</w:t>
      </w:r>
    </w:p>
    <w:p w14:paraId="00A9A4F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5.1.15 Techniques</w:t>
      </w:r>
    </w:p>
    <w:p w14:paraId="072A6E3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Accord-cadre:</w:t>
      </w:r>
    </w:p>
    <w:p w14:paraId="01D2658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Accord-cadre, sans remise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concurrence</w:t>
      </w:r>
    </w:p>
    <w:p w14:paraId="7F8DF0E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sur 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0360A67B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Pas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système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d'acquisition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dynamique</w:t>
      </w:r>
      <w:proofErr w:type="spellEnd"/>
    </w:p>
    <w:p w14:paraId="2DDF7E8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5.1.16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complémentaires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réexamen</w:t>
      </w:r>
      <w:proofErr w:type="spellEnd"/>
    </w:p>
    <w:p w14:paraId="72068DB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consultatif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interrégional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règlement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amiable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litiges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-</w:t>
      </w:r>
    </w:p>
    <w:p w14:paraId="00784D1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CCI DE CORSE -</w:t>
      </w:r>
    </w:p>
    <w:p w14:paraId="22319B6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qui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précisions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l'introduction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Tribunal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administratif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Bastia -</w:t>
      </w:r>
    </w:p>
    <w:p w14:paraId="6423C5E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8.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Organisations</w:t>
      </w:r>
      <w:proofErr w:type="spellEnd"/>
    </w:p>
    <w:p w14:paraId="4B6B8A6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8.1 ORG-0001</w:t>
      </w:r>
    </w:p>
    <w:p w14:paraId="77A8F64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officiel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CCI DE CORSE</w:t>
      </w:r>
    </w:p>
    <w:p w14:paraId="27FD7E8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Numéro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d'enregistrement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13001457400029</w:t>
      </w:r>
    </w:p>
    <w:p w14:paraId="42EBCE7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postale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Rue Adolphe Landry CS 10210</w:t>
      </w:r>
    </w:p>
    <w:p w14:paraId="6B5BB73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Ville: Bastia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cedex</w:t>
      </w:r>
      <w:proofErr w:type="spellEnd"/>
    </w:p>
    <w:p w14:paraId="3891987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Code postal: 20293</w:t>
      </w:r>
    </w:p>
    <w:p w14:paraId="4493106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Subdivision pays (NUTS): Haute-Corse (FRM02)</w:t>
      </w:r>
    </w:p>
    <w:p w14:paraId="58EA27D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lastRenderedPageBreak/>
        <w:t>Pays: France</w:t>
      </w:r>
    </w:p>
    <w:p w14:paraId="2A0697A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catherine.orazzi@cci.corsica</w:t>
      </w:r>
      <w:proofErr w:type="spellEnd"/>
    </w:p>
    <w:p w14:paraId="59F4BEE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Téléphone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0495515555</w:t>
      </w:r>
    </w:p>
    <w:p w14:paraId="1D4B961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Rôles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cette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77C95D0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Acheteur</w:t>
      </w:r>
      <w:proofErr w:type="spellEnd"/>
    </w:p>
    <w:p w14:paraId="03028E4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</w:p>
    <w:p w14:paraId="14188D83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8.1 ORG-0002</w:t>
      </w:r>
    </w:p>
    <w:p w14:paraId="0CF9A70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officiel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Tribunal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administratif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Bastia</w:t>
      </w:r>
    </w:p>
    <w:p w14:paraId="60893FC9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Numéro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d'enregistrement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1720005100026</w:t>
      </w:r>
    </w:p>
    <w:p w14:paraId="0C60DB1D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postale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Villa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Montepiano</w:t>
      </w:r>
      <w:proofErr w:type="spellEnd"/>
    </w:p>
    <w:p w14:paraId="7AC299E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Ville: Bastia</w:t>
      </w:r>
    </w:p>
    <w:p w14:paraId="169675B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Code postal: 20407</w:t>
      </w:r>
    </w:p>
    <w:p w14:paraId="252E44F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Subdivision pays (NUTS): Haute-Corse (FRM02)</w:t>
      </w:r>
    </w:p>
    <w:p w14:paraId="7B17C77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Pays: France</w:t>
      </w:r>
    </w:p>
    <w:p w14:paraId="5A4CDC8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greffe.ta-bastia@juradm.fr</w:t>
      </w:r>
    </w:p>
    <w:p w14:paraId="51B40F7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Téléphone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0495328866</w:t>
      </w:r>
    </w:p>
    <w:p w14:paraId="03C2107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Rôles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cette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46FE5C9A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qui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fournit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précisions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concernant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l'introduction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recours</w:t>
      </w:r>
      <w:proofErr w:type="spellEnd"/>
    </w:p>
    <w:p w14:paraId="273362B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8.1 ORG-0003</w:t>
      </w:r>
    </w:p>
    <w:p w14:paraId="795E564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Nom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officiel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Comité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consultatif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interrégional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règlement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amiable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litiges</w:t>
      </w:r>
      <w:proofErr w:type="spellEnd"/>
    </w:p>
    <w:p w14:paraId="3321A9A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Numéro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d'enregistrement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17130000700019</w:t>
      </w:r>
    </w:p>
    <w:p w14:paraId="2D774CA8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postale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Préfecture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Région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Provence Alpes Côte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d'azur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Place Felix Barret CS 80001</w:t>
      </w:r>
    </w:p>
    <w:p w14:paraId="54C497B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Ville: Marseille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cedex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06</w:t>
      </w:r>
    </w:p>
    <w:p w14:paraId="14FCC9F5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Code postal: 13282</w:t>
      </w:r>
    </w:p>
    <w:p w14:paraId="40DC6F4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Subdivision pays (NUTS):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Bouches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-du-Rhône (FRL04)</w:t>
      </w:r>
    </w:p>
    <w:p w14:paraId="63A4F3BE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>Pays: France</w:t>
      </w:r>
    </w:p>
    <w:p w14:paraId="4A27A5C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Adresse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électronique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catherine.pietri@paca.gouv.fr</w:t>
      </w:r>
    </w:p>
    <w:p w14:paraId="6E0F9064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lastRenderedPageBreak/>
        <w:t>Téléphone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0484354554</w:t>
      </w:r>
    </w:p>
    <w:p w14:paraId="66234902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Rôles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cette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</w:t>
      </w:r>
    </w:p>
    <w:p w14:paraId="72B4B527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chargée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procédures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médiation</w:t>
      </w:r>
      <w:proofErr w:type="spellEnd"/>
    </w:p>
    <w:p w14:paraId="19969AC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Informations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relatives à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l'avis</w:t>
      </w:r>
      <w:proofErr w:type="spellEnd"/>
    </w:p>
    <w:p w14:paraId="41BD40E0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Identifiant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/version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l'avis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1f4372c9-79eb-4257-b216-fe3b680b4c08 - 01</w:t>
      </w:r>
    </w:p>
    <w:p w14:paraId="146EB721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formulaire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Mise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concurrence</w:t>
      </w:r>
    </w:p>
    <w:p w14:paraId="76743A16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Type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d'avis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: Avis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marché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concession régime ordinaire</w:t>
      </w:r>
    </w:p>
    <w:p w14:paraId="63E55AAC" w14:textId="77777777" w:rsidR="00A341C7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r w:rsidRPr="00A341C7">
        <w:rPr>
          <w:rFonts w:asciiTheme="minorHAnsi" w:hAnsiTheme="minorHAnsi" w:cstheme="minorHAnsi"/>
          <w:sz w:val="24"/>
          <w:szCs w:val="24"/>
        </w:rPr>
        <w:t xml:space="preserve">Date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d'envoi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l'avis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>: 27/03/2025 13:42 +02:00</w:t>
      </w:r>
    </w:p>
    <w:p w14:paraId="38D7A6C6" w14:textId="70D45BE9" w:rsidR="008F2CD0" w:rsidRPr="00A341C7" w:rsidRDefault="00A341C7" w:rsidP="00A341C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Langues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dans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lesquelles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l'avis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question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41C7">
        <w:rPr>
          <w:rFonts w:asciiTheme="minorHAnsi" w:hAnsiTheme="minorHAnsi" w:cstheme="minorHAnsi"/>
          <w:sz w:val="24"/>
          <w:szCs w:val="24"/>
        </w:rPr>
        <w:t>officiellement</w:t>
      </w:r>
      <w:proofErr w:type="spellEnd"/>
      <w:r w:rsidRPr="00A341C7">
        <w:rPr>
          <w:rFonts w:asciiTheme="minorHAnsi" w:hAnsiTheme="minorHAnsi" w:cstheme="minorHAnsi"/>
          <w:sz w:val="24"/>
          <w:szCs w:val="24"/>
        </w:rPr>
        <w:t xml:space="preserve"> disponible: français</w:t>
      </w:r>
    </w:p>
    <w:sectPr w:rsidR="008F2CD0" w:rsidRPr="00A341C7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C7"/>
    <w:rsid w:val="00080460"/>
    <w:rsid w:val="00115376"/>
    <w:rsid w:val="00373E40"/>
    <w:rsid w:val="006516D7"/>
    <w:rsid w:val="008F2CD0"/>
    <w:rsid w:val="00A01962"/>
    <w:rsid w:val="00A341C7"/>
    <w:rsid w:val="00C710C7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F1E4D"/>
  <w15:chartTrackingRefBased/>
  <w15:docId w15:val="{F800167C-B746-4AB3-B823-9361EF40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2748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2025-03-31T08:12:00Z</dcterms:created>
  <dcterms:modified xsi:type="dcterms:W3CDTF">2025-03-31T08:14:00Z</dcterms:modified>
</cp:coreProperties>
</file>