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573297D2"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C93B97">
        <w:rPr>
          <w:rFonts w:ascii="Arial" w:eastAsia="Montserrat" w:hAnsi="Arial" w:cs="Arial"/>
          <w:b/>
          <w:bCs/>
          <w:color w:val="FF0000"/>
          <w:sz w:val="24"/>
          <w:szCs w:val="24"/>
        </w:rPr>
        <w:t>2</w:t>
      </w:r>
      <w:r w:rsidR="00374A1B">
        <w:rPr>
          <w:rFonts w:ascii="Arial" w:eastAsia="Montserrat" w:hAnsi="Arial" w:cs="Arial"/>
          <w:b/>
          <w:bCs/>
          <w:color w:val="FF0000"/>
          <w:sz w:val="24"/>
          <w:szCs w:val="24"/>
        </w:rPr>
        <w:t>5</w:t>
      </w:r>
      <w:r w:rsidR="00C93B97">
        <w:rPr>
          <w:rFonts w:ascii="Arial" w:eastAsia="Montserrat" w:hAnsi="Arial" w:cs="Arial"/>
          <w:b/>
          <w:bCs/>
          <w:color w:val="FF0000"/>
          <w:sz w:val="24"/>
          <w:szCs w:val="24"/>
        </w:rPr>
        <w:t>-</w:t>
      </w:r>
      <w:r w:rsidR="00D957D6">
        <w:rPr>
          <w:rFonts w:ascii="Arial" w:eastAsia="Montserrat" w:hAnsi="Arial" w:cs="Arial"/>
          <w:b/>
          <w:bCs/>
          <w:color w:val="FF0000"/>
          <w:sz w:val="24"/>
          <w:szCs w:val="24"/>
        </w:rPr>
        <w:t>0</w:t>
      </w:r>
      <w:r w:rsidR="00374A1B">
        <w:rPr>
          <w:rFonts w:ascii="Arial" w:eastAsia="Montserrat" w:hAnsi="Arial" w:cs="Arial"/>
          <w:b/>
          <w:bCs/>
          <w:color w:val="FF0000"/>
          <w:sz w:val="24"/>
          <w:szCs w:val="24"/>
        </w:rPr>
        <w:t>07IHE</w:t>
      </w:r>
    </w:p>
    <w:p w14:paraId="2F9753C8" w14:textId="245B1F3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r w:rsidR="00D1231A">
        <w:rPr>
          <w:rFonts w:ascii="Arial" w:eastAsia="Montserrat" w:hAnsi="Arial" w:cs="Arial"/>
          <w:b/>
          <w:bCs/>
          <w:color w:val="FF0000"/>
          <w:sz w:val="24"/>
          <w:szCs w:val="24"/>
        </w:rPr>
        <w:t xml:space="preserve"> / annexe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E5D4808" w14:textId="4228B79D" w:rsidR="003324ED" w:rsidRDefault="00C93B97" w:rsidP="003324ED">
      <w:pPr>
        <w:spacing w:after="0" w:line="240" w:lineRule="auto"/>
        <w:jc w:val="center"/>
        <w:rPr>
          <w:b/>
          <w:bCs/>
          <w:sz w:val="28"/>
          <w:szCs w:val="28"/>
        </w:rPr>
      </w:pPr>
      <w:r w:rsidRPr="22013B7A">
        <w:rPr>
          <w:b/>
          <w:bCs/>
          <w:sz w:val="28"/>
          <w:szCs w:val="28"/>
        </w:rPr>
        <w:t xml:space="preserve">  MARCHE PUBLIC DE </w:t>
      </w:r>
      <w:r w:rsidR="004C757F">
        <w:rPr>
          <w:b/>
          <w:bCs/>
          <w:sz w:val="28"/>
          <w:szCs w:val="28"/>
        </w:rPr>
        <w:t>PRESTATIONS INTELLECTUELLES</w:t>
      </w:r>
    </w:p>
    <w:p w14:paraId="61096450" w14:textId="77777777" w:rsidR="00C93B97" w:rsidRPr="003324ED" w:rsidRDefault="00C93B97"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31BE598" w14:textId="0B056205" w:rsidR="00AE3167" w:rsidRDefault="00BF233B" w:rsidP="00C93B97">
            <w:pPr>
              <w:jc w:val="center"/>
              <w:rPr>
                <w:rFonts w:ascii="Arial" w:eastAsia="Montserrat" w:hAnsi="Arial" w:cs="Arial"/>
                <w:b/>
                <w:sz w:val="32"/>
                <w:szCs w:val="32"/>
                <w:u w:val="single"/>
              </w:rPr>
            </w:pPr>
            <w:r>
              <w:rPr>
                <w:rFonts w:ascii="Arial" w:eastAsia="Montserrat" w:hAnsi="Arial" w:cs="Arial"/>
                <w:b/>
                <w:sz w:val="32"/>
                <w:szCs w:val="32"/>
                <w:u w:val="single"/>
              </w:rPr>
              <w:t xml:space="preserve">Annexe </w:t>
            </w:r>
            <w:r w:rsidR="00AE3167">
              <w:rPr>
                <w:rFonts w:ascii="Arial" w:eastAsia="Montserrat" w:hAnsi="Arial" w:cs="Arial"/>
                <w:b/>
                <w:sz w:val="32"/>
                <w:szCs w:val="32"/>
                <w:u w:val="single"/>
              </w:rPr>
              <w:t>à l’acte d’engagement</w:t>
            </w:r>
            <w:r w:rsidR="00D1231A">
              <w:rPr>
                <w:rFonts w:ascii="Arial" w:eastAsia="Montserrat" w:hAnsi="Arial" w:cs="Arial"/>
                <w:b/>
                <w:sz w:val="32"/>
                <w:szCs w:val="32"/>
                <w:u w:val="single"/>
              </w:rPr>
              <w:t> : Engagements sociaux</w:t>
            </w:r>
          </w:p>
          <w:p w14:paraId="3CA5AE4B" w14:textId="77777777" w:rsidR="00D957D6" w:rsidRPr="00D957D6" w:rsidRDefault="00D957D6" w:rsidP="00D957D6">
            <w:pPr>
              <w:jc w:val="center"/>
              <w:rPr>
                <w:b/>
                <w:bCs/>
                <w:sz w:val="32"/>
                <w:szCs w:val="32"/>
              </w:rPr>
            </w:pPr>
            <w:r w:rsidRPr="00D957D6">
              <w:rPr>
                <w:b/>
                <w:bCs/>
                <w:sz w:val="32"/>
                <w:szCs w:val="32"/>
              </w:rPr>
              <w:t xml:space="preserve">Assistance à maitrise d’ouvrage </w:t>
            </w:r>
          </w:p>
          <w:p w14:paraId="3B1C4644" w14:textId="77777777" w:rsidR="00D957D6" w:rsidRPr="00D957D6" w:rsidRDefault="00D957D6" w:rsidP="00D957D6">
            <w:pPr>
              <w:jc w:val="center"/>
              <w:rPr>
                <w:b/>
                <w:bCs/>
                <w:sz w:val="32"/>
                <w:szCs w:val="32"/>
              </w:rPr>
            </w:pPr>
          </w:p>
          <w:p w14:paraId="138F50E0" w14:textId="46C0826F" w:rsidR="00C11E23" w:rsidRPr="00C901EE" w:rsidRDefault="00D957D6" w:rsidP="00D957D6">
            <w:pPr>
              <w:jc w:val="center"/>
              <w:rPr>
                <w:b/>
                <w:sz w:val="36"/>
                <w:szCs w:val="36"/>
              </w:rPr>
            </w:pPr>
            <w:r w:rsidRPr="00D957D6">
              <w:rPr>
                <w:b/>
                <w:bCs/>
                <w:sz w:val="32"/>
                <w:szCs w:val="32"/>
              </w:rPr>
              <w:t>Réalisation d’une étude pour la définition d’une stratégie nationale en matière d’exploitation du patrimoine existant par la densification</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6A906D5E" w14:textId="77777777" w:rsidR="00D957D6" w:rsidRDefault="00D957D6" w:rsidP="00FD4446">
      <w:pPr>
        <w:spacing w:before="5" w:line="120" w:lineRule="exact"/>
        <w:jc w:val="both"/>
        <w:rPr>
          <w:rFonts w:eastAsia="Montserrat"/>
          <w:b/>
          <w:bCs/>
        </w:rPr>
      </w:pPr>
    </w:p>
    <w:p w14:paraId="095F389C" w14:textId="77777777" w:rsidR="000B0EF3" w:rsidRPr="00146C8F" w:rsidRDefault="000B0EF3" w:rsidP="000B0EF3">
      <w:pPr>
        <w:ind w:left="109" w:right="-20"/>
        <w:jc w:val="center"/>
        <w:rPr>
          <w:b/>
          <w:bCs/>
          <w:sz w:val="40"/>
          <w:szCs w:val="28"/>
        </w:rPr>
      </w:pPr>
      <w:r w:rsidRPr="00146C8F">
        <w:rPr>
          <w:b/>
          <w:bCs/>
          <w:szCs w:val="16"/>
        </w:rPr>
        <w:t>Marché passé en Appel d'offre ouvert en application des articles L.2124-2, R.2124-2 1° et R. 2161-2 à R. 2161- du Code de la commande publique.</w:t>
      </w: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35C8BD3C" w14:textId="77777777" w:rsidR="00DC6F65" w:rsidRDefault="00DC6F65" w:rsidP="00DC6F65">
      <w:pPr>
        <w:spacing w:before="5" w:after="0" w:line="240" w:lineRule="auto"/>
        <w:rPr>
          <w:rFonts w:ascii="Arial" w:eastAsia="Arial" w:hAnsi="Arial" w:cs="Arial"/>
          <w:sz w:val="12"/>
          <w:szCs w:val="12"/>
        </w:rPr>
      </w:pPr>
    </w:p>
    <w:p w14:paraId="6520F42A" w14:textId="142F556F" w:rsidR="00DC6F65" w:rsidRDefault="00C93B97" w:rsidP="00DC6F65">
      <w:pPr>
        <w:spacing w:before="5" w:after="0" w:line="240" w:lineRule="auto"/>
        <w:rPr>
          <w:rFonts w:ascii="Arial" w:eastAsia="Arial" w:hAnsi="Arial" w:cs="Arial"/>
          <w:sz w:val="12"/>
          <w:szCs w:val="12"/>
        </w:rPr>
      </w:pPr>
      <w:r>
        <w:rPr>
          <w:rFonts w:ascii="Arial" w:eastAsia="Arial" w:hAnsi="Arial" w:cs="Arial"/>
          <w:sz w:val="12"/>
          <w:szCs w:val="12"/>
        </w:rPr>
        <w:t xml:space="preserve"> </w:t>
      </w: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p w14:paraId="1912854D" w14:textId="78AE011C" w:rsidR="008B7E7F" w:rsidRPr="007143D0" w:rsidRDefault="00BF233B" w:rsidP="00BF233B">
      <w:pPr>
        <w:pStyle w:val="Titre1"/>
      </w:pPr>
      <w:bookmarkStart w:id="0" w:name="_Toc481422547"/>
      <w:bookmarkStart w:id="1" w:name="_Toc481413743"/>
      <w:r>
        <w:t xml:space="preserve">engagements pris par le candidat en matière </w:t>
      </w:r>
      <w:r w:rsidR="004A7EFA">
        <w:t>d</w:t>
      </w:r>
      <w:r w:rsidR="00D957D6">
        <w:t>’</w:t>
      </w:r>
      <w:r w:rsidR="004A7EFA">
        <w:t>insertion professionnelle</w:t>
      </w:r>
    </w:p>
    <w:p w14:paraId="5F097978"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S’inscrivant dans le PNAD 2022-2025 (Plan National pour des Achats Durables), la Loi n° 2021-1104 du 22 août 2021 en son article L 2112-2-1-1 du Code de la Commande Publique impose l’intégration de clauses d’exécution </w:t>
      </w:r>
      <w:r w:rsidRPr="00D957D6">
        <w:rPr>
          <w:rFonts w:ascii="Arial" w:hAnsi="Arial" w:cs="Arial"/>
          <w:i/>
          <w:iCs/>
          <w:sz w:val="20"/>
          <w:szCs w:val="20"/>
        </w:rPr>
        <w:t>« prenant en compte des considérations relatives au domaine social ou à l’emploi, notamment en faveur des personnes défavorisées ».</w:t>
      </w:r>
      <w:r w:rsidRPr="00D957D6">
        <w:rPr>
          <w:rFonts w:ascii="Arial" w:hAnsi="Arial" w:cs="Arial"/>
          <w:sz w:val="20"/>
          <w:szCs w:val="20"/>
        </w:rPr>
        <w:t xml:space="preserve"> </w:t>
      </w:r>
    </w:p>
    <w:p w14:paraId="6D9F8B64"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Soucieux d’encourager cette démarche et de favoriser l’intégration sociale des populations éloignées de l’emploi, le Pouvoir Adjudicateur attend du Titulaire du présent marché qu’il s’engage </w:t>
      </w:r>
      <w:r w:rsidRPr="00D957D6">
        <w:rPr>
          <w:rFonts w:ascii="Arial" w:hAnsi="Arial" w:cs="Arial"/>
          <w:sz w:val="20"/>
          <w:szCs w:val="20"/>
          <w:u w:val="single"/>
        </w:rPr>
        <w:t>de façon concrète et transparente</w:t>
      </w:r>
      <w:r w:rsidRPr="00D957D6">
        <w:rPr>
          <w:rFonts w:ascii="Arial" w:hAnsi="Arial" w:cs="Arial"/>
          <w:sz w:val="20"/>
          <w:szCs w:val="20"/>
        </w:rPr>
        <w:t xml:space="preserve"> afin de faciliter l’insertion dans le monde du travail de personnes éloignées de l’emploi ou mesure destinées à développer la formation de personnes en cours d’apprentissage (proposition de stages, partenariat avec des écoles professionnelles</w:t>
      </w:r>
      <w:proofErr w:type="gramStart"/>
      <w:r w:rsidRPr="00D957D6">
        <w:rPr>
          <w:rFonts w:ascii="Arial" w:hAnsi="Arial" w:cs="Arial"/>
          <w:sz w:val="20"/>
          <w:szCs w:val="20"/>
        </w:rPr>
        <w:t xml:space="preserve"> ..</w:t>
      </w:r>
      <w:proofErr w:type="gramEnd"/>
      <w:r w:rsidRPr="00D957D6">
        <w:rPr>
          <w:rFonts w:ascii="Arial" w:hAnsi="Arial" w:cs="Arial"/>
          <w:sz w:val="20"/>
          <w:szCs w:val="20"/>
        </w:rPr>
        <w:t xml:space="preserve"> ). </w:t>
      </w:r>
    </w:p>
    <w:p w14:paraId="27DF9879"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Les engagements du Titulaire sur ce sujet, mesurables et quantifiables, sont rappelés en annexe 2 de l’Acte d’Engagement et feront l’objet </w:t>
      </w:r>
      <w:r w:rsidRPr="00D957D6">
        <w:rPr>
          <w:rFonts w:ascii="Arial" w:hAnsi="Arial" w:cs="Arial"/>
          <w:sz w:val="20"/>
          <w:szCs w:val="20"/>
          <w:u w:val="single"/>
        </w:rPr>
        <w:t>à l’issue du marché et dans un délai de 1 mois  après la fin d’exécution de la mission</w:t>
      </w:r>
      <w:r w:rsidRPr="00D957D6">
        <w:rPr>
          <w:rFonts w:ascii="Arial" w:hAnsi="Arial" w:cs="Arial"/>
          <w:sz w:val="20"/>
          <w:szCs w:val="20"/>
        </w:rPr>
        <w:t xml:space="preserve"> d’un rapport au Pouvoir Adjudicateur. Ce bilan annuel détaillera les démarches entreprises concrètement dans ce domaine au regard des engagements pris à l’appui de l’offre. </w:t>
      </w:r>
    </w:p>
    <w:p w14:paraId="47E91872" w14:textId="77777777" w:rsidR="00D957D6" w:rsidRPr="004C411C" w:rsidRDefault="00D957D6" w:rsidP="00D957D6"/>
    <w:p w14:paraId="545BB9FC" w14:textId="4FEDFD83" w:rsidR="00D957D6" w:rsidRPr="004C411C" w:rsidRDefault="00D957D6" w:rsidP="00D957D6">
      <w:pPr>
        <w:rPr>
          <w:b/>
          <w:bCs/>
        </w:rPr>
      </w:pPr>
      <w:r w:rsidRPr="004C411C">
        <w:rPr>
          <w:b/>
          <w:bCs/>
        </w:rPr>
        <w:t>La non-production de ce rapport ainsi que l’absence de mesures conforme aux engagements sont susceptibles de faire l’objet de pénalité</w:t>
      </w:r>
      <w:r>
        <w:rPr>
          <w:b/>
          <w:bCs/>
        </w:rPr>
        <w:t>s</w:t>
      </w:r>
      <w:r w:rsidRPr="004C411C">
        <w:rPr>
          <w:b/>
          <w:bCs/>
        </w:rPr>
        <w:t xml:space="preserve"> conformément aux dispositions de l‘article </w:t>
      </w:r>
      <w:r>
        <w:rPr>
          <w:b/>
          <w:bCs/>
        </w:rPr>
        <w:t>1</w:t>
      </w:r>
      <w:r w:rsidR="00605A39">
        <w:rPr>
          <w:b/>
          <w:bCs/>
        </w:rPr>
        <w:t>2</w:t>
      </w:r>
      <w:r w:rsidRPr="004C411C">
        <w:rPr>
          <w:b/>
          <w:bCs/>
        </w:rPr>
        <w:t xml:space="preserve"> du </w:t>
      </w:r>
      <w:r w:rsidR="00605A39">
        <w:rPr>
          <w:b/>
          <w:bCs/>
        </w:rPr>
        <w:t>CCP</w:t>
      </w:r>
      <w:r w:rsidRPr="004C411C">
        <w:rPr>
          <w:b/>
          <w:bCs/>
        </w:rPr>
        <w:t>.</w:t>
      </w:r>
    </w:p>
    <w:p w14:paraId="2684179C" w14:textId="6CCF90E9" w:rsidR="008B7E7F" w:rsidRDefault="008B7E7F" w:rsidP="008B7E7F">
      <w:pPr>
        <w:spacing w:after="0" w:line="240" w:lineRule="auto"/>
        <w:jc w:val="both"/>
        <w:rPr>
          <w:rFonts w:ascii="Arial" w:eastAsia="Times New Roman" w:hAnsi="Arial" w:cs="Arial"/>
          <w:lang w:eastAsia="fr-FR"/>
        </w:rPr>
      </w:pPr>
    </w:p>
    <w:p w14:paraId="24042E3C" w14:textId="5484C1F3"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Les informations demandées dans cette annexe servent à l'analyse des offres</w:t>
      </w:r>
      <w:r w:rsidR="00D1231A">
        <w:rPr>
          <w:rFonts w:ascii="Arial" w:hAnsi="Arial" w:cs="Arial"/>
          <w:color w:val="000000"/>
          <w:sz w:val="20"/>
          <w:szCs w:val="20"/>
        </w:rPr>
        <w:t xml:space="preserve">, </w:t>
      </w:r>
      <w:r w:rsidR="00D1231A" w:rsidRPr="00D957D6">
        <w:rPr>
          <w:rFonts w:ascii="Arial" w:hAnsi="Arial" w:cs="Arial"/>
          <w:b/>
          <w:bCs/>
          <w:color w:val="000000"/>
          <w:sz w:val="20"/>
          <w:szCs w:val="20"/>
        </w:rPr>
        <w:t>elles engagent le candidat dans sa réponse.</w:t>
      </w:r>
      <w:r w:rsidRPr="00804C02">
        <w:rPr>
          <w:rFonts w:ascii="Arial" w:hAnsi="Arial" w:cs="Arial"/>
          <w:color w:val="000000"/>
          <w:sz w:val="20"/>
          <w:szCs w:val="20"/>
        </w:rPr>
        <w:t xml:space="preserve"> Dès </w:t>
      </w:r>
      <w:proofErr w:type="spellStart"/>
      <w:r w:rsidRPr="00804C02">
        <w:rPr>
          <w:rFonts w:ascii="Arial" w:hAnsi="Arial" w:cs="Arial"/>
          <w:color w:val="000000"/>
          <w:sz w:val="20"/>
          <w:szCs w:val="20"/>
        </w:rPr>
        <w:t>Iors</w:t>
      </w:r>
      <w:proofErr w:type="spellEnd"/>
      <w:r w:rsidRPr="00804C02">
        <w:rPr>
          <w:rFonts w:ascii="Arial" w:hAnsi="Arial" w:cs="Arial"/>
          <w:color w:val="000000"/>
          <w:sz w:val="20"/>
          <w:szCs w:val="20"/>
        </w:rPr>
        <w:t>, les candidats doivent la renseigner le plus complètement possible, le cas échéant en ayant recours à d’autres documents descriptifs plus détaillés.</w:t>
      </w:r>
    </w:p>
    <w:p w14:paraId="4F6E7AC1" w14:textId="77777777" w:rsidR="00AE3167" w:rsidRPr="00804C02" w:rsidRDefault="00AE3167" w:rsidP="00AE3167">
      <w:pPr>
        <w:pStyle w:val="NormalWeb"/>
        <w:jc w:val="both"/>
        <w:rPr>
          <w:rFonts w:ascii="Arial" w:hAnsi="Arial" w:cs="Arial"/>
          <w:b/>
          <w:bCs/>
          <w:color w:val="000000"/>
          <w:sz w:val="20"/>
          <w:szCs w:val="20"/>
        </w:rPr>
      </w:pPr>
      <w:r w:rsidRPr="00804C02">
        <w:rPr>
          <w:rFonts w:ascii="Arial" w:hAnsi="Arial" w:cs="Arial"/>
          <w:b/>
          <w:bCs/>
          <w:color w:val="000000"/>
          <w:sz w:val="20"/>
          <w:szCs w:val="20"/>
        </w:rPr>
        <w:t>Le caractère incomplet des renseignements fournis ou l’absence de renseignements pourra entraîner le rejet de l’offre comme irrégulière.</w:t>
      </w:r>
    </w:p>
    <w:p w14:paraId="207FDC69" w14:textId="657C59D5" w:rsidR="00AE3167" w:rsidRPr="00804C02" w:rsidRDefault="00804C02" w:rsidP="00804C02">
      <w:pPr>
        <w:pStyle w:val="Titre1"/>
      </w:pPr>
      <w:r>
        <w:t>P</w:t>
      </w:r>
      <w:r w:rsidR="00AE3167" w:rsidRPr="00804C02">
        <w:t>ublic concerné par la prestation d’insertion</w:t>
      </w:r>
    </w:p>
    <w:p w14:paraId="42C98D4A" w14:textId="77777777" w:rsidR="004A7EFA"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xml:space="preserve">En application du présent accord-cadre, le titulaire s'oblige à exécuter une prestation annexe d’insertion de personnes en </w:t>
      </w:r>
      <w:bookmarkStart w:id="2" w:name="_Hlk167811823"/>
      <w:r w:rsidRPr="00804C02">
        <w:rPr>
          <w:rFonts w:ascii="Arial" w:hAnsi="Arial" w:cs="Arial"/>
          <w:color w:val="000000"/>
          <w:sz w:val="20"/>
          <w:szCs w:val="20"/>
        </w:rPr>
        <w:t>difficulté d'accès à l’emploi</w:t>
      </w:r>
      <w:r w:rsidR="004A7EFA">
        <w:rPr>
          <w:rFonts w:ascii="Arial" w:hAnsi="Arial" w:cs="Arial"/>
          <w:color w:val="000000"/>
          <w:sz w:val="20"/>
          <w:szCs w:val="20"/>
        </w:rPr>
        <w:t xml:space="preserve"> </w:t>
      </w:r>
      <w:bookmarkEnd w:id="2"/>
      <w:r w:rsidR="004A7EFA">
        <w:rPr>
          <w:rFonts w:ascii="Arial" w:hAnsi="Arial" w:cs="Arial"/>
          <w:color w:val="000000"/>
          <w:sz w:val="20"/>
          <w:szCs w:val="20"/>
        </w:rPr>
        <w:t xml:space="preserve">ou des personnes en situation d’apprentissage. </w:t>
      </w:r>
    </w:p>
    <w:p w14:paraId="643764AF" w14:textId="01DDC3CC" w:rsidR="00AE3167" w:rsidRPr="00804C02" w:rsidRDefault="004A7EFA" w:rsidP="00AE3167">
      <w:pPr>
        <w:pStyle w:val="NormalWeb"/>
        <w:jc w:val="both"/>
        <w:rPr>
          <w:rFonts w:ascii="Arial" w:hAnsi="Arial" w:cs="Arial"/>
          <w:color w:val="000000"/>
          <w:sz w:val="20"/>
          <w:szCs w:val="20"/>
        </w:rPr>
      </w:pPr>
      <w:r>
        <w:rPr>
          <w:rFonts w:ascii="Arial" w:hAnsi="Arial" w:cs="Arial"/>
          <w:color w:val="000000"/>
          <w:sz w:val="20"/>
          <w:szCs w:val="20"/>
        </w:rPr>
        <w:t>Par « personne en</w:t>
      </w:r>
      <w:r w:rsidRPr="004A7EFA">
        <w:t xml:space="preserve"> </w:t>
      </w:r>
      <w:r w:rsidRPr="004A7EFA">
        <w:rPr>
          <w:rFonts w:ascii="Arial" w:hAnsi="Arial" w:cs="Arial"/>
          <w:color w:val="000000"/>
          <w:sz w:val="20"/>
          <w:szCs w:val="20"/>
        </w:rPr>
        <w:t>difficulté d'accès à l’emploi</w:t>
      </w:r>
      <w:r>
        <w:rPr>
          <w:rFonts w:ascii="Arial" w:hAnsi="Arial" w:cs="Arial"/>
          <w:color w:val="000000"/>
          <w:sz w:val="20"/>
          <w:szCs w:val="20"/>
        </w:rPr>
        <w:t xml:space="preserve"> », on entend </w:t>
      </w:r>
      <w:r w:rsidR="00AE3167" w:rsidRPr="00804C02">
        <w:rPr>
          <w:rFonts w:ascii="Arial" w:hAnsi="Arial" w:cs="Arial"/>
          <w:color w:val="000000"/>
          <w:sz w:val="20"/>
          <w:szCs w:val="20"/>
        </w:rPr>
        <w:t>en</w:t>
      </w:r>
      <w:r w:rsidR="00804C02">
        <w:rPr>
          <w:rFonts w:ascii="Arial" w:hAnsi="Arial" w:cs="Arial"/>
          <w:color w:val="000000"/>
          <w:sz w:val="20"/>
          <w:szCs w:val="20"/>
        </w:rPr>
        <w:t xml:space="preserve"> priorité</w:t>
      </w:r>
      <w:r w:rsidR="00AE3167" w:rsidRPr="00804C02">
        <w:rPr>
          <w:rFonts w:ascii="Arial" w:hAnsi="Arial" w:cs="Arial"/>
          <w:color w:val="000000"/>
          <w:sz w:val="20"/>
          <w:szCs w:val="20"/>
        </w:rPr>
        <w:t xml:space="preserve"> </w:t>
      </w:r>
      <w:r>
        <w:rPr>
          <w:rFonts w:ascii="Arial" w:hAnsi="Arial" w:cs="Arial"/>
          <w:color w:val="000000"/>
          <w:sz w:val="20"/>
          <w:szCs w:val="20"/>
        </w:rPr>
        <w:t>l</w:t>
      </w:r>
      <w:r w:rsidR="00AE3167" w:rsidRPr="00804C02">
        <w:rPr>
          <w:rFonts w:ascii="Arial" w:hAnsi="Arial" w:cs="Arial"/>
          <w:color w:val="000000"/>
          <w:sz w:val="20"/>
          <w:szCs w:val="20"/>
        </w:rPr>
        <w:t>es catégories suivantes :</w:t>
      </w:r>
    </w:p>
    <w:p w14:paraId="3C1E84C9"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demandeurs d’emploi de longue durée (plus de 12 mois d’inscription au chômage) ;</w:t>
      </w:r>
    </w:p>
    <w:p w14:paraId="79D8EC7B" w14:textId="1D8F3029"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allocataires du RSA ou ayant droit ;</w:t>
      </w:r>
    </w:p>
    <w:p w14:paraId="11F5263E"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publics reconnus travailleurs handicapés ;</w:t>
      </w:r>
    </w:p>
    <w:p w14:paraId="04C8E03C" w14:textId="6D166DCE"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bénéficiaires de l’Allocation Spécifique de Solidarité (ASS), de l'Allocation d’insertion, (AI), de l’Allocation Adulte Handicapé (AAH), de l’Allocation d’invalidité ;</w:t>
      </w:r>
    </w:p>
    <w:p w14:paraId="294F0AC1" w14:textId="5C67479F"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jeunes de niveau infra V, c’est-à-dire de niveau inférieur au CAP/BEP ;</w:t>
      </w:r>
    </w:p>
    <w:p w14:paraId="585C675A" w14:textId="44D71308"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personnes prises en charge par les dispositifs d’insertion par l’Activité Economique ;</w:t>
      </w:r>
    </w:p>
    <w:p w14:paraId="6BF5CE58" w14:textId="215DF6B3" w:rsidR="00AE3167" w:rsidRDefault="00D84ECA" w:rsidP="00AE3167">
      <w:pPr>
        <w:pStyle w:val="NormalWeb"/>
        <w:jc w:val="both"/>
        <w:rPr>
          <w:rFonts w:ascii="Arial" w:hAnsi="Arial" w:cs="Arial"/>
          <w:color w:val="000000"/>
          <w:sz w:val="20"/>
          <w:szCs w:val="20"/>
        </w:rPr>
      </w:pPr>
      <w:bookmarkStart w:id="3" w:name="_Hlk167438460"/>
      <w:r>
        <w:rPr>
          <w:rFonts w:ascii="Arial" w:hAnsi="Arial" w:cs="Arial"/>
          <w:color w:val="000000"/>
          <w:sz w:val="20"/>
          <w:szCs w:val="20"/>
        </w:rPr>
        <w:t xml:space="preserve">- </w:t>
      </w:r>
      <w:r w:rsidR="00C52ABB" w:rsidRPr="00804C02">
        <w:rPr>
          <w:rFonts w:ascii="Arial" w:hAnsi="Arial" w:cs="Arial"/>
          <w:color w:val="000000"/>
          <w:sz w:val="20"/>
          <w:szCs w:val="20"/>
        </w:rPr>
        <w:t>Toutes</w:t>
      </w:r>
      <w:r w:rsidR="00AE3167" w:rsidRPr="00804C02">
        <w:rPr>
          <w:rFonts w:ascii="Arial" w:hAnsi="Arial" w:cs="Arial"/>
          <w:color w:val="000000"/>
          <w:sz w:val="20"/>
          <w:szCs w:val="20"/>
        </w:rPr>
        <w:t xml:space="preserve"> personnes rencontrant des difficultés particulières, sur avis motivé de </w:t>
      </w:r>
      <w:r>
        <w:rPr>
          <w:rFonts w:ascii="Arial" w:hAnsi="Arial" w:cs="Arial"/>
          <w:color w:val="000000"/>
          <w:sz w:val="20"/>
          <w:szCs w:val="20"/>
        </w:rPr>
        <w:t>France Travail</w:t>
      </w:r>
      <w:r w:rsidR="00AE3167" w:rsidRPr="00804C02">
        <w:rPr>
          <w:rFonts w:ascii="Arial" w:hAnsi="Arial" w:cs="Arial"/>
          <w:color w:val="000000"/>
          <w:sz w:val="20"/>
          <w:szCs w:val="20"/>
        </w:rPr>
        <w:t xml:space="preserve">, La Maison des Entreprises et de l’Emploi, la </w:t>
      </w:r>
      <w:r>
        <w:rPr>
          <w:rFonts w:ascii="Arial" w:hAnsi="Arial" w:cs="Arial"/>
          <w:color w:val="000000"/>
          <w:sz w:val="20"/>
          <w:szCs w:val="20"/>
        </w:rPr>
        <w:t>m</w:t>
      </w:r>
      <w:r w:rsidR="00AE3167" w:rsidRPr="00804C02">
        <w:rPr>
          <w:rFonts w:ascii="Arial" w:hAnsi="Arial" w:cs="Arial"/>
          <w:color w:val="000000"/>
          <w:sz w:val="20"/>
          <w:szCs w:val="20"/>
        </w:rPr>
        <w:t xml:space="preserve">ission </w:t>
      </w:r>
      <w:r>
        <w:rPr>
          <w:rFonts w:ascii="Arial" w:hAnsi="Arial" w:cs="Arial"/>
          <w:color w:val="000000"/>
          <w:sz w:val="20"/>
          <w:szCs w:val="20"/>
        </w:rPr>
        <w:t>l</w:t>
      </w:r>
      <w:r w:rsidR="00AE3167" w:rsidRPr="00804C02">
        <w:rPr>
          <w:rFonts w:ascii="Arial" w:hAnsi="Arial" w:cs="Arial"/>
          <w:color w:val="000000"/>
          <w:sz w:val="20"/>
          <w:szCs w:val="20"/>
        </w:rPr>
        <w:t>ocale ou CAP Emploi.</w:t>
      </w:r>
    </w:p>
    <w:p w14:paraId="12204453" w14:textId="77777777" w:rsidR="004A7EFA" w:rsidRDefault="004A7EFA" w:rsidP="00AE3167">
      <w:pPr>
        <w:pStyle w:val="NormalWeb"/>
        <w:jc w:val="both"/>
        <w:rPr>
          <w:rFonts w:ascii="Arial" w:hAnsi="Arial" w:cs="Arial"/>
          <w:color w:val="000000"/>
          <w:sz w:val="20"/>
          <w:szCs w:val="20"/>
        </w:rPr>
      </w:pPr>
    </w:p>
    <w:p w14:paraId="706FB46A" w14:textId="21936041" w:rsidR="004A7EFA" w:rsidRDefault="004A7EFA" w:rsidP="00AE3167">
      <w:pPr>
        <w:pStyle w:val="NormalWeb"/>
        <w:jc w:val="both"/>
        <w:rPr>
          <w:rFonts w:ascii="Arial" w:hAnsi="Arial" w:cs="Arial"/>
          <w:color w:val="000000"/>
          <w:sz w:val="20"/>
          <w:szCs w:val="20"/>
        </w:rPr>
      </w:pPr>
      <w:r>
        <w:rPr>
          <w:rFonts w:ascii="Arial" w:hAnsi="Arial" w:cs="Arial"/>
          <w:color w:val="000000"/>
          <w:sz w:val="20"/>
          <w:szCs w:val="20"/>
        </w:rPr>
        <w:t xml:space="preserve">Par « personnes en situation d’apprentissage », on entend toute personne sortant d’un cursus professionnel en lien avec l’objet du marché, de façon directe ou indirecte et nécessitant une valorisation de son parcours par l’obtention d’un stage, d’un apprentissage ou autre. </w:t>
      </w:r>
    </w:p>
    <w:p w14:paraId="238EFE06" w14:textId="77777777" w:rsidR="004A7EFA" w:rsidRPr="00804C02" w:rsidRDefault="004A7EFA" w:rsidP="00AE3167">
      <w:pPr>
        <w:pStyle w:val="NormalWeb"/>
        <w:jc w:val="both"/>
        <w:rPr>
          <w:rFonts w:ascii="Arial" w:hAnsi="Arial" w:cs="Arial"/>
          <w:color w:val="000000"/>
          <w:sz w:val="20"/>
          <w:szCs w:val="20"/>
        </w:rPr>
      </w:pPr>
    </w:p>
    <w:bookmarkEnd w:id="3"/>
    <w:p w14:paraId="4FFA0053" w14:textId="25B4F29E" w:rsidR="00AE3167" w:rsidRPr="00804C02" w:rsidRDefault="00AE3167" w:rsidP="00804C02">
      <w:pPr>
        <w:pStyle w:val="Titre1"/>
      </w:pPr>
      <w:r w:rsidRPr="00804C02">
        <w:t>Engagement du titulaire</w:t>
      </w:r>
    </w:p>
    <w:p w14:paraId="44EB61D2" w14:textId="4B8D7859"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L'entreprise retenue dans le cadre de l’accord-cadre s'engage à mettre en œuvre une action d'insertion au bénéfice de personnes rencontrant des difficultés sociales ou professionnelles particulières</w:t>
      </w:r>
      <w:r w:rsidR="004A7EFA">
        <w:rPr>
          <w:rFonts w:ascii="Arial" w:hAnsi="Arial" w:cs="Arial"/>
          <w:color w:val="000000"/>
          <w:sz w:val="20"/>
          <w:szCs w:val="20"/>
        </w:rPr>
        <w:t xml:space="preserve"> ou en situation d’apprentissage</w:t>
      </w:r>
      <w:r w:rsidRPr="00804C02">
        <w:rPr>
          <w:rFonts w:ascii="Arial" w:hAnsi="Arial" w:cs="Arial"/>
          <w:color w:val="000000"/>
          <w:sz w:val="20"/>
          <w:szCs w:val="20"/>
        </w:rPr>
        <w:t>.</w:t>
      </w:r>
    </w:p>
    <w:p w14:paraId="15147DD3" w14:textId="77777777"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A l’occasion de l’exécution de l’accord-cadre, je (nous) soussigné</w:t>
      </w:r>
    </w:p>
    <w:p w14:paraId="4E2BB489" w14:textId="1C9FFD68"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Déclare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avoir pris connaissance du cahier des clauses administratives particulières et notamment des dispositions relatives à l’action obligatoire d’insertion en faveur de personnes rencontrant des difficultés sociales ou professionnelles particulières</w:t>
      </w:r>
      <w:r w:rsidR="004A7EFA" w:rsidRPr="004A7EFA">
        <w:t xml:space="preserve"> </w:t>
      </w:r>
      <w:r w:rsidR="004A7EFA" w:rsidRPr="004A7EFA">
        <w:rPr>
          <w:rFonts w:ascii="Arial" w:hAnsi="Arial" w:cs="Arial"/>
          <w:color w:val="000000"/>
          <w:sz w:val="20"/>
          <w:szCs w:val="20"/>
        </w:rPr>
        <w:t>ou en situation d’apprentissage</w:t>
      </w:r>
      <w:r w:rsidRPr="00804C02">
        <w:rPr>
          <w:rFonts w:ascii="Arial" w:hAnsi="Arial" w:cs="Arial"/>
          <w:color w:val="000000"/>
          <w:sz w:val="20"/>
          <w:szCs w:val="20"/>
        </w:rPr>
        <w:t>.</w:t>
      </w:r>
    </w:p>
    <w:p w14:paraId="506DC5BA" w14:textId="514401BA" w:rsidR="00C52ABB"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 xml:space="preserve">Je (nous) m’engage (nos) à </w:t>
      </w:r>
      <w:r w:rsidR="00C52ABB" w:rsidRPr="00804C02">
        <w:rPr>
          <w:rFonts w:ascii="Arial" w:hAnsi="Arial" w:cs="Arial"/>
          <w:color w:val="000000"/>
          <w:sz w:val="20"/>
          <w:szCs w:val="20"/>
        </w:rPr>
        <w:t>tout mettre en œuvre pour accueillir des alternants - rencontrant des difficultés d’intégration dans le monde professionnel et/ou en situation de handicap</w:t>
      </w:r>
      <w:r w:rsidR="004A7EFA">
        <w:rPr>
          <w:rFonts w:ascii="Arial" w:hAnsi="Arial" w:cs="Arial"/>
          <w:color w:val="000000"/>
          <w:sz w:val="20"/>
          <w:szCs w:val="20"/>
        </w:rPr>
        <w:t xml:space="preserve"> et/ou en situation d’apprentissage</w:t>
      </w:r>
      <w:r w:rsidR="00C52ABB" w:rsidRPr="00804C02">
        <w:rPr>
          <w:rFonts w:ascii="Arial" w:hAnsi="Arial" w:cs="Arial"/>
          <w:color w:val="000000"/>
          <w:sz w:val="20"/>
          <w:szCs w:val="20"/>
        </w:rPr>
        <w:t xml:space="preserve"> - dont les missions premières seront en lien avec l’objet du marché.</w:t>
      </w:r>
    </w:p>
    <w:p w14:paraId="2D31197A" w14:textId="2CCE02A0"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Je (nous) m’(nous) engage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xml:space="preserve">) à fournir </w:t>
      </w:r>
      <w:r w:rsidR="00C52ABB" w:rsidRPr="00804C02">
        <w:rPr>
          <w:rFonts w:ascii="Arial" w:hAnsi="Arial" w:cs="Arial"/>
          <w:color w:val="000000"/>
          <w:sz w:val="20"/>
          <w:szCs w:val="20"/>
        </w:rPr>
        <w:t>chaque année au Pouvoir Adjudicateur dans un délai de deux mois après la date anniversaire du marché</w:t>
      </w:r>
      <w:r w:rsidRPr="00804C02">
        <w:rPr>
          <w:rFonts w:ascii="Arial" w:hAnsi="Arial" w:cs="Arial"/>
          <w:color w:val="000000"/>
          <w:sz w:val="20"/>
          <w:szCs w:val="20"/>
        </w:rPr>
        <w:t>, les renseignements relatifs</w:t>
      </w:r>
      <w:r w:rsidR="00C52ABB" w:rsidRPr="00804C02">
        <w:rPr>
          <w:rFonts w:ascii="Arial" w:hAnsi="Arial" w:cs="Arial"/>
          <w:color w:val="000000"/>
          <w:sz w:val="20"/>
          <w:szCs w:val="20"/>
        </w:rPr>
        <w:t xml:space="preserve"> aux actions mises en œuvre à ce titre. </w:t>
      </w:r>
    </w:p>
    <w:p w14:paraId="2C671A72" w14:textId="77777777" w:rsidR="0037537D" w:rsidRPr="0037537D" w:rsidRDefault="0037537D" w:rsidP="0037537D">
      <w:pPr>
        <w:pStyle w:val="NormalWeb"/>
        <w:pBdr>
          <w:top w:val="single" w:sz="4" w:space="1" w:color="auto"/>
          <w:left w:val="single" w:sz="4" w:space="4" w:color="auto"/>
          <w:bottom w:val="single" w:sz="4" w:space="1" w:color="auto"/>
          <w:right w:val="single" w:sz="4" w:space="4" w:color="auto"/>
        </w:pBdr>
        <w:jc w:val="both"/>
        <w:rPr>
          <w:rFonts w:ascii="Arial" w:hAnsi="Arial" w:cs="Arial"/>
          <w:i/>
          <w:iCs/>
          <w:color w:val="000000"/>
          <w:sz w:val="20"/>
          <w:szCs w:val="20"/>
        </w:rPr>
      </w:pPr>
      <w:r w:rsidRPr="0037537D">
        <w:rPr>
          <w:rFonts w:ascii="Arial" w:hAnsi="Arial" w:cs="Arial"/>
          <w:i/>
          <w:iCs/>
          <w:color w:val="000000"/>
          <w:sz w:val="20"/>
          <w:szCs w:val="20"/>
        </w:rPr>
        <w:t>L’entreprise doit impérativement répondre aux questions posées, sachant que ce questionnaire servira de support pour l’analyse du « critère de performance en matière d’insertion professionnelle »</w:t>
      </w:r>
    </w:p>
    <w:p w14:paraId="782AA338" w14:textId="77777777" w:rsidR="00804C02" w:rsidRPr="00804C02" w:rsidRDefault="00804C02" w:rsidP="00C52ABB">
      <w:pPr>
        <w:pStyle w:val="NormalWeb"/>
        <w:rPr>
          <w:rFonts w:ascii="Arial" w:hAnsi="Arial" w:cs="Arial"/>
          <w:color w:val="000000"/>
          <w:sz w:val="20"/>
          <w:szCs w:val="20"/>
        </w:rPr>
      </w:pPr>
    </w:p>
    <w:p w14:paraId="0E2CA4FB" w14:textId="2B0012A1" w:rsidR="00AE3167" w:rsidRPr="00804C02" w:rsidRDefault="00AE3167" w:rsidP="00804C02">
      <w:pPr>
        <w:pStyle w:val="Titre1"/>
      </w:pPr>
      <w:r w:rsidRPr="00804C02">
        <w:t>Eléments relatifs à l’insertion</w:t>
      </w:r>
    </w:p>
    <w:p w14:paraId="61C1E58F" w14:textId="70F56AC7" w:rsidR="00AE3167" w:rsidRPr="00804C02" w:rsidRDefault="00AE3167" w:rsidP="00BA140D">
      <w:pPr>
        <w:pStyle w:val="Titre2"/>
      </w:pPr>
      <w:r w:rsidRPr="00804C02">
        <w:t xml:space="preserve">Descriptif de </w:t>
      </w:r>
      <w:r w:rsidR="00D957D6">
        <w:t>la politique</w:t>
      </w:r>
      <w:r w:rsidRPr="00804C02">
        <w:t xml:space="preserve"> insertion </w:t>
      </w:r>
      <w:r w:rsidR="00D957D6">
        <w:t>de</w:t>
      </w:r>
      <w:r w:rsidRPr="00804C02">
        <w:t xml:space="preserve"> l’entreprise</w:t>
      </w:r>
    </w:p>
    <w:p w14:paraId="66907783" w14:textId="77777777" w:rsidR="00AE3167" w:rsidRPr="00804C02" w:rsidRDefault="00AE3167" w:rsidP="00D1231A">
      <w:pPr>
        <w:pStyle w:val="NormalWeb"/>
        <w:jc w:val="both"/>
        <w:rPr>
          <w:rFonts w:ascii="Arial" w:hAnsi="Arial" w:cs="Arial"/>
          <w:i/>
          <w:iCs/>
          <w:color w:val="000000"/>
          <w:sz w:val="20"/>
          <w:szCs w:val="20"/>
          <w:u w:val="single"/>
        </w:rPr>
      </w:pPr>
      <w:r w:rsidRPr="00804C02">
        <w:rPr>
          <w:rFonts w:ascii="Arial" w:hAnsi="Arial" w:cs="Arial"/>
          <w:i/>
          <w:iCs/>
          <w:color w:val="000000"/>
          <w:sz w:val="20"/>
          <w:szCs w:val="20"/>
        </w:rPr>
        <w:t xml:space="preserve">Ce questionnaire doit être complété par chaque candidat. II ne s’agit pas d’exposer la politique générale de l’entreprise en matière d’insertion et de formation professionnelle mais de </w:t>
      </w:r>
      <w:r w:rsidRPr="00804C02">
        <w:rPr>
          <w:rFonts w:ascii="Arial" w:hAnsi="Arial" w:cs="Arial"/>
          <w:i/>
          <w:iCs/>
          <w:color w:val="000000"/>
          <w:sz w:val="20"/>
          <w:szCs w:val="20"/>
          <w:u w:val="single"/>
        </w:rPr>
        <w:t>préciser les mesures qui seront mises en place, dans le cadre du présent accord-cadre, pour répondre de façon concrète, aux indicateurs de la qualité de l’exécution de la clause d’insertion.</w:t>
      </w:r>
    </w:p>
    <w:p w14:paraId="44797D56" w14:textId="1D672B6F" w:rsidR="00AE3167" w:rsidRPr="00804C02" w:rsidRDefault="00AE3167" w:rsidP="00BA140D">
      <w:pPr>
        <w:pStyle w:val="Titre2"/>
      </w:pPr>
      <w:r w:rsidRPr="00374A1B">
        <w:rPr>
          <w:highlight w:val="yellow"/>
        </w:rPr>
        <w:t xml:space="preserve">1 </w:t>
      </w:r>
      <w:r w:rsidR="00C52ABB" w:rsidRPr="00374A1B">
        <w:rPr>
          <w:highlight w:val="yellow"/>
        </w:rPr>
        <w:t>–</w:t>
      </w:r>
      <w:r w:rsidRPr="00374A1B">
        <w:rPr>
          <w:highlight w:val="yellow"/>
        </w:rPr>
        <w:t xml:space="preserve"> </w:t>
      </w:r>
      <w:r w:rsidR="00D957D6" w:rsidRPr="00374A1B">
        <w:rPr>
          <w:highlight w:val="yellow"/>
        </w:rPr>
        <w:t>mesures proposées</w:t>
      </w:r>
      <w:r w:rsidR="00D957D6">
        <w:t xml:space="preserve"> </w:t>
      </w:r>
    </w:p>
    <w:p w14:paraId="7A71E456" w14:textId="02B38BE9" w:rsidR="00AE3167" w:rsidRPr="00804C02" w:rsidRDefault="00D957D6" w:rsidP="00D1231A">
      <w:pPr>
        <w:pStyle w:val="NormalWeb"/>
        <w:jc w:val="both"/>
        <w:rPr>
          <w:rFonts w:ascii="Arial" w:hAnsi="Arial" w:cs="Arial"/>
          <w:i/>
          <w:iCs/>
          <w:color w:val="000000"/>
          <w:sz w:val="20"/>
          <w:szCs w:val="20"/>
        </w:rPr>
      </w:pPr>
      <w:r>
        <w:rPr>
          <w:rFonts w:ascii="Arial" w:hAnsi="Arial" w:cs="Arial"/>
          <w:i/>
          <w:iCs/>
          <w:color w:val="000000"/>
          <w:sz w:val="20"/>
          <w:szCs w:val="20"/>
        </w:rPr>
        <w:t xml:space="preserve">Attention les mesures doivent mesurables et quantifiables au terme du marché. Elles peuvent ne pas être achevées à l’issue du marché mais doivent avoir été initiées et bénéficier d’un niveau suffisant d’avancement à cette date pour pouvoir être considérées comme </w:t>
      </w:r>
      <w:r w:rsidR="00605A39">
        <w:rPr>
          <w:rFonts w:ascii="Arial" w:hAnsi="Arial" w:cs="Arial"/>
          <w:i/>
          <w:iCs/>
          <w:color w:val="000000"/>
          <w:sz w:val="20"/>
          <w:szCs w:val="20"/>
        </w:rPr>
        <w:t>effectives</w:t>
      </w:r>
      <w:r>
        <w:rPr>
          <w:rFonts w:ascii="Arial" w:hAnsi="Arial" w:cs="Arial"/>
          <w:i/>
          <w:iCs/>
          <w:color w:val="000000"/>
          <w:sz w:val="20"/>
          <w:szCs w:val="20"/>
        </w:rPr>
        <w:t xml:space="preserve">. </w:t>
      </w:r>
    </w:p>
    <w:p w14:paraId="0961442F" w14:textId="0AE442AC" w:rsidR="00C52ABB" w:rsidRDefault="00FB14D8" w:rsidP="00BA140D">
      <w:pPr>
        <w:pStyle w:val="Titre2"/>
      </w:pPr>
      <w:r w:rsidRPr="00374A1B">
        <w:rPr>
          <w:highlight w:val="yellow"/>
        </w:rPr>
        <w:t xml:space="preserve">2- </w:t>
      </w:r>
      <w:r w:rsidR="00D957D6" w:rsidRPr="00374A1B">
        <w:rPr>
          <w:highlight w:val="yellow"/>
        </w:rPr>
        <w:t>description des mesures et du planning envisagées</w:t>
      </w:r>
      <w:r w:rsidR="00D957D6">
        <w:t xml:space="preserve"> </w:t>
      </w:r>
    </w:p>
    <w:p w14:paraId="7ECE4DA1" w14:textId="77777777" w:rsidR="00D957D6" w:rsidRDefault="00D957D6" w:rsidP="00D957D6">
      <w:pPr>
        <w:rPr>
          <w:lang w:eastAsia="fr-FR"/>
        </w:rPr>
      </w:pPr>
    </w:p>
    <w:p w14:paraId="4C42EC88" w14:textId="77777777" w:rsidR="00D957D6" w:rsidRDefault="00D957D6" w:rsidP="00D957D6">
      <w:pPr>
        <w:rPr>
          <w:lang w:eastAsia="fr-FR"/>
        </w:rPr>
      </w:pPr>
    </w:p>
    <w:p w14:paraId="4033AEC2" w14:textId="77777777" w:rsidR="00D957D6" w:rsidRDefault="00D957D6" w:rsidP="00D957D6">
      <w:pPr>
        <w:rPr>
          <w:lang w:eastAsia="fr-FR"/>
        </w:rPr>
      </w:pPr>
    </w:p>
    <w:p w14:paraId="15FA9CDE" w14:textId="77777777" w:rsidR="00D957D6" w:rsidRDefault="00D957D6" w:rsidP="00D957D6">
      <w:pPr>
        <w:rPr>
          <w:lang w:eastAsia="fr-FR"/>
        </w:rPr>
      </w:pPr>
    </w:p>
    <w:p w14:paraId="779C5BC5" w14:textId="77777777" w:rsidR="00D957D6" w:rsidRPr="00D957D6" w:rsidRDefault="00D957D6" w:rsidP="00D957D6">
      <w:pPr>
        <w:rPr>
          <w:lang w:eastAsia="fr-FR"/>
        </w:rPr>
      </w:pPr>
    </w:p>
    <w:p w14:paraId="06ED4DD8" w14:textId="6884BBB8" w:rsidR="00AE3167" w:rsidRPr="00804C02" w:rsidRDefault="00A9114D" w:rsidP="00BA140D">
      <w:pPr>
        <w:pStyle w:val="Titre2"/>
      </w:pPr>
      <w:r w:rsidRPr="00374A1B">
        <w:rPr>
          <w:highlight w:val="yellow"/>
        </w:rPr>
        <w:t>3</w:t>
      </w:r>
      <w:r w:rsidR="00FB14D8" w:rsidRPr="00374A1B">
        <w:rPr>
          <w:highlight w:val="yellow"/>
        </w:rPr>
        <w:t>–</w:t>
      </w:r>
      <w:r w:rsidR="00AE3167" w:rsidRPr="00374A1B">
        <w:rPr>
          <w:highlight w:val="yellow"/>
        </w:rPr>
        <w:t xml:space="preserve"> </w:t>
      </w:r>
      <w:r w:rsidR="00FB14D8" w:rsidRPr="00374A1B">
        <w:rPr>
          <w:highlight w:val="yellow"/>
        </w:rPr>
        <w:t xml:space="preserve">Perspectives </w:t>
      </w:r>
      <w:r w:rsidR="00D957D6" w:rsidRPr="00374A1B">
        <w:rPr>
          <w:highlight w:val="yellow"/>
        </w:rPr>
        <w:t>au terme du marché et au-delà</w:t>
      </w:r>
    </w:p>
    <w:p w14:paraId="432EF5D5" w14:textId="1C3D5192" w:rsidR="00AE3167" w:rsidRDefault="00D957D6" w:rsidP="00D1231A">
      <w:pPr>
        <w:pStyle w:val="NormalWeb"/>
        <w:jc w:val="both"/>
        <w:rPr>
          <w:rFonts w:ascii="Arial" w:hAnsi="Arial" w:cs="Arial"/>
          <w:color w:val="000000"/>
          <w:sz w:val="20"/>
          <w:szCs w:val="20"/>
        </w:rPr>
      </w:pPr>
      <w:r>
        <w:rPr>
          <w:rFonts w:ascii="Arial" w:hAnsi="Arial" w:cs="Arial"/>
          <w:color w:val="000000"/>
          <w:sz w:val="20"/>
          <w:szCs w:val="20"/>
        </w:rPr>
        <w:t xml:space="preserve"> </w:t>
      </w:r>
    </w:p>
    <w:p w14:paraId="7BAD9330" w14:textId="77777777" w:rsidR="00D957D6" w:rsidRDefault="00D957D6" w:rsidP="00D1231A">
      <w:pPr>
        <w:pStyle w:val="NormalWeb"/>
        <w:jc w:val="both"/>
        <w:rPr>
          <w:rFonts w:ascii="Arial" w:hAnsi="Arial" w:cs="Arial"/>
          <w:color w:val="000000"/>
          <w:sz w:val="20"/>
          <w:szCs w:val="20"/>
        </w:rPr>
      </w:pPr>
    </w:p>
    <w:p w14:paraId="5C013ACF" w14:textId="77777777" w:rsidR="00D957D6" w:rsidRPr="00804C02" w:rsidRDefault="00D957D6" w:rsidP="00D1231A">
      <w:pPr>
        <w:pStyle w:val="NormalWeb"/>
        <w:jc w:val="both"/>
        <w:rPr>
          <w:rFonts w:ascii="Arial" w:hAnsi="Arial" w:cs="Arial"/>
          <w:color w:val="000000"/>
          <w:sz w:val="20"/>
          <w:szCs w:val="20"/>
        </w:rPr>
      </w:pPr>
    </w:p>
    <w:p w14:paraId="7B73641A" w14:textId="77777777" w:rsidR="00AE3167" w:rsidRPr="00804C02" w:rsidRDefault="00AE3167" w:rsidP="00AE3167">
      <w:pPr>
        <w:spacing w:after="200" w:line="276" w:lineRule="auto"/>
        <w:rPr>
          <w:rFonts w:ascii="Arial" w:eastAsia="Montserrat" w:hAnsi="Arial" w:cs="Arial"/>
          <w:i/>
          <w:iCs/>
          <w:sz w:val="20"/>
          <w:szCs w:val="20"/>
        </w:rPr>
      </w:pPr>
    </w:p>
    <w:p w14:paraId="21EB2018" w14:textId="09B6A55A" w:rsidR="00C72F69" w:rsidRPr="00F85D0E" w:rsidRDefault="00C12F08" w:rsidP="00BF233B">
      <w:pPr>
        <w:pStyle w:val="Titre1"/>
      </w:pPr>
      <w:bookmarkStart w:id="4" w:name="_Toc107924546"/>
      <w:r>
        <w:t>SIGNATURE PAR LE TITULAIRE</w:t>
      </w:r>
      <w:bookmarkEnd w:id="4"/>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3BF1B5A7" w14:textId="119D7E00" w:rsidR="006B3EB1" w:rsidRPr="00C11E23" w:rsidRDefault="006B3EB1">
      <w:pPr>
        <w:rPr>
          <w:rFonts w:ascii="Arial" w:hAnsi="Arial" w:cs="Arial"/>
          <w:color w:val="000000"/>
          <w:sz w:val="20"/>
          <w:szCs w:val="20"/>
        </w:rPr>
      </w:pPr>
      <w:bookmarkStart w:id="5" w:name="page_total_master0"/>
      <w:bookmarkStart w:id="6" w:name="page_total"/>
      <w:bookmarkEnd w:id="0"/>
      <w:bookmarkEnd w:id="1"/>
      <w:bookmarkEnd w:id="5"/>
      <w:bookmarkEnd w:id="6"/>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9AD17" w14:textId="77777777" w:rsidR="007C04B0" w:rsidRDefault="007C04B0" w:rsidP="008B7E7F">
      <w:pPr>
        <w:spacing w:after="0" w:line="240" w:lineRule="auto"/>
      </w:pPr>
      <w:r>
        <w:separator/>
      </w:r>
    </w:p>
  </w:endnote>
  <w:endnote w:type="continuationSeparator" w:id="0">
    <w:p w14:paraId="6D714CBB" w14:textId="77777777" w:rsidR="007C04B0" w:rsidRDefault="007C04B0"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Montserrat Ligh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D562" w14:textId="37622186" w:rsidR="005202C9" w:rsidRPr="005F5226" w:rsidRDefault="00374A1B">
    <w:pPr>
      <w:pStyle w:val="Pieddepage"/>
      <w:rPr>
        <w:noProof/>
        <w:sz w:val="18"/>
        <w:szCs w:val="18"/>
      </w:rPr>
    </w:pPr>
    <w:r>
      <w:rPr>
        <w:sz w:val="18"/>
        <w:szCs w:val="18"/>
      </w:rPr>
      <w:t>25-007IHE</w:t>
    </w:r>
    <w:r w:rsidR="00EB2706">
      <w:rPr>
        <w:sz w:val="18"/>
        <w:szCs w:val="18"/>
      </w:rPr>
      <w:t xml:space="preserve"> </w:t>
    </w:r>
    <w:r w:rsidR="00BF233B">
      <w:rPr>
        <w:sz w:val="18"/>
        <w:szCs w:val="18"/>
      </w:rPr>
      <w:t>–</w:t>
    </w:r>
    <w:r w:rsidR="00EB2706">
      <w:rPr>
        <w:sz w:val="18"/>
        <w:szCs w:val="18"/>
      </w:rPr>
      <w:t xml:space="preserve"> </w:t>
    </w:r>
    <w:r w:rsidR="00BF233B">
      <w:rPr>
        <w:sz w:val="18"/>
        <w:szCs w:val="18"/>
      </w:rPr>
      <w:t>engagements sociaux</w:t>
    </w:r>
    <w:r w:rsidR="005202C9" w:rsidRPr="005F5226">
      <w:rPr>
        <w:sz w:val="18"/>
        <w:szCs w:val="18"/>
      </w:rPr>
      <w:t xml:space="preserve"> </w:t>
    </w:r>
    <w:r w:rsidR="005202C9" w:rsidRPr="005F5226">
      <w:rPr>
        <w:sz w:val="18"/>
        <w:szCs w:val="18"/>
      </w:rPr>
      <w:tab/>
    </w:r>
    <w:r w:rsidR="005202C9" w:rsidRPr="005F5226">
      <w:rPr>
        <w:sz w:val="18"/>
        <w:szCs w:val="18"/>
      </w:rPr>
      <w:tab/>
    </w:r>
    <w:r w:rsidR="005202C9" w:rsidRPr="005F5226">
      <w:rPr>
        <w:bCs/>
        <w:sz w:val="18"/>
        <w:szCs w:val="18"/>
      </w:rPr>
      <w:fldChar w:fldCharType="begin"/>
    </w:r>
    <w:r w:rsidR="005202C9" w:rsidRPr="005F5226">
      <w:rPr>
        <w:bCs/>
        <w:sz w:val="18"/>
        <w:szCs w:val="18"/>
      </w:rPr>
      <w:instrText>PAGE  \* Arabic  \* MERGEFORMAT</w:instrText>
    </w:r>
    <w:r w:rsidR="005202C9" w:rsidRPr="005F5226">
      <w:rPr>
        <w:bCs/>
        <w:sz w:val="18"/>
        <w:szCs w:val="18"/>
      </w:rPr>
      <w:fldChar w:fldCharType="separate"/>
    </w:r>
    <w:r w:rsidR="000B0EF3">
      <w:rPr>
        <w:bCs/>
        <w:noProof/>
        <w:sz w:val="18"/>
        <w:szCs w:val="18"/>
      </w:rPr>
      <w:t>2</w:t>
    </w:r>
    <w:r w:rsidR="005202C9" w:rsidRPr="005F5226">
      <w:rPr>
        <w:bCs/>
        <w:sz w:val="18"/>
        <w:szCs w:val="18"/>
      </w:rPr>
      <w:fldChar w:fldCharType="end"/>
    </w:r>
    <w:r w:rsidR="005202C9" w:rsidRPr="005F5226">
      <w:rPr>
        <w:sz w:val="18"/>
        <w:szCs w:val="18"/>
      </w:rPr>
      <w:t xml:space="preserve"> sur </w:t>
    </w:r>
    <w:r w:rsidR="005202C9" w:rsidRPr="005F5226">
      <w:rPr>
        <w:bCs/>
        <w:sz w:val="18"/>
        <w:szCs w:val="18"/>
      </w:rPr>
      <w:fldChar w:fldCharType="begin"/>
    </w:r>
    <w:r w:rsidR="005202C9" w:rsidRPr="005F5226">
      <w:rPr>
        <w:bCs/>
        <w:sz w:val="18"/>
        <w:szCs w:val="18"/>
      </w:rPr>
      <w:instrText>NUMPAGES  \* Arabic  \* MERGEFORMAT</w:instrText>
    </w:r>
    <w:r w:rsidR="005202C9" w:rsidRPr="005F5226">
      <w:rPr>
        <w:bCs/>
        <w:sz w:val="18"/>
        <w:szCs w:val="18"/>
      </w:rPr>
      <w:fldChar w:fldCharType="separate"/>
    </w:r>
    <w:r w:rsidR="000B0EF3">
      <w:rPr>
        <w:bCs/>
        <w:noProof/>
        <w:sz w:val="18"/>
        <w:szCs w:val="18"/>
      </w:rPr>
      <w:t>4</w:t>
    </w:r>
    <w:r w:rsidR="005202C9"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FCF64" w14:textId="77777777" w:rsidR="007C04B0" w:rsidRDefault="007C04B0" w:rsidP="008B7E7F">
      <w:pPr>
        <w:spacing w:after="0" w:line="240" w:lineRule="auto"/>
      </w:pPr>
      <w:r>
        <w:separator/>
      </w:r>
    </w:p>
  </w:footnote>
  <w:footnote w:type="continuationSeparator" w:id="0">
    <w:p w14:paraId="61C4BE17" w14:textId="77777777" w:rsidR="007C04B0" w:rsidRDefault="007C04B0" w:rsidP="008B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DF3CF2"/>
    <w:multiLevelType w:val="hybridMultilevel"/>
    <w:tmpl w:val="C0EE1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75F33"/>
    <w:multiLevelType w:val="hybridMultilevel"/>
    <w:tmpl w:val="04CEA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87257D"/>
    <w:multiLevelType w:val="hybridMultilevel"/>
    <w:tmpl w:val="C44C0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E278A7"/>
    <w:multiLevelType w:val="hybridMultilevel"/>
    <w:tmpl w:val="04B26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7"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9"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641ACE"/>
    <w:multiLevelType w:val="hybridMultilevel"/>
    <w:tmpl w:val="122C7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4"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16cid:durableId="1427262771">
    <w:abstractNumId w:val="4"/>
  </w:num>
  <w:num w:numId="2" w16cid:durableId="903877023">
    <w:abstractNumId w:val="37"/>
  </w:num>
  <w:num w:numId="3" w16cid:durableId="295569553">
    <w:abstractNumId w:val="44"/>
  </w:num>
  <w:num w:numId="4" w16cid:durableId="2052876567">
    <w:abstractNumId w:val="46"/>
  </w:num>
  <w:num w:numId="5" w16cid:durableId="461114559">
    <w:abstractNumId w:val="3"/>
  </w:num>
  <w:num w:numId="6" w16cid:durableId="916744800">
    <w:abstractNumId w:val="6"/>
  </w:num>
  <w:num w:numId="7" w16cid:durableId="1336150813">
    <w:abstractNumId w:val="31"/>
  </w:num>
  <w:num w:numId="8" w16cid:durableId="75785877">
    <w:abstractNumId w:val="7"/>
  </w:num>
  <w:num w:numId="9" w16cid:durableId="43219109">
    <w:abstractNumId w:val="36"/>
  </w:num>
  <w:num w:numId="10" w16cid:durableId="1914318003">
    <w:abstractNumId w:val="18"/>
  </w:num>
  <w:num w:numId="11" w16cid:durableId="1821725153">
    <w:abstractNumId w:val="1"/>
  </w:num>
  <w:num w:numId="12" w16cid:durableId="91360581">
    <w:abstractNumId w:val="38"/>
  </w:num>
  <w:num w:numId="13" w16cid:durableId="86583164">
    <w:abstractNumId w:val="41"/>
  </w:num>
  <w:num w:numId="14" w16cid:durableId="935986705">
    <w:abstractNumId w:val="34"/>
  </w:num>
  <w:num w:numId="15" w16cid:durableId="746346337">
    <w:abstractNumId w:val="19"/>
  </w:num>
  <w:num w:numId="16" w16cid:durableId="1935891960">
    <w:abstractNumId w:val="21"/>
  </w:num>
  <w:num w:numId="17" w16cid:durableId="1848397441">
    <w:abstractNumId w:val="28"/>
  </w:num>
  <w:num w:numId="18" w16cid:durableId="1793742396">
    <w:abstractNumId w:val="16"/>
  </w:num>
  <w:num w:numId="19" w16cid:durableId="1039666964">
    <w:abstractNumId w:val="22"/>
  </w:num>
  <w:num w:numId="20" w16cid:durableId="179127957">
    <w:abstractNumId w:val="15"/>
  </w:num>
  <w:num w:numId="21" w16cid:durableId="1870945858">
    <w:abstractNumId w:val="40"/>
  </w:num>
  <w:num w:numId="22" w16cid:durableId="1581914117">
    <w:abstractNumId w:val="24"/>
  </w:num>
  <w:num w:numId="23" w16cid:durableId="1888714526">
    <w:abstractNumId w:val="26"/>
  </w:num>
  <w:num w:numId="24" w16cid:durableId="1134328149">
    <w:abstractNumId w:val="39"/>
  </w:num>
  <w:num w:numId="25" w16cid:durableId="389426918">
    <w:abstractNumId w:val="0"/>
  </w:num>
  <w:num w:numId="26" w16cid:durableId="302010079">
    <w:abstractNumId w:val="2"/>
  </w:num>
  <w:num w:numId="27" w16cid:durableId="693654421">
    <w:abstractNumId w:val="27"/>
  </w:num>
  <w:num w:numId="28" w16cid:durableId="1000812826">
    <w:abstractNumId w:val="17"/>
  </w:num>
  <w:num w:numId="29" w16cid:durableId="1427112026">
    <w:abstractNumId w:val="11"/>
  </w:num>
  <w:num w:numId="30" w16cid:durableId="1620526000">
    <w:abstractNumId w:val="25"/>
  </w:num>
  <w:num w:numId="31" w16cid:durableId="2138570993">
    <w:abstractNumId w:val="13"/>
  </w:num>
  <w:num w:numId="32" w16cid:durableId="994335736">
    <w:abstractNumId w:val="8"/>
  </w:num>
  <w:num w:numId="33" w16cid:durableId="239409514">
    <w:abstractNumId w:val="45"/>
  </w:num>
  <w:num w:numId="34" w16cid:durableId="1764763491">
    <w:abstractNumId w:val="9"/>
  </w:num>
  <w:num w:numId="35" w16cid:durableId="3747057">
    <w:abstractNumId w:val="10"/>
  </w:num>
  <w:num w:numId="36" w16cid:durableId="2510219">
    <w:abstractNumId w:val="12"/>
  </w:num>
  <w:num w:numId="37" w16cid:durableId="1619873828">
    <w:abstractNumId w:val="20"/>
  </w:num>
  <w:num w:numId="38" w16cid:durableId="782262488">
    <w:abstractNumId w:val="5"/>
  </w:num>
  <w:num w:numId="39" w16cid:durableId="391469511">
    <w:abstractNumId w:val="43"/>
  </w:num>
  <w:num w:numId="40" w16cid:durableId="40249732">
    <w:abstractNumId w:val="14"/>
  </w:num>
  <w:num w:numId="41" w16cid:durableId="74206662">
    <w:abstractNumId w:val="33"/>
  </w:num>
  <w:num w:numId="42" w16cid:durableId="1040783429">
    <w:abstractNumId w:val="29"/>
  </w:num>
  <w:num w:numId="43" w16cid:durableId="362751443">
    <w:abstractNumId w:val="30"/>
  </w:num>
  <w:num w:numId="44" w16cid:durableId="1679697778">
    <w:abstractNumId w:val="35"/>
  </w:num>
  <w:num w:numId="45" w16cid:durableId="478889028">
    <w:abstractNumId w:val="23"/>
  </w:num>
  <w:num w:numId="46" w16cid:durableId="206529161">
    <w:abstractNumId w:val="32"/>
  </w:num>
  <w:num w:numId="47" w16cid:durableId="173743320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E1A"/>
    <w:rsid w:val="000221EF"/>
    <w:rsid w:val="00022975"/>
    <w:rsid w:val="00026F09"/>
    <w:rsid w:val="000277CD"/>
    <w:rsid w:val="00043FA5"/>
    <w:rsid w:val="0004527F"/>
    <w:rsid w:val="000501A6"/>
    <w:rsid w:val="00055058"/>
    <w:rsid w:val="00056295"/>
    <w:rsid w:val="00064D31"/>
    <w:rsid w:val="0007565E"/>
    <w:rsid w:val="00093CB0"/>
    <w:rsid w:val="000B0EF3"/>
    <w:rsid w:val="000B42F9"/>
    <w:rsid w:val="000B7BB9"/>
    <w:rsid w:val="000D0C82"/>
    <w:rsid w:val="000E1839"/>
    <w:rsid w:val="000F3654"/>
    <w:rsid w:val="000F427F"/>
    <w:rsid w:val="0010061E"/>
    <w:rsid w:val="00100BD9"/>
    <w:rsid w:val="00105D36"/>
    <w:rsid w:val="00106E55"/>
    <w:rsid w:val="001170E0"/>
    <w:rsid w:val="0011741A"/>
    <w:rsid w:val="00123263"/>
    <w:rsid w:val="0012374B"/>
    <w:rsid w:val="00125263"/>
    <w:rsid w:val="00134C49"/>
    <w:rsid w:val="001413C4"/>
    <w:rsid w:val="0014463A"/>
    <w:rsid w:val="00146A7D"/>
    <w:rsid w:val="001633DE"/>
    <w:rsid w:val="001720CE"/>
    <w:rsid w:val="00173B50"/>
    <w:rsid w:val="0017725B"/>
    <w:rsid w:val="00177E1A"/>
    <w:rsid w:val="0019074E"/>
    <w:rsid w:val="001957E4"/>
    <w:rsid w:val="001B14AE"/>
    <w:rsid w:val="001D64FF"/>
    <w:rsid w:val="001E4583"/>
    <w:rsid w:val="001E64AA"/>
    <w:rsid w:val="001F57EF"/>
    <w:rsid w:val="00231CEA"/>
    <w:rsid w:val="00254212"/>
    <w:rsid w:val="002845DC"/>
    <w:rsid w:val="002A2C34"/>
    <w:rsid w:val="002A7CE3"/>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74A1B"/>
    <w:rsid w:val="0037537D"/>
    <w:rsid w:val="00392816"/>
    <w:rsid w:val="00393402"/>
    <w:rsid w:val="003B6AF1"/>
    <w:rsid w:val="003C413C"/>
    <w:rsid w:val="003D0785"/>
    <w:rsid w:val="003D50C0"/>
    <w:rsid w:val="003D7AF2"/>
    <w:rsid w:val="003E07D7"/>
    <w:rsid w:val="00401170"/>
    <w:rsid w:val="0040422B"/>
    <w:rsid w:val="00406125"/>
    <w:rsid w:val="004064D3"/>
    <w:rsid w:val="00431DD1"/>
    <w:rsid w:val="0045584C"/>
    <w:rsid w:val="00465028"/>
    <w:rsid w:val="00465154"/>
    <w:rsid w:val="00467129"/>
    <w:rsid w:val="00483D33"/>
    <w:rsid w:val="00483F01"/>
    <w:rsid w:val="0049084C"/>
    <w:rsid w:val="004A3381"/>
    <w:rsid w:val="004A7EFA"/>
    <w:rsid w:val="004B2E78"/>
    <w:rsid w:val="004C0153"/>
    <w:rsid w:val="004C757F"/>
    <w:rsid w:val="004E3B03"/>
    <w:rsid w:val="004E5676"/>
    <w:rsid w:val="004F3B89"/>
    <w:rsid w:val="005202C9"/>
    <w:rsid w:val="00520CA4"/>
    <w:rsid w:val="00535202"/>
    <w:rsid w:val="00540483"/>
    <w:rsid w:val="0054082F"/>
    <w:rsid w:val="00562516"/>
    <w:rsid w:val="0056311C"/>
    <w:rsid w:val="005709A2"/>
    <w:rsid w:val="00595AE1"/>
    <w:rsid w:val="005978E7"/>
    <w:rsid w:val="005A39E4"/>
    <w:rsid w:val="005B2A07"/>
    <w:rsid w:val="005C2B68"/>
    <w:rsid w:val="005C4DFC"/>
    <w:rsid w:val="005C7AF0"/>
    <w:rsid w:val="005D4BF7"/>
    <w:rsid w:val="005F0575"/>
    <w:rsid w:val="005F61D2"/>
    <w:rsid w:val="006027B1"/>
    <w:rsid w:val="00605A39"/>
    <w:rsid w:val="006113B2"/>
    <w:rsid w:val="00632A24"/>
    <w:rsid w:val="0065325A"/>
    <w:rsid w:val="00660512"/>
    <w:rsid w:val="00667E95"/>
    <w:rsid w:val="0067053A"/>
    <w:rsid w:val="00671F5D"/>
    <w:rsid w:val="00685812"/>
    <w:rsid w:val="006A1B57"/>
    <w:rsid w:val="006A301B"/>
    <w:rsid w:val="006A4AED"/>
    <w:rsid w:val="006B0387"/>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653F0"/>
    <w:rsid w:val="00771C43"/>
    <w:rsid w:val="007760B9"/>
    <w:rsid w:val="007804B5"/>
    <w:rsid w:val="007846FE"/>
    <w:rsid w:val="007871C9"/>
    <w:rsid w:val="007907EA"/>
    <w:rsid w:val="00791642"/>
    <w:rsid w:val="007A0654"/>
    <w:rsid w:val="007A2C0F"/>
    <w:rsid w:val="007B24FA"/>
    <w:rsid w:val="007B4F73"/>
    <w:rsid w:val="007C04B0"/>
    <w:rsid w:val="007D4451"/>
    <w:rsid w:val="007D53A4"/>
    <w:rsid w:val="007D7E4A"/>
    <w:rsid w:val="007D97CA"/>
    <w:rsid w:val="00804C02"/>
    <w:rsid w:val="00836DCC"/>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11C5E"/>
    <w:rsid w:val="009246E5"/>
    <w:rsid w:val="009276D1"/>
    <w:rsid w:val="00927AAF"/>
    <w:rsid w:val="00927E48"/>
    <w:rsid w:val="00932534"/>
    <w:rsid w:val="00990A5F"/>
    <w:rsid w:val="00995723"/>
    <w:rsid w:val="0099781E"/>
    <w:rsid w:val="009A61F0"/>
    <w:rsid w:val="009B6883"/>
    <w:rsid w:val="009C570A"/>
    <w:rsid w:val="009E37A2"/>
    <w:rsid w:val="009E7913"/>
    <w:rsid w:val="009F0CBD"/>
    <w:rsid w:val="00A11232"/>
    <w:rsid w:val="00A2156F"/>
    <w:rsid w:val="00A22966"/>
    <w:rsid w:val="00A2296E"/>
    <w:rsid w:val="00A31857"/>
    <w:rsid w:val="00A5011E"/>
    <w:rsid w:val="00A53F92"/>
    <w:rsid w:val="00A55FE6"/>
    <w:rsid w:val="00A60CF5"/>
    <w:rsid w:val="00A72434"/>
    <w:rsid w:val="00A75F39"/>
    <w:rsid w:val="00A76881"/>
    <w:rsid w:val="00A80046"/>
    <w:rsid w:val="00A9114D"/>
    <w:rsid w:val="00A95804"/>
    <w:rsid w:val="00AB0F11"/>
    <w:rsid w:val="00AB55CA"/>
    <w:rsid w:val="00AC5CBE"/>
    <w:rsid w:val="00AC65D0"/>
    <w:rsid w:val="00AD5B8E"/>
    <w:rsid w:val="00AE3167"/>
    <w:rsid w:val="00AE423C"/>
    <w:rsid w:val="00AF4DA7"/>
    <w:rsid w:val="00AF6B19"/>
    <w:rsid w:val="00AF7056"/>
    <w:rsid w:val="00B02279"/>
    <w:rsid w:val="00B073F5"/>
    <w:rsid w:val="00B11E11"/>
    <w:rsid w:val="00B13F57"/>
    <w:rsid w:val="00B15A86"/>
    <w:rsid w:val="00B25B23"/>
    <w:rsid w:val="00B27AFD"/>
    <w:rsid w:val="00B36AD6"/>
    <w:rsid w:val="00B40B70"/>
    <w:rsid w:val="00B539C3"/>
    <w:rsid w:val="00B560F1"/>
    <w:rsid w:val="00B6567F"/>
    <w:rsid w:val="00BA140D"/>
    <w:rsid w:val="00BA1D71"/>
    <w:rsid w:val="00BB49EE"/>
    <w:rsid w:val="00BB783C"/>
    <w:rsid w:val="00BC7806"/>
    <w:rsid w:val="00BD0B06"/>
    <w:rsid w:val="00BE7A73"/>
    <w:rsid w:val="00BF233B"/>
    <w:rsid w:val="00BF3D09"/>
    <w:rsid w:val="00BF4E9B"/>
    <w:rsid w:val="00BF5BF7"/>
    <w:rsid w:val="00C052D4"/>
    <w:rsid w:val="00C11E23"/>
    <w:rsid w:val="00C12F08"/>
    <w:rsid w:val="00C159A7"/>
    <w:rsid w:val="00C376D3"/>
    <w:rsid w:val="00C52ABB"/>
    <w:rsid w:val="00C551F9"/>
    <w:rsid w:val="00C570BA"/>
    <w:rsid w:val="00C592B3"/>
    <w:rsid w:val="00C6124A"/>
    <w:rsid w:val="00C659BE"/>
    <w:rsid w:val="00C72F69"/>
    <w:rsid w:val="00C901EE"/>
    <w:rsid w:val="00C93B97"/>
    <w:rsid w:val="00CE5BE4"/>
    <w:rsid w:val="00D070B9"/>
    <w:rsid w:val="00D07C9E"/>
    <w:rsid w:val="00D1231A"/>
    <w:rsid w:val="00D14E06"/>
    <w:rsid w:val="00D167C2"/>
    <w:rsid w:val="00D31502"/>
    <w:rsid w:val="00D31D5E"/>
    <w:rsid w:val="00D46383"/>
    <w:rsid w:val="00D57B5D"/>
    <w:rsid w:val="00D84ECA"/>
    <w:rsid w:val="00D85589"/>
    <w:rsid w:val="00D957D6"/>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022B"/>
    <w:rsid w:val="00E3386C"/>
    <w:rsid w:val="00E40D51"/>
    <w:rsid w:val="00E55839"/>
    <w:rsid w:val="00E7278F"/>
    <w:rsid w:val="00E73CE4"/>
    <w:rsid w:val="00E81FC4"/>
    <w:rsid w:val="00EA0F5B"/>
    <w:rsid w:val="00EB0010"/>
    <w:rsid w:val="00EB2706"/>
    <w:rsid w:val="00EC40E8"/>
    <w:rsid w:val="00EE6445"/>
    <w:rsid w:val="00F0035A"/>
    <w:rsid w:val="00F01217"/>
    <w:rsid w:val="00F10BEF"/>
    <w:rsid w:val="00F12088"/>
    <w:rsid w:val="00F13805"/>
    <w:rsid w:val="00F16BE4"/>
    <w:rsid w:val="00F303AC"/>
    <w:rsid w:val="00F45254"/>
    <w:rsid w:val="00F542A7"/>
    <w:rsid w:val="00F70705"/>
    <w:rsid w:val="00F76B7C"/>
    <w:rsid w:val="00F84347"/>
    <w:rsid w:val="00F85995"/>
    <w:rsid w:val="00F85D0E"/>
    <w:rsid w:val="00F96C62"/>
    <w:rsid w:val="00FA64A8"/>
    <w:rsid w:val="00FA79D6"/>
    <w:rsid w:val="00FB14D8"/>
    <w:rsid w:val="00FB3F7C"/>
    <w:rsid w:val="00FB5B28"/>
    <w:rsid w:val="00FC100F"/>
    <w:rsid w:val="00FC1503"/>
    <w:rsid w:val="00FC4ECA"/>
    <w:rsid w:val="00FD4446"/>
    <w:rsid w:val="00FD47ED"/>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BF233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BF233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227687339">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405EE-6495-4C8F-B9C6-52CFEC7F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946</Words>
  <Characters>5209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Amélie DE FOURNOUX</cp:lastModifiedBy>
  <cp:revision>6</cp:revision>
  <cp:lastPrinted>2020-06-17T11:52:00Z</cp:lastPrinted>
  <dcterms:created xsi:type="dcterms:W3CDTF">2024-10-10T12:56:00Z</dcterms:created>
  <dcterms:modified xsi:type="dcterms:W3CDTF">2025-03-24T13:42:00Z</dcterms:modified>
</cp:coreProperties>
</file>