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609C" w:rsidTr="00045F56">
        <w:trPr>
          <w:trHeight w:val="2796"/>
        </w:trPr>
        <w:tc>
          <w:tcPr>
            <w:tcW w:w="4531" w:type="dxa"/>
          </w:tcPr>
          <w:p w:rsidR="00E0609C" w:rsidRDefault="00E0609C" w:rsidP="00045F56">
            <w:pPr>
              <w:rPr>
                <w:b/>
                <w:bCs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B090C64" wp14:editId="652D36BC">
                  <wp:simplePos x="0" y="0"/>
                  <wp:positionH relativeFrom="column">
                    <wp:posOffset>178031</wp:posOffset>
                  </wp:positionH>
                  <wp:positionV relativeFrom="paragraph">
                    <wp:posOffset>389775</wp:posOffset>
                  </wp:positionV>
                  <wp:extent cx="2397125" cy="849630"/>
                  <wp:effectExtent l="0" t="0" r="3175" b="7620"/>
                  <wp:wrapNone/>
                  <wp:docPr id="2" name="Image 2" descr="Une image contenant Police, Graphique, texte, graphism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545799" name="Image 1413545799" descr="Une image contenant Police, Graphique, texte, graphisme&#10;&#10;Description générée automatiquement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7125" cy="849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:rsidR="00E0609C" w:rsidRDefault="00E0609C" w:rsidP="00045F56">
            <w:pPr>
              <w:jc w:val="center"/>
              <w:rPr>
                <w:b/>
                <w:bCs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299C568" wp14:editId="3036EAF8">
                  <wp:simplePos x="0" y="0"/>
                  <wp:positionH relativeFrom="column">
                    <wp:posOffset>182668</wp:posOffset>
                  </wp:positionH>
                  <wp:positionV relativeFrom="paragraph">
                    <wp:posOffset>57381</wp:posOffset>
                  </wp:positionV>
                  <wp:extent cx="2244436" cy="1683327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436" cy="1683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E0609C" w:rsidRDefault="00E0609C" w:rsidP="00E0609C">
      <w:pPr>
        <w:jc w:val="center"/>
        <w:rPr>
          <w:b/>
          <w:bCs/>
        </w:rPr>
      </w:pPr>
    </w:p>
    <w:p w:rsidR="00E0609C" w:rsidRDefault="00E0609C" w:rsidP="00E0609C">
      <w:pPr>
        <w:jc w:val="center"/>
        <w:rPr>
          <w:b/>
          <w:bCs/>
        </w:rPr>
      </w:pPr>
    </w:p>
    <w:p w:rsidR="00E0609C" w:rsidRDefault="00E0609C" w:rsidP="00E0609C">
      <w:pPr>
        <w:jc w:val="center"/>
        <w:rPr>
          <w:b/>
          <w:bCs/>
        </w:rPr>
      </w:pPr>
      <w:r>
        <w:rPr>
          <w:b/>
          <w:bCs/>
        </w:rPr>
        <w:t xml:space="preserve">     </w:t>
      </w:r>
    </w:p>
    <w:p w:rsidR="00E0609C" w:rsidRDefault="00E0609C" w:rsidP="00E0609C">
      <w:pPr>
        <w:jc w:val="center"/>
        <w:rPr>
          <w:b/>
          <w:bCs/>
        </w:rPr>
      </w:pPr>
    </w:p>
    <w:p w:rsidR="00E0609C" w:rsidRPr="00D37024" w:rsidRDefault="00E0609C" w:rsidP="00E0609C">
      <w:pPr>
        <w:jc w:val="center"/>
        <w:rPr>
          <w:b/>
          <w:bCs/>
        </w:rPr>
      </w:pPr>
    </w:p>
    <w:p w:rsidR="00E0609C" w:rsidRPr="00D37024" w:rsidRDefault="00E0609C" w:rsidP="00E0609C">
      <w:pPr>
        <w:jc w:val="center"/>
        <w:rPr>
          <w:b/>
          <w:bCs/>
        </w:rPr>
      </w:pPr>
    </w:p>
    <w:p w:rsidR="00E0609C" w:rsidRPr="00D37024" w:rsidRDefault="00E0609C" w:rsidP="00E0609C">
      <w:pPr>
        <w:jc w:val="center"/>
        <w:rPr>
          <w:b/>
          <w:bCs/>
        </w:rPr>
      </w:pPr>
    </w:p>
    <w:p w:rsidR="00E0609C" w:rsidRPr="00EB5B4B" w:rsidRDefault="00E0609C" w:rsidP="00E0609C">
      <w:pPr>
        <w:pStyle w:val="RedTitre1"/>
        <w:keepNext/>
        <w:framePr w:hSpace="0" w:wrap="auto" w:vAnchor="margin" w:xAlign="left" w:yAlign="inline"/>
        <w:widowControl/>
        <w:shd w:val="clear" w:color="auto" w:fill="FBE4D5" w:themeFill="accent2" w:themeFillTint="33"/>
      </w:pPr>
    </w:p>
    <w:p w:rsidR="00E0609C" w:rsidRPr="00D57C83" w:rsidRDefault="006C0918" w:rsidP="00E0609C">
      <w:pPr>
        <w:pStyle w:val="RedTitre1"/>
        <w:keepNext/>
        <w:framePr w:hSpace="0" w:wrap="auto" w:vAnchor="margin" w:xAlign="left" w:yAlign="inline"/>
        <w:widowControl/>
        <w:shd w:val="clear" w:color="auto" w:fill="FBE4D5" w:themeFill="accent2" w:themeFillTint="33"/>
        <w:rPr>
          <w:sz w:val="32"/>
          <w:szCs w:val="32"/>
        </w:rPr>
      </w:pPr>
      <w:r w:rsidRPr="006C0918">
        <w:rPr>
          <w:sz w:val="32"/>
          <w:szCs w:val="32"/>
        </w:rPr>
        <w:t>Accord-cadre de m</w:t>
      </w:r>
      <w:r w:rsidR="00E0609C" w:rsidRPr="006C0918">
        <w:rPr>
          <w:sz w:val="32"/>
          <w:szCs w:val="32"/>
        </w:rPr>
        <w:t>aîtrise d’œuvre pour les Centres Hospitaliers d’Avignon et de Cavaillon-Lauris</w:t>
      </w:r>
      <w:bookmarkStart w:id="0" w:name="_GoBack"/>
      <w:bookmarkEnd w:id="0"/>
    </w:p>
    <w:p w:rsidR="00E0609C" w:rsidRDefault="00E0609C" w:rsidP="00E0609C">
      <w:pPr>
        <w:pStyle w:val="RedTitre1"/>
        <w:keepNext/>
        <w:framePr w:hSpace="0" w:wrap="auto" w:vAnchor="margin" w:xAlign="left" w:yAlign="inline"/>
        <w:widowControl/>
        <w:shd w:val="clear" w:color="auto" w:fill="FBE4D5" w:themeFill="accent2" w:themeFillTint="33"/>
      </w:pPr>
    </w:p>
    <w:p w:rsidR="00E0609C" w:rsidRDefault="00E0609C" w:rsidP="00E0609C">
      <w:pPr>
        <w:jc w:val="center"/>
        <w:rPr>
          <w:b/>
          <w:bCs/>
        </w:rPr>
      </w:pPr>
    </w:p>
    <w:p w:rsidR="00E0609C" w:rsidRDefault="00E0609C" w:rsidP="00E0609C">
      <w:pPr>
        <w:jc w:val="center"/>
        <w:rPr>
          <w:b/>
          <w:bCs/>
        </w:rPr>
      </w:pPr>
    </w:p>
    <w:p w:rsidR="00E0609C" w:rsidRDefault="00E0609C" w:rsidP="00E0609C">
      <w:pPr>
        <w:jc w:val="center"/>
        <w:rPr>
          <w:b/>
          <w:bCs/>
        </w:rPr>
      </w:pPr>
    </w:p>
    <w:p w:rsidR="00E0609C" w:rsidRDefault="00E0609C" w:rsidP="00E0609C">
      <w:pPr>
        <w:jc w:val="center"/>
        <w:rPr>
          <w:b/>
          <w:bCs/>
        </w:rPr>
      </w:pPr>
    </w:p>
    <w:p w:rsidR="00E0609C" w:rsidRDefault="00E0609C" w:rsidP="00E0609C">
      <w:pPr>
        <w:jc w:val="center"/>
        <w:rPr>
          <w:b/>
          <w:bCs/>
        </w:rPr>
      </w:pPr>
    </w:p>
    <w:p w:rsidR="00E0609C" w:rsidRDefault="00E0609C" w:rsidP="00E0609C">
      <w:pPr>
        <w:jc w:val="center"/>
        <w:rPr>
          <w:b/>
          <w:bCs/>
        </w:rPr>
      </w:pPr>
    </w:p>
    <w:p w:rsidR="00E0609C" w:rsidRPr="00D37024" w:rsidRDefault="00E0609C" w:rsidP="00E0609C">
      <w:pPr>
        <w:jc w:val="center"/>
        <w:rPr>
          <w:b/>
          <w:bCs/>
        </w:rPr>
      </w:pPr>
    </w:p>
    <w:p w:rsidR="00E0609C" w:rsidRPr="00D37024" w:rsidRDefault="00E0609C" w:rsidP="00E0609C">
      <w:pPr>
        <w:jc w:val="center"/>
        <w:rPr>
          <w:b/>
          <w:bCs/>
        </w:rPr>
      </w:pPr>
    </w:p>
    <w:tbl>
      <w:tblPr>
        <w:tblStyle w:val="Grilledutableau"/>
        <w:tblW w:w="9492" w:type="dxa"/>
        <w:tblInd w:w="142" w:type="dxa"/>
        <w:tblLook w:val="04A0" w:firstRow="1" w:lastRow="0" w:firstColumn="1" w:lastColumn="0" w:noHBand="0" w:noVBand="1"/>
      </w:tblPr>
      <w:tblGrid>
        <w:gridCol w:w="9492"/>
      </w:tblGrid>
      <w:tr w:rsidR="00E0609C" w:rsidRPr="00871FD5" w:rsidTr="00045F56">
        <w:trPr>
          <w:trHeight w:val="1032"/>
        </w:trPr>
        <w:tc>
          <w:tcPr>
            <w:tcW w:w="9492" w:type="dxa"/>
            <w:vAlign w:val="center"/>
          </w:tcPr>
          <w:p w:rsidR="00E0609C" w:rsidRPr="00552C4F" w:rsidRDefault="00E0609C" w:rsidP="00045F56">
            <w:pPr>
              <w:spacing w:line="259" w:lineRule="auto"/>
              <w:jc w:val="center"/>
              <w:rPr>
                <w:rFonts w:ascii="Arial" w:hAnsi="Arial" w:cs="Arial"/>
                <w:sz w:val="50"/>
                <w:szCs w:val="50"/>
                <w:highlight w:val="yellow"/>
              </w:rPr>
            </w:pPr>
            <w:r w:rsidRPr="00552C4F">
              <w:rPr>
                <w:rFonts w:ascii="Arial" w:hAnsi="Arial" w:cs="Arial"/>
                <w:b/>
                <w:sz w:val="50"/>
                <w:szCs w:val="50"/>
              </w:rPr>
              <w:t xml:space="preserve">Cadre de </w:t>
            </w:r>
            <w:r w:rsidR="00011571">
              <w:rPr>
                <w:rFonts w:ascii="Arial" w:hAnsi="Arial" w:cs="Arial"/>
                <w:b/>
                <w:sz w:val="50"/>
                <w:szCs w:val="50"/>
              </w:rPr>
              <w:t>mémoire technique</w:t>
            </w:r>
          </w:p>
        </w:tc>
      </w:tr>
    </w:tbl>
    <w:p w:rsidR="00E0609C" w:rsidRPr="00871FD5" w:rsidRDefault="00E0609C" w:rsidP="00E0609C">
      <w:pPr>
        <w:spacing w:line="259" w:lineRule="auto"/>
        <w:ind w:left="142"/>
        <w:rPr>
          <w:highlight w:val="yellow"/>
        </w:rPr>
      </w:pPr>
    </w:p>
    <w:p w:rsidR="00E0609C" w:rsidRPr="00871FD5" w:rsidRDefault="00E0609C" w:rsidP="00E0609C">
      <w:pPr>
        <w:spacing w:line="259" w:lineRule="auto"/>
        <w:ind w:left="142"/>
        <w:rPr>
          <w:highlight w:val="yellow"/>
        </w:rPr>
      </w:pPr>
      <w:r w:rsidRPr="00871FD5">
        <w:rPr>
          <w:highlight w:val="yellow"/>
        </w:rPr>
        <w:t xml:space="preserve"> </w:t>
      </w:r>
    </w:p>
    <w:p w:rsidR="00E0609C" w:rsidRPr="00871FD5" w:rsidRDefault="00E0609C" w:rsidP="00E0609C">
      <w:pPr>
        <w:spacing w:line="259" w:lineRule="auto"/>
        <w:ind w:left="142"/>
      </w:pPr>
    </w:p>
    <w:p w:rsidR="00E0609C" w:rsidRDefault="00E0609C" w:rsidP="00E060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5F6200" w:rsidRDefault="00045F56">
      <w:pPr>
        <w:rPr>
          <w:rFonts w:ascii="Arial" w:hAnsi="Arial" w:cs="Arial"/>
          <w:sz w:val="20"/>
          <w:szCs w:val="20"/>
        </w:rPr>
      </w:pPr>
      <w:r w:rsidRPr="00045F56">
        <w:rPr>
          <w:rFonts w:ascii="Arial" w:hAnsi="Arial" w:cs="Arial"/>
          <w:sz w:val="20"/>
          <w:szCs w:val="20"/>
        </w:rPr>
        <w:lastRenderedPageBreak/>
        <w:t xml:space="preserve">Le mémoire technique est un document qui présente l’offre technique du soumissionnaire répondant à l’ensemble des exigences de la consultation. Le présent document fournit le </w:t>
      </w:r>
      <w:r w:rsidRPr="00045F56">
        <w:rPr>
          <w:rFonts w:ascii="Arial" w:hAnsi="Arial" w:cs="Arial"/>
          <w:b/>
          <w:bCs/>
          <w:sz w:val="20"/>
          <w:szCs w:val="20"/>
        </w:rPr>
        <w:t xml:space="preserve">cadre qui doit être utilisé obligatoirement </w:t>
      </w:r>
      <w:r w:rsidRPr="00045F56">
        <w:rPr>
          <w:rFonts w:ascii="Arial" w:hAnsi="Arial" w:cs="Arial"/>
          <w:sz w:val="20"/>
          <w:szCs w:val="20"/>
        </w:rPr>
        <w:t>pour la remise de l’offre. Si le candidat le juge nécessaire, il peut compléter ce cadre en fournissant des informations supplémentaires en annexe</w:t>
      </w:r>
      <w:r w:rsidR="005F6200">
        <w:rPr>
          <w:rFonts w:ascii="Arial" w:hAnsi="Arial" w:cs="Arial"/>
          <w:sz w:val="20"/>
          <w:szCs w:val="20"/>
        </w:rPr>
        <w:t>.</w:t>
      </w:r>
    </w:p>
    <w:p w:rsidR="00D3667F" w:rsidRPr="00D3667F" w:rsidRDefault="00D3667F">
      <w:pPr>
        <w:rPr>
          <w:rFonts w:ascii="Arial" w:hAnsi="Arial" w:cs="Arial"/>
          <w:sz w:val="20"/>
          <w:szCs w:val="20"/>
        </w:rPr>
      </w:pPr>
    </w:p>
    <w:p w:rsidR="005F6200" w:rsidRDefault="005F6200" w:rsidP="005F6200">
      <w:pPr>
        <w:pStyle w:val="11"/>
        <w:numPr>
          <w:ilvl w:val="0"/>
          <w:numId w:val="0"/>
        </w:numPr>
        <w:shd w:val="clear" w:color="auto" w:fill="FBE4D5" w:themeFill="accent2" w:themeFillTint="33"/>
        <w:ind w:left="360" w:hanging="360"/>
      </w:pPr>
    </w:p>
    <w:p w:rsidR="005F6200" w:rsidRDefault="005F6200" w:rsidP="005F6200">
      <w:pPr>
        <w:pStyle w:val="11"/>
        <w:numPr>
          <w:ilvl w:val="0"/>
          <w:numId w:val="4"/>
        </w:numPr>
        <w:shd w:val="clear" w:color="auto" w:fill="FBE4D5" w:themeFill="accent2" w:themeFillTint="33"/>
      </w:pPr>
      <w:r>
        <w:t>VALEUR TECHNIQUE</w:t>
      </w:r>
    </w:p>
    <w:p w:rsidR="005F6200" w:rsidRPr="003B55EC" w:rsidRDefault="005F6200" w:rsidP="005F6200">
      <w:pPr>
        <w:pStyle w:val="11"/>
        <w:numPr>
          <w:ilvl w:val="0"/>
          <w:numId w:val="0"/>
        </w:numPr>
        <w:shd w:val="clear" w:color="auto" w:fill="FBE4D5" w:themeFill="accent2" w:themeFillTint="33"/>
        <w:ind w:left="360" w:hanging="360"/>
      </w:pPr>
    </w:p>
    <w:p w:rsidR="005F6200" w:rsidRDefault="005F6200">
      <w:pPr>
        <w:rPr>
          <w:rFonts w:ascii="Arial" w:hAnsi="Arial" w:cs="Arial"/>
        </w:rPr>
      </w:pPr>
      <w:bookmarkStart w:id="1" w:name="_Hlk192847075"/>
    </w:p>
    <w:p w:rsidR="005F6200" w:rsidRPr="005F6200" w:rsidRDefault="005F6200" w:rsidP="005F6200">
      <w:pPr>
        <w:numPr>
          <w:ilvl w:val="1"/>
          <w:numId w:val="1"/>
        </w:numPr>
        <w:tabs>
          <w:tab w:val="num" w:pos="576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Qualification et expérience du personnel susceptible d’être assigné à l’exécution des marchés subséquents</w:t>
      </w:r>
    </w:p>
    <w:p w:rsidR="005F6200" w:rsidRDefault="005F6200">
      <w:pPr>
        <w:rPr>
          <w:rFonts w:ascii="Arial" w:hAnsi="Arial" w:cs="Arial"/>
        </w:rPr>
      </w:pPr>
    </w:p>
    <w:bookmarkEnd w:id="1"/>
    <w:p w:rsidR="005F6200" w:rsidRDefault="005F6200" w:rsidP="005F6200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Le candidat présente le responsable physique du marché désigné dans l’acte d’engagement (identité, coordonnées, qualifications, habilitations, diplômes, parcours professionnel) et décrit les moyens humains </w:t>
      </w:r>
      <w:r w:rsidR="0041601C">
        <w:rPr>
          <w:rFonts w:ascii="Arial" w:hAnsi="Arial" w:cs="Arial"/>
          <w:sz w:val="20"/>
          <w:szCs w:val="20"/>
        </w:rPr>
        <w:t>dédiés pour réaliser une mission de base (nombre de personnes mobilisées, qualification et expérience)</w:t>
      </w:r>
    </w:p>
    <w:p w:rsidR="005F6200" w:rsidRDefault="005F6200">
      <w:pPr>
        <w:rPr>
          <w:rFonts w:ascii="Arial" w:hAnsi="Arial" w:cs="Arial"/>
        </w:rPr>
      </w:pPr>
    </w:p>
    <w:p w:rsidR="005F6200" w:rsidRDefault="005F6200">
      <w:pPr>
        <w:rPr>
          <w:rFonts w:ascii="Arial" w:hAnsi="Arial" w:cs="Arial"/>
        </w:rPr>
      </w:pPr>
    </w:p>
    <w:p w:rsidR="00D3667F" w:rsidRDefault="00D3667F">
      <w:pPr>
        <w:rPr>
          <w:rFonts w:ascii="Arial" w:hAnsi="Arial" w:cs="Arial"/>
        </w:rPr>
      </w:pPr>
    </w:p>
    <w:p w:rsidR="00D3667F" w:rsidRDefault="00D3667F">
      <w:pPr>
        <w:rPr>
          <w:rFonts w:ascii="Arial" w:hAnsi="Arial" w:cs="Arial"/>
        </w:rPr>
      </w:pPr>
    </w:p>
    <w:p w:rsidR="00D3667F" w:rsidRDefault="00D3667F">
      <w:pPr>
        <w:rPr>
          <w:rFonts w:ascii="Arial" w:hAnsi="Arial" w:cs="Arial"/>
        </w:rPr>
      </w:pPr>
    </w:p>
    <w:p w:rsidR="00D3667F" w:rsidRDefault="00D3667F">
      <w:pPr>
        <w:rPr>
          <w:rFonts w:ascii="Arial" w:hAnsi="Arial" w:cs="Arial"/>
        </w:rPr>
      </w:pPr>
    </w:p>
    <w:p w:rsidR="00D3667F" w:rsidRDefault="00D3667F">
      <w:pPr>
        <w:rPr>
          <w:rFonts w:ascii="Arial" w:hAnsi="Arial" w:cs="Arial"/>
        </w:rPr>
      </w:pPr>
    </w:p>
    <w:p w:rsidR="005F6200" w:rsidRDefault="005F6200">
      <w:pPr>
        <w:rPr>
          <w:rFonts w:ascii="Arial" w:hAnsi="Arial" w:cs="Arial"/>
        </w:rPr>
      </w:pPr>
    </w:p>
    <w:p w:rsidR="0041601C" w:rsidRDefault="0041601C" w:rsidP="0041601C">
      <w:pPr>
        <w:rPr>
          <w:rFonts w:ascii="Arial" w:hAnsi="Arial" w:cs="Arial"/>
        </w:rPr>
      </w:pPr>
    </w:p>
    <w:p w:rsidR="00D3667F" w:rsidRDefault="00D3667F" w:rsidP="0041601C">
      <w:pPr>
        <w:rPr>
          <w:rFonts w:ascii="Arial" w:hAnsi="Arial" w:cs="Arial"/>
        </w:rPr>
      </w:pPr>
    </w:p>
    <w:p w:rsidR="00EA3CA5" w:rsidRDefault="00EA3CA5" w:rsidP="0041601C">
      <w:pPr>
        <w:rPr>
          <w:rFonts w:ascii="Arial" w:hAnsi="Arial" w:cs="Arial"/>
        </w:rPr>
      </w:pPr>
    </w:p>
    <w:p w:rsidR="00EA3CA5" w:rsidRDefault="00EA3CA5" w:rsidP="0041601C">
      <w:pPr>
        <w:rPr>
          <w:rFonts w:ascii="Arial" w:hAnsi="Arial" w:cs="Arial"/>
        </w:rPr>
      </w:pPr>
    </w:p>
    <w:p w:rsidR="00EA3CA5" w:rsidRDefault="00EA3CA5" w:rsidP="0041601C">
      <w:pPr>
        <w:rPr>
          <w:rFonts w:ascii="Arial" w:hAnsi="Arial" w:cs="Arial"/>
        </w:rPr>
      </w:pPr>
    </w:p>
    <w:p w:rsidR="0041601C" w:rsidRPr="005F6200" w:rsidRDefault="0041601C" w:rsidP="0041601C">
      <w:pPr>
        <w:numPr>
          <w:ilvl w:val="1"/>
          <w:numId w:val="1"/>
        </w:num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Organisation, méthodes et moyens mis en place pour l’exécution des marchés subséquents</w:t>
      </w:r>
    </w:p>
    <w:p w:rsidR="0041601C" w:rsidRDefault="0041601C" w:rsidP="0041601C">
      <w:pPr>
        <w:rPr>
          <w:rFonts w:ascii="Arial" w:hAnsi="Arial" w:cs="Arial"/>
        </w:rPr>
      </w:pPr>
    </w:p>
    <w:p w:rsidR="0041601C" w:rsidRDefault="0041601C" w:rsidP="004160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candidat présente une n</w:t>
      </w:r>
      <w:r w:rsidRPr="005456F0">
        <w:rPr>
          <w:rFonts w:ascii="Arial" w:hAnsi="Arial" w:cs="Arial"/>
          <w:sz w:val="20"/>
          <w:szCs w:val="20"/>
        </w:rPr>
        <w:t>ote méthodologique sur l'organisation de l'équipe</w:t>
      </w:r>
      <w:r w:rsidR="008A5429">
        <w:rPr>
          <w:rFonts w:ascii="Arial" w:hAnsi="Arial" w:cs="Arial"/>
          <w:sz w:val="20"/>
          <w:szCs w:val="20"/>
        </w:rPr>
        <w:t xml:space="preserve"> </w:t>
      </w:r>
      <w:r w:rsidRPr="005456F0">
        <w:rPr>
          <w:rFonts w:ascii="Arial" w:hAnsi="Arial" w:cs="Arial"/>
          <w:sz w:val="20"/>
          <w:szCs w:val="20"/>
        </w:rPr>
        <w:t xml:space="preserve">proposée et son fonctionnement pour assurer le suivi d'exécution et le respect des </w:t>
      </w:r>
      <w:r>
        <w:rPr>
          <w:rFonts w:ascii="Arial" w:hAnsi="Arial" w:cs="Arial"/>
          <w:sz w:val="20"/>
          <w:szCs w:val="20"/>
        </w:rPr>
        <w:t xml:space="preserve">missions </w:t>
      </w:r>
      <w:r w:rsidRPr="005456F0">
        <w:rPr>
          <w:rFonts w:ascii="Arial" w:hAnsi="Arial" w:cs="Arial"/>
          <w:sz w:val="20"/>
          <w:szCs w:val="20"/>
        </w:rPr>
        <w:t>confié</w:t>
      </w:r>
      <w:r>
        <w:rPr>
          <w:rFonts w:ascii="Arial" w:hAnsi="Arial" w:cs="Arial"/>
          <w:sz w:val="20"/>
          <w:szCs w:val="20"/>
        </w:rPr>
        <w:t>e</w:t>
      </w:r>
      <w:r w:rsidRPr="005456F0">
        <w:rPr>
          <w:rFonts w:ascii="Arial" w:hAnsi="Arial" w:cs="Arial"/>
          <w:sz w:val="20"/>
          <w:szCs w:val="20"/>
        </w:rPr>
        <w:t>s</w:t>
      </w:r>
      <w:r w:rsidR="0039201B">
        <w:rPr>
          <w:rFonts w:ascii="Arial" w:hAnsi="Arial" w:cs="Arial"/>
          <w:sz w:val="20"/>
          <w:szCs w:val="20"/>
        </w:rPr>
        <w:t xml:space="preserve"> (base et/ou </w:t>
      </w:r>
      <w:r w:rsidR="00D3667F">
        <w:rPr>
          <w:rFonts w:ascii="Arial" w:hAnsi="Arial" w:cs="Arial"/>
          <w:sz w:val="20"/>
          <w:szCs w:val="20"/>
        </w:rPr>
        <w:t>complémentaires)</w:t>
      </w:r>
      <w:r w:rsidRPr="005456F0">
        <w:rPr>
          <w:rFonts w:ascii="Arial" w:hAnsi="Arial" w:cs="Arial"/>
          <w:sz w:val="20"/>
          <w:szCs w:val="20"/>
        </w:rPr>
        <w:t xml:space="preserve"> lors des marchés subséquents</w:t>
      </w:r>
      <w:r>
        <w:rPr>
          <w:rFonts w:ascii="Arial" w:hAnsi="Arial" w:cs="Arial"/>
          <w:sz w:val="20"/>
          <w:szCs w:val="20"/>
        </w:rPr>
        <w:t xml:space="preserve"> </w:t>
      </w:r>
    </w:p>
    <w:p w:rsidR="0041601C" w:rsidRPr="0041601C" w:rsidRDefault="0041601C" w:rsidP="0041601C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41601C">
        <w:rPr>
          <w:rFonts w:ascii="Arial" w:hAnsi="Arial" w:cs="Arial"/>
          <w:sz w:val="20"/>
          <w:szCs w:val="20"/>
        </w:rPr>
        <w:t>Organisation prévue par le groupement proposé,</w:t>
      </w:r>
    </w:p>
    <w:p w:rsidR="0041601C" w:rsidRDefault="0041601C" w:rsidP="0041601C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41601C">
        <w:rPr>
          <w:rFonts w:ascii="Arial" w:hAnsi="Arial" w:cs="Arial"/>
          <w:sz w:val="20"/>
          <w:szCs w:val="20"/>
        </w:rPr>
        <w:t>Fonctionnement de l’équipe,</w:t>
      </w:r>
    </w:p>
    <w:p w:rsidR="008A5429" w:rsidRPr="0041601C" w:rsidRDefault="00D3667F" w:rsidP="0041601C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Organisation avec les différents interlocuteurs (Moa, BCT, OPC, CSSI si pas confié au titulaire)</w:t>
      </w:r>
    </w:p>
    <w:p w:rsidR="005F6200" w:rsidRPr="00045F56" w:rsidRDefault="005F6200">
      <w:pPr>
        <w:rPr>
          <w:rFonts w:ascii="Arial" w:hAnsi="Arial" w:cs="Arial"/>
        </w:rPr>
      </w:pPr>
    </w:p>
    <w:sectPr w:rsidR="005F6200" w:rsidRPr="00045F5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67F" w:rsidRDefault="00D3667F" w:rsidP="00D3667F">
      <w:r>
        <w:separator/>
      </w:r>
    </w:p>
  </w:endnote>
  <w:endnote w:type="continuationSeparator" w:id="0">
    <w:p w:rsidR="00D3667F" w:rsidRDefault="00D3667F" w:rsidP="00D36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67F" w:rsidRPr="00D3667F" w:rsidRDefault="00D3667F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color w:val="222A35" w:themeColor="text2" w:themeShade="80"/>
        <w:sz w:val="16"/>
        <w:szCs w:val="16"/>
      </w:rPr>
    </w:pPr>
    <w:r w:rsidRPr="00D3667F">
      <w:rPr>
        <w:rFonts w:ascii="Arial" w:hAnsi="Arial" w:cs="Arial"/>
        <w:color w:val="8496B0" w:themeColor="text2" w:themeTint="99"/>
        <w:spacing w:val="60"/>
        <w:sz w:val="16"/>
        <w:szCs w:val="16"/>
      </w:rPr>
      <w:t>Page</w:t>
    </w:r>
    <w:r w:rsidRPr="00D3667F">
      <w:rPr>
        <w:rFonts w:ascii="Arial" w:hAnsi="Arial" w:cs="Arial"/>
        <w:color w:val="8496B0" w:themeColor="text2" w:themeTint="99"/>
        <w:sz w:val="16"/>
        <w:szCs w:val="16"/>
      </w:rPr>
      <w:t xml:space="preserve"> </w:t>
    </w:r>
    <w:r w:rsidRPr="00D3667F">
      <w:rPr>
        <w:rFonts w:ascii="Arial" w:hAnsi="Arial" w:cs="Arial"/>
        <w:color w:val="323E4F" w:themeColor="text2" w:themeShade="BF"/>
        <w:sz w:val="16"/>
        <w:szCs w:val="16"/>
      </w:rPr>
      <w:fldChar w:fldCharType="begin"/>
    </w:r>
    <w:r w:rsidRPr="00D3667F">
      <w:rPr>
        <w:rFonts w:ascii="Arial" w:hAnsi="Arial" w:cs="Arial"/>
        <w:color w:val="323E4F" w:themeColor="text2" w:themeShade="BF"/>
        <w:sz w:val="16"/>
        <w:szCs w:val="16"/>
      </w:rPr>
      <w:instrText>PAGE   \* MERGEFORMAT</w:instrText>
    </w:r>
    <w:r w:rsidRPr="00D3667F">
      <w:rPr>
        <w:rFonts w:ascii="Arial" w:hAnsi="Arial" w:cs="Arial"/>
        <w:color w:val="323E4F" w:themeColor="text2" w:themeShade="BF"/>
        <w:sz w:val="16"/>
        <w:szCs w:val="16"/>
      </w:rPr>
      <w:fldChar w:fldCharType="separate"/>
    </w:r>
    <w:r w:rsidRPr="00D3667F">
      <w:rPr>
        <w:rFonts w:ascii="Arial" w:hAnsi="Arial" w:cs="Arial"/>
        <w:color w:val="323E4F" w:themeColor="text2" w:themeShade="BF"/>
        <w:sz w:val="16"/>
        <w:szCs w:val="16"/>
      </w:rPr>
      <w:t>1</w:t>
    </w:r>
    <w:r w:rsidRPr="00D3667F">
      <w:rPr>
        <w:rFonts w:ascii="Arial" w:hAnsi="Arial" w:cs="Arial"/>
        <w:color w:val="323E4F" w:themeColor="text2" w:themeShade="BF"/>
        <w:sz w:val="16"/>
        <w:szCs w:val="16"/>
      </w:rPr>
      <w:fldChar w:fldCharType="end"/>
    </w:r>
    <w:r w:rsidRPr="00D3667F">
      <w:rPr>
        <w:rFonts w:ascii="Arial" w:hAnsi="Arial" w:cs="Arial"/>
        <w:color w:val="323E4F" w:themeColor="text2" w:themeShade="BF"/>
        <w:sz w:val="16"/>
        <w:szCs w:val="16"/>
      </w:rPr>
      <w:t xml:space="preserve"> | </w:t>
    </w:r>
    <w:r w:rsidRPr="00D3667F">
      <w:rPr>
        <w:rFonts w:ascii="Arial" w:hAnsi="Arial" w:cs="Arial"/>
        <w:color w:val="323E4F" w:themeColor="text2" w:themeShade="BF"/>
        <w:sz w:val="16"/>
        <w:szCs w:val="16"/>
      </w:rPr>
      <w:fldChar w:fldCharType="begin"/>
    </w:r>
    <w:r w:rsidRPr="00D3667F">
      <w:rPr>
        <w:rFonts w:ascii="Arial" w:hAnsi="Arial" w:cs="Arial"/>
        <w:color w:val="323E4F" w:themeColor="text2" w:themeShade="BF"/>
        <w:sz w:val="16"/>
        <w:szCs w:val="16"/>
      </w:rPr>
      <w:instrText>NUMPAGES  \* Arabic  \* MERGEFORMAT</w:instrText>
    </w:r>
    <w:r w:rsidRPr="00D3667F">
      <w:rPr>
        <w:rFonts w:ascii="Arial" w:hAnsi="Arial" w:cs="Arial"/>
        <w:color w:val="323E4F" w:themeColor="text2" w:themeShade="BF"/>
        <w:sz w:val="16"/>
        <w:szCs w:val="16"/>
      </w:rPr>
      <w:fldChar w:fldCharType="separate"/>
    </w:r>
    <w:r w:rsidRPr="00D3667F">
      <w:rPr>
        <w:rFonts w:ascii="Arial" w:hAnsi="Arial" w:cs="Arial"/>
        <w:color w:val="323E4F" w:themeColor="text2" w:themeShade="BF"/>
        <w:sz w:val="16"/>
        <w:szCs w:val="16"/>
      </w:rPr>
      <w:t>1</w:t>
    </w:r>
    <w:r w:rsidRPr="00D3667F">
      <w:rPr>
        <w:rFonts w:ascii="Arial" w:hAnsi="Arial" w:cs="Arial"/>
        <w:color w:val="323E4F" w:themeColor="text2" w:themeShade="BF"/>
        <w:sz w:val="16"/>
        <w:szCs w:val="16"/>
      </w:rPr>
      <w:fldChar w:fldCharType="end"/>
    </w:r>
  </w:p>
  <w:p w:rsidR="00D3667F" w:rsidRDefault="00D366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67F" w:rsidRDefault="00D3667F" w:rsidP="00D3667F">
      <w:r>
        <w:separator/>
      </w:r>
    </w:p>
  </w:footnote>
  <w:footnote w:type="continuationSeparator" w:id="0">
    <w:p w:rsidR="00D3667F" w:rsidRDefault="00D3667F" w:rsidP="00D36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4740F8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D6753C5"/>
    <w:multiLevelType w:val="hybridMultilevel"/>
    <w:tmpl w:val="8AB233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B5596"/>
    <w:multiLevelType w:val="multilevel"/>
    <w:tmpl w:val="457AE682"/>
    <w:lvl w:ilvl="0">
      <w:start w:val="1"/>
      <w:numFmt w:val="decimal"/>
      <w:lvlText w:val="Article %1 "/>
      <w:lvlJc w:val="left"/>
      <w:pPr>
        <w:tabs>
          <w:tab w:val="num" w:pos="1724"/>
        </w:tabs>
        <w:ind w:left="716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43154EFC"/>
    <w:multiLevelType w:val="hybridMultilevel"/>
    <w:tmpl w:val="DDFE0318"/>
    <w:lvl w:ilvl="0" w:tplc="58A2C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797"/>
    <w:multiLevelType w:val="hybridMultilevel"/>
    <w:tmpl w:val="8CBA67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D4F7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8CC055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9C"/>
    <w:rsid w:val="00011571"/>
    <w:rsid w:val="00045F56"/>
    <w:rsid w:val="001F2FA3"/>
    <w:rsid w:val="00302AF2"/>
    <w:rsid w:val="0039201B"/>
    <w:rsid w:val="0041601C"/>
    <w:rsid w:val="005F6200"/>
    <w:rsid w:val="006C0918"/>
    <w:rsid w:val="008A5429"/>
    <w:rsid w:val="00D3667F"/>
    <w:rsid w:val="00E0609C"/>
    <w:rsid w:val="00E95668"/>
    <w:rsid w:val="00EA3CA5"/>
    <w:rsid w:val="00EE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92611B"/>
  <w15:chartTrackingRefBased/>
  <w15:docId w15:val="{5DBFBE28-F44C-4491-A2F1-AD5306098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060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itre1">
    <w:name w:val="RedTitre1"/>
    <w:basedOn w:val="Normal"/>
    <w:rsid w:val="00E0609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rticle1">
    <w:name w:val="article1"/>
    <w:basedOn w:val="Normal"/>
    <w:next w:val="Normal"/>
    <w:rsid w:val="005F62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/>
    </w:pPr>
    <w:rPr>
      <w:rFonts w:ascii="Arial" w:hAnsi="Arial"/>
      <w:b/>
      <w:i/>
      <w:sz w:val="28"/>
    </w:rPr>
  </w:style>
  <w:style w:type="paragraph" w:customStyle="1" w:styleId="11">
    <w:name w:val="1.1"/>
    <w:basedOn w:val="Normal"/>
    <w:rsid w:val="005F6200"/>
    <w:pPr>
      <w:numPr>
        <w:numId w:val="2"/>
      </w:numPr>
      <w:shd w:val="clear" w:color="auto" w:fill="FFCCCC"/>
      <w:spacing w:before="120" w:after="120"/>
    </w:pPr>
    <w:rPr>
      <w:rFonts w:ascii="Arial" w:hAnsi="Arial"/>
      <w:b/>
      <w:sz w:val="22"/>
    </w:rPr>
  </w:style>
  <w:style w:type="paragraph" w:styleId="Paragraphedeliste">
    <w:name w:val="List Paragraph"/>
    <w:basedOn w:val="Normal"/>
    <w:uiPriority w:val="34"/>
    <w:qFormat/>
    <w:rsid w:val="005F6200"/>
    <w:pPr>
      <w:ind w:left="720"/>
      <w:contextualSpacing/>
    </w:pPr>
  </w:style>
  <w:style w:type="paragraph" w:customStyle="1" w:styleId="Default">
    <w:name w:val="Default"/>
    <w:rsid w:val="005F62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D3667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3667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3667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3667F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Severine ANTOLIN Y VEGA CHAMBONCEL</dc:creator>
  <cp:keywords/>
  <dc:description/>
  <cp:lastModifiedBy>Jessica UGOLINI-SAMMUT</cp:lastModifiedBy>
  <cp:revision>6</cp:revision>
  <dcterms:created xsi:type="dcterms:W3CDTF">2025-03-12T15:43:00Z</dcterms:created>
  <dcterms:modified xsi:type="dcterms:W3CDTF">2025-03-28T14:53:00Z</dcterms:modified>
</cp:coreProperties>
</file>