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6880" w14:textId="65160FDE" w:rsidR="0087313A" w:rsidRPr="007614D8" w:rsidRDefault="00591E0B" w:rsidP="0087313A">
      <w:pPr>
        <w:rPr>
          <w:rFonts w:asciiTheme="majorHAnsi" w:hAnsiTheme="majorHAnsi" w:cstheme="majorHAnsi"/>
        </w:rPr>
      </w:pPr>
      <w:r w:rsidRPr="007614D8">
        <w:rPr>
          <w:rFonts w:asciiTheme="majorHAnsi" w:hAnsiTheme="majorHAnsi" w:cstheme="majorHAnsi"/>
          <w:noProof/>
        </w:rPr>
        <w:drawing>
          <wp:inline distT="0" distB="0" distL="0" distR="0" wp14:anchorId="78896D7F" wp14:editId="4B3AA130">
            <wp:extent cx="5760720" cy="601974"/>
            <wp:effectExtent l="0" t="0" r="0" b="8255"/>
            <wp:docPr id="2" name="Image 2"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14D8">
        <w:rPr>
          <w:rFonts w:asciiTheme="majorHAnsi" w:hAnsiTheme="majorHAnsi" w:cstheme="majorHAnsi"/>
        </w:rPr>
        <w:t xml:space="preserve"> </w:t>
      </w:r>
    </w:p>
    <w:p w14:paraId="4081E026" w14:textId="77777777" w:rsidR="0087313A" w:rsidRPr="007614D8" w:rsidRDefault="0087313A" w:rsidP="0087313A">
      <w:pPr>
        <w:widowControl/>
        <w:jc w:val="center"/>
        <w:rPr>
          <w:rFonts w:asciiTheme="majorHAnsi" w:hAnsiTheme="majorHAnsi" w:cstheme="majorHAnsi"/>
          <w:b/>
          <w:bCs/>
        </w:rPr>
      </w:pPr>
    </w:p>
    <w:p w14:paraId="5180F023" w14:textId="77777777" w:rsidR="0087313A" w:rsidRPr="007614D8" w:rsidRDefault="0087313A" w:rsidP="0087313A">
      <w:pPr>
        <w:widowControl/>
        <w:jc w:val="center"/>
        <w:rPr>
          <w:rFonts w:asciiTheme="majorHAnsi" w:hAnsiTheme="majorHAnsi" w:cstheme="majorHAnsi"/>
          <w:b/>
          <w:bCs/>
        </w:rPr>
      </w:pPr>
      <w:bookmarkStart w:id="0" w:name="_GoBack"/>
      <w:bookmarkEnd w:id="0"/>
    </w:p>
    <w:p w14:paraId="5A8962DA" w14:textId="77777777" w:rsidR="0087313A" w:rsidRPr="007614D8" w:rsidRDefault="0087313A" w:rsidP="0087313A">
      <w:pPr>
        <w:pStyle w:val="RedNomDoc"/>
        <w:widowControl/>
        <w:rPr>
          <w:rFonts w:asciiTheme="majorHAnsi" w:hAnsiTheme="majorHAnsi" w:cstheme="majorHAnsi"/>
          <w:bCs w:val="0"/>
          <w:sz w:val="20"/>
          <w:szCs w:val="20"/>
        </w:rPr>
      </w:pPr>
      <w:r w:rsidRPr="007614D8">
        <w:rPr>
          <w:rFonts w:asciiTheme="majorHAnsi" w:hAnsiTheme="majorHAnsi" w:cstheme="majorHAnsi"/>
          <w:bCs w:val="0"/>
          <w:sz w:val="20"/>
          <w:szCs w:val="20"/>
        </w:rPr>
        <w:t xml:space="preserve">REGLEMENT DE LA CONSULTATION </w:t>
      </w:r>
    </w:p>
    <w:p w14:paraId="63A233DD" w14:textId="77777777" w:rsidR="0087313A" w:rsidRPr="007614D8" w:rsidRDefault="0087313A" w:rsidP="0087313A">
      <w:pPr>
        <w:widowControl/>
        <w:jc w:val="center"/>
        <w:rPr>
          <w:rFonts w:asciiTheme="majorHAnsi" w:hAnsiTheme="majorHAnsi" w:cstheme="majorHAnsi"/>
          <w:b/>
          <w:bCs/>
        </w:rPr>
      </w:pPr>
    </w:p>
    <w:p w14:paraId="60AC89FD" w14:textId="77777777" w:rsidR="0087313A" w:rsidRPr="007614D8" w:rsidRDefault="0087313A" w:rsidP="0087313A">
      <w:pPr>
        <w:widowControl/>
        <w:jc w:val="center"/>
        <w:rPr>
          <w:rFonts w:asciiTheme="majorHAnsi" w:hAnsiTheme="majorHAnsi" w:cstheme="majorHAnsi"/>
          <w:b/>
          <w:bCs/>
        </w:rPr>
      </w:pPr>
    </w:p>
    <w:p w14:paraId="56368D8B" w14:textId="1E364BDF" w:rsidR="0087313A" w:rsidRPr="007614D8" w:rsidRDefault="0087313A" w:rsidP="0087313A">
      <w:pPr>
        <w:jc w:val="center"/>
        <w:rPr>
          <w:rFonts w:asciiTheme="majorHAnsi" w:hAnsiTheme="majorHAnsi" w:cstheme="majorHAnsi"/>
          <w:b/>
        </w:rPr>
      </w:pPr>
      <w:r w:rsidRPr="007614D8">
        <w:rPr>
          <w:rFonts w:asciiTheme="majorHAnsi" w:hAnsiTheme="majorHAnsi" w:cstheme="majorHAnsi"/>
          <w:b/>
        </w:rPr>
        <w:t>MARCHES PUBLICS DE</w:t>
      </w:r>
      <w:r w:rsidR="007614D8" w:rsidRPr="007614D8">
        <w:rPr>
          <w:rFonts w:asciiTheme="majorHAnsi" w:hAnsiTheme="majorHAnsi" w:cstheme="majorHAnsi"/>
          <w:b/>
        </w:rPr>
        <w:t xml:space="preserve"> SERVICE</w:t>
      </w:r>
    </w:p>
    <w:p w14:paraId="05E0F726" w14:textId="77777777" w:rsidR="0087313A" w:rsidRPr="007614D8" w:rsidRDefault="0087313A" w:rsidP="0087313A">
      <w:pPr>
        <w:jc w:val="center"/>
        <w:rPr>
          <w:rFonts w:asciiTheme="majorHAnsi" w:hAnsiTheme="majorHAnsi" w:cstheme="majorHAnsi"/>
          <w:b/>
          <w:bCs/>
        </w:rPr>
      </w:pPr>
    </w:p>
    <w:p w14:paraId="227624A1" w14:textId="77777777" w:rsidR="0087313A" w:rsidRPr="007614D8" w:rsidRDefault="0087313A" w:rsidP="0087313A">
      <w:pPr>
        <w:jc w:val="center"/>
        <w:rPr>
          <w:rFonts w:asciiTheme="majorHAnsi" w:hAnsiTheme="majorHAnsi" w:cstheme="majorHAnsi"/>
          <w:b/>
          <w:bCs/>
        </w:rPr>
      </w:pPr>
    </w:p>
    <w:p w14:paraId="2967F454"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4150B11"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Personne publique :</w:t>
      </w:r>
    </w:p>
    <w:p w14:paraId="065648C5"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37326CE2"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CENTRE HOSPITALIER UNIVERSITAIRE DE MONTPELLIER</w:t>
      </w:r>
    </w:p>
    <w:p w14:paraId="2487E03D"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ETABLISSEMENT SUPPORT DU GHT DE L’EST HERAULT ET DU SUD AVEYRON</w:t>
      </w:r>
    </w:p>
    <w:p w14:paraId="0BB2383D"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C2B42CC" w14:textId="355A46C8" w:rsidR="00880C8E" w:rsidRPr="007614D8" w:rsidRDefault="00880C8E"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CENTRE ADMINISTRATIF ANDRE BENECH</w:t>
      </w:r>
    </w:p>
    <w:p w14:paraId="1B7E4B0B" w14:textId="066001A1" w:rsidR="00681068" w:rsidRPr="007614D8" w:rsidRDefault="00880C8E"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191, Avenue du Doyen Gaston Giraud</w:t>
      </w:r>
    </w:p>
    <w:p w14:paraId="65DB2B67"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34295 MONTPELLIER CEDEX 5</w:t>
      </w:r>
    </w:p>
    <w:p w14:paraId="241D0ABA"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931422A"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38B11C8" w14:textId="7CFDA439" w:rsidR="007614D8"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highlight w:val="cyan"/>
        </w:rPr>
      </w:pPr>
      <w:r w:rsidRPr="007614D8">
        <w:rPr>
          <w:rFonts w:asciiTheme="majorHAnsi" w:hAnsiTheme="majorHAnsi" w:cstheme="majorHAnsi"/>
          <w:sz w:val="20"/>
          <w:szCs w:val="20"/>
        </w:rPr>
        <w:t xml:space="preserve">N° Affaire : </w:t>
      </w:r>
      <w:r w:rsidR="007614D8" w:rsidRPr="007614D8">
        <w:rPr>
          <w:rFonts w:asciiTheme="majorHAnsi" w:hAnsiTheme="majorHAnsi" w:cstheme="majorHAnsi"/>
          <w:sz w:val="20"/>
          <w:szCs w:val="20"/>
        </w:rPr>
        <w:t>25A0072</w:t>
      </w:r>
    </w:p>
    <w:p w14:paraId="13B7722A" w14:textId="40BFA789"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___________________________________________________</w:t>
      </w:r>
    </w:p>
    <w:p w14:paraId="7FA37851"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3D4BAB12"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Objet de la consultation :</w:t>
      </w:r>
    </w:p>
    <w:p w14:paraId="1AEE9DE5"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609017D" w14:textId="77777777" w:rsidR="007614D8" w:rsidRPr="007614D8" w:rsidRDefault="007614D8" w:rsidP="0087313A">
      <w:pPr>
        <w:pStyle w:val="RedTitre1"/>
        <w:framePr w:hSpace="0" w:wrap="auto" w:vAnchor="margin" w:xAlign="left" w:yAlign="inline"/>
        <w:rPr>
          <w:rFonts w:asciiTheme="majorHAnsi" w:hAnsiTheme="majorHAnsi" w:cstheme="majorHAnsi"/>
          <w:sz w:val="20"/>
          <w:szCs w:val="20"/>
        </w:rPr>
      </w:pPr>
    </w:p>
    <w:p w14:paraId="4E04F7FF" w14:textId="50C5C2DF" w:rsidR="0087313A" w:rsidRPr="007614D8" w:rsidRDefault="007614D8" w:rsidP="0087313A">
      <w:pPr>
        <w:pStyle w:val="RedTitre1"/>
        <w:framePr w:hSpace="0" w:wrap="auto" w:vAnchor="margin" w:xAlign="left" w:yAlign="inline"/>
        <w:rPr>
          <w:rFonts w:asciiTheme="majorHAnsi" w:hAnsiTheme="majorHAnsi" w:cstheme="majorHAnsi"/>
          <w:sz w:val="20"/>
          <w:szCs w:val="20"/>
        </w:rPr>
      </w:pPr>
      <w:r w:rsidRPr="007614D8">
        <w:rPr>
          <w:rFonts w:asciiTheme="majorHAnsi" w:hAnsiTheme="majorHAnsi" w:cstheme="majorHAnsi"/>
          <w:sz w:val="20"/>
          <w:szCs w:val="20"/>
        </w:rPr>
        <w:t>FABRICATION ET REPARATION EN SELLERIE</w:t>
      </w:r>
    </w:p>
    <w:p w14:paraId="4DD1BD34" w14:textId="77777777" w:rsidR="007614D8" w:rsidRPr="007614D8" w:rsidRDefault="007614D8" w:rsidP="0087313A">
      <w:pPr>
        <w:pStyle w:val="RedTitre1"/>
        <w:framePr w:hSpace="0" w:wrap="auto" w:vAnchor="margin" w:xAlign="left" w:yAlign="inline"/>
        <w:rPr>
          <w:rFonts w:asciiTheme="majorHAnsi" w:hAnsiTheme="majorHAnsi" w:cstheme="majorHAnsi"/>
          <w:sz w:val="20"/>
          <w:szCs w:val="20"/>
        </w:rPr>
      </w:pPr>
    </w:p>
    <w:p w14:paraId="2FAAD179"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___________________________________________________</w:t>
      </w:r>
    </w:p>
    <w:p w14:paraId="4732CEA5"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32E78EC"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8E19535"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 xml:space="preserve">Etabli en application de l’Ordonnance </w:t>
      </w:r>
      <w:r w:rsidRPr="007614D8">
        <w:rPr>
          <w:rFonts w:asciiTheme="majorHAnsi" w:hAnsiTheme="majorHAnsi" w:cstheme="majorHAnsi"/>
          <w:bCs w:val="0"/>
          <w:sz w:val="20"/>
          <w:szCs w:val="20"/>
        </w:rPr>
        <w:t>n° 2018-1074 du 26 novembre 2018 portant partie législative et du D</w:t>
      </w:r>
      <w:r w:rsidRPr="007614D8">
        <w:rPr>
          <w:rFonts w:asciiTheme="majorHAnsi" w:hAnsiTheme="majorHAnsi" w:cstheme="majorHAnsi"/>
          <w:sz w:val="20"/>
          <w:szCs w:val="20"/>
        </w:rPr>
        <w:t>écret n° 2018-1075 du 3 décembre 2018 portant partie réglementaire du code de la commande publique</w:t>
      </w:r>
    </w:p>
    <w:p w14:paraId="7125D0D2"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2C8EC78"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La procédure de consultation utilisée est la suivante :</w:t>
      </w:r>
    </w:p>
    <w:p w14:paraId="01248BE4"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r w:rsidRPr="007614D8">
        <w:rPr>
          <w:rFonts w:asciiTheme="majorHAnsi" w:eastAsia="Arial" w:hAnsiTheme="majorHAnsi" w:cstheme="majorHAnsi"/>
          <w:b w:val="0"/>
          <w:bCs w:val="0"/>
          <w:sz w:val="20"/>
          <w:szCs w:val="20"/>
        </w:rPr>
        <w:t>Procédure adaptée en application des articles L.2120-1 2°, L. 2123-1, R. 2123-1, R 2123-4 à 6 et R. 2131-12 du code de la commande publique</w:t>
      </w:r>
    </w:p>
    <w:p w14:paraId="72176A90"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iCs/>
          <w:sz w:val="20"/>
          <w:szCs w:val="20"/>
        </w:rPr>
      </w:pPr>
    </w:p>
    <w:p w14:paraId="0760141F" w14:textId="77777777" w:rsidR="0087313A" w:rsidRPr="007614D8" w:rsidRDefault="0087313A" w:rsidP="0087313A">
      <w:pPr>
        <w:widowControl/>
        <w:jc w:val="center"/>
        <w:rPr>
          <w:rFonts w:asciiTheme="majorHAnsi" w:hAnsiTheme="majorHAnsi" w:cstheme="majorHAnsi"/>
          <w:b/>
          <w:bCs/>
        </w:rPr>
      </w:pPr>
    </w:p>
    <w:p w14:paraId="0BF0A761" w14:textId="28E8B386"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 xml:space="preserve">Date et heure limites de remise des offres : </w:t>
      </w:r>
      <w:r w:rsidR="00734DA3">
        <w:rPr>
          <w:rFonts w:asciiTheme="majorHAnsi" w:hAnsiTheme="majorHAnsi" w:cstheme="majorHAnsi"/>
        </w:rPr>
        <w:t>07</w:t>
      </w:r>
      <w:r w:rsidR="006D4B71">
        <w:rPr>
          <w:rFonts w:asciiTheme="majorHAnsi" w:hAnsiTheme="majorHAnsi" w:cstheme="majorHAnsi"/>
        </w:rPr>
        <w:t>/</w:t>
      </w:r>
      <w:r w:rsidR="00734DA3">
        <w:rPr>
          <w:rFonts w:asciiTheme="majorHAnsi" w:hAnsiTheme="majorHAnsi" w:cstheme="majorHAnsi"/>
        </w:rPr>
        <w:t>05</w:t>
      </w:r>
      <w:r w:rsidR="006D4B71">
        <w:rPr>
          <w:rFonts w:asciiTheme="majorHAnsi" w:hAnsiTheme="majorHAnsi" w:cstheme="majorHAnsi"/>
        </w:rPr>
        <w:t>/2025 à 12h00</w:t>
      </w:r>
    </w:p>
    <w:p w14:paraId="2A51FDF8" w14:textId="77777777" w:rsidR="001D3455" w:rsidRPr="007614D8" w:rsidRDefault="001D3455"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688E2BF" w14:textId="77777777" w:rsidR="001D3455" w:rsidRPr="007614D8" w:rsidRDefault="001D3455"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A2BC666"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 xml:space="preserve">DEPOT DES OFFRES EXCLUSIVEMENT SUR LE SITE DE LA PLATEFORME </w:t>
      </w:r>
    </w:p>
    <w:p w14:paraId="4C66F8C4" w14:textId="77777777" w:rsidR="0087313A" w:rsidRPr="007614D8" w:rsidRDefault="0087313A"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614D8">
        <w:rPr>
          <w:rFonts w:asciiTheme="majorHAnsi" w:hAnsiTheme="majorHAnsi" w:cstheme="majorHAnsi"/>
          <w:sz w:val="20"/>
          <w:szCs w:val="20"/>
        </w:rPr>
        <w:t>DES ACHATS DE L’ETAT (PLACE) A L’ADRESSE SUIVANTE :</w:t>
      </w:r>
    </w:p>
    <w:p w14:paraId="4983B0E1" w14:textId="75A880BF" w:rsidR="0087313A" w:rsidRDefault="007D5E19"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hyperlink r:id="rId13" w:history="1">
        <w:r w:rsidR="002D3E4E" w:rsidRPr="00CC2005">
          <w:rPr>
            <w:rStyle w:val="Lienhypertexte"/>
            <w:rFonts w:asciiTheme="majorHAnsi" w:hAnsiTheme="majorHAnsi" w:cstheme="majorHAnsi"/>
            <w:sz w:val="20"/>
            <w:szCs w:val="20"/>
          </w:rPr>
          <w:t>https://www.marches-publics.gouv.fr/?page=Entreprise.EntrepriseAdvancedSearch&amp;AllCons&amp;id=2721908&amp;orgAcronyme=x7c</w:t>
        </w:r>
      </w:hyperlink>
    </w:p>
    <w:p w14:paraId="155DD076" w14:textId="77777777" w:rsidR="002D3E4E" w:rsidRPr="007614D8" w:rsidRDefault="002D3E4E" w:rsidP="0087313A">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C2596C8" w14:textId="77777777" w:rsidR="0087313A" w:rsidRPr="007614D8" w:rsidRDefault="0087313A" w:rsidP="0087313A">
      <w:pPr>
        <w:widowControl/>
        <w:jc w:val="center"/>
        <w:rPr>
          <w:rFonts w:asciiTheme="majorHAnsi" w:hAnsiTheme="majorHAnsi" w:cstheme="majorHAnsi"/>
          <w:b/>
          <w:bCs/>
        </w:rPr>
      </w:pPr>
    </w:p>
    <w:p w14:paraId="291657D7" w14:textId="77777777" w:rsidR="0087313A" w:rsidRPr="007614D8" w:rsidRDefault="0087313A" w:rsidP="0087313A">
      <w:pPr>
        <w:widowControl/>
        <w:jc w:val="center"/>
        <w:rPr>
          <w:rFonts w:asciiTheme="majorHAnsi" w:hAnsiTheme="majorHAnsi" w:cstheme="majorHAnsi"/>
          <w:b/>
          <w:bCs/>
        </w:rPr>
      </w:pPr>
    </w:p>
    <w:p w14:paraId="59349D22" w14:textId="77777777" w:rsidR="0087313A" w:rsidRPr="007614D8" w:rsidRDefault="0087313A" w:rsidP="0087313A">
      <w:pPr>
        <w:widowControl/>
        <w:jc w:val="center"/>
        <w:rPr>
          <w:rFonts w:asciiTheme="majorHAnsi" w:hAnsiTheme="majorHAnsi" w:cstheme="majorHAnsi"/>
          <w:b/>
          <w:bCs/>
        </w:rPr>
      </w:pPr>
    </w:p>
    <w:p w14:paraId="527D0CDF" w14:textId="77777777" w:rsidR="0087313A" w:rsidRPr="007614D8" w:rsidRDefault="0087313A" w:rsidP="0087313A">
      <w:pPr>
        <w:widowControl/>
        <w:jc w:val="center"/>
        <w:rPr>
          <w:rFonts w:asciiTheme="majorHAnsi" w:hAnsiTheme="majorHAnsi" w:cstheme="majorHAnsi"/>
          <w:b/>
          <w:bCs/>
        </w:rPr>
      </w:pPr>
    </w:p>
    <w:p w14:paraId="2263B9F4" w14:textId="77777777" w:rsidR="0087313A" w:rsidRPr="007614D8" w:rsidRDefault="0087313A" w:rsidP="0087313A">
      <w:pPr>
        <w:widowControl/>
        <w:jc w:val="center"/>
        <w:rPr>
          <w:rFonts w:asciiTheme="majorHAnsi" w:hAnsiTheme="majorHAnsi" w:cstheme="majorHAnsi"/>
          <w:b/>
          <w:bCs/>
        </w:rPr>
      </w:pPr>
    </w:p>
    <w:p w14:paraId="66E1918A" w14:textId="77777777" w:rsidR="0087313A" w:rsidRPr="007614D8" w:rsidRDefault="0087313A" w:rsidP="0087313A">
      <w:pPr>
        <w:widowControl/>
        <w:jc w:val="center"/>
        <w:rPr>
          <w:rFonts w:asciiTheme="majorHAnsi" w:hAnsiTheme="majorHAnsi" w:cstheme="majorHAnsi"/>
          <w:b/>
          <w:bCs/>
        </w:rPr>
      </w:pPr>
    </w:p>
    <w:p w14:paraId="76995B68" w14:textId="77777777" w:rsidR="0087313A" w:rsidRPr="007614D8" w:rsidRDefault="0087313A" w:rsidP="0087313A">
      <w:pPr>
        <w:rPr>
          <w:rFonts w:asciiTheme="majorHAnsi" w:hAnsiTheme="majorHAnsi" w:cstheme="majorHAnsi"/>
        </w:rPr>
      </w:pPr>
    </w:p>
    <w:p w14:paraId="49B8646E" w14:textId="77777777" w:rsidR="0087313A" w:rsidRPr="00D84AE3" w:rsidRDefault="0087313A" w:rsidP="0087313A">
      <w:pPr>
        <w:pStyle w:val="RedNomDoc"/>
        <w:keepNext/>
        <w:widowControl/>
        <w:ind w:left="-284" w:right="-284"/>
        <w:rPr>
          <w:rFonts w:asciiTheme="majorHAnsi" w:hAnsiTheme="majorHAnsi" w:cstheme="majorHAnsi"/>
          <w:sz w:val="28"/>
          <w:szCs w:val="20"/>
          <w:u w:val="single"/>
        </w:rPr>
      </w:pPr>
      <w:r w:rsidRPr="00D84AE3">
        <w:rPr>
          <w:rFonts w:asciiTheme="majorHAnsi" w:hAnsiTheme="majorHAnsi" w:cstheme="majorHAnsi"/>
          <w:sz w:val="28"/>
          <w:szCs w:val="20"/>
          <w:u w:val="single"/>
        </w:rPr>
        <w:lastRenderedPageBreak/>
        <w:t>SOMMAIRE</w:t>
      </w:r>
    </w:p>
    <w:p w14:paraId="2AAA2673" w14:textId="1CE2EFE4" w:rsidR="00DA075D" w:rsidRPr="00D84AE3" w:rsidRDefault="00E140C0">
      <w:pPr>
        <w:pStyle w:val="TM1"/>
        <w:tabs>
          <w:tab w:val="left" w:pos="1200"/>
          <w:tab w:val="right" w:leader="hyphen" w:pos="9060"/>
        </w:tabs>
        <w:rPr>
          <w:rFonts w:asciiTheme="majorHAnsi" w:eastAsiaTheme="minorEastAsia" w:hAnsiTheme="majorHAnsi" w:cstheme="majorHAnsi"/>
          <w:b w:val="0"/>
          <w:bCs w:val="0"/>
          <w:caps w:val="0"/>
          <w:noProof/>
          <w:sz w:val="22"/>
          <w:szCs w:val="22"/>
        </w:rPr>
      </w:pPr>
      <w:r w:rsidRPr="00D84AE3">
        <w:rPr>
          <w:rFonts w:asciiTheme="majorHAnsi" w:hAnsiTheme="majorHAnsi" w:cstheme="majorHAnsi"/>
          <w:b w:val="0"/>
          <w:bCs w:val="0"/>
          <w:caps w:val="0"/>
        </w:rPr>
        <w:fldChar w:fldCharType="begin"/>
      </w:r>
      <w:r w:rsidRPr="00D84AE3">
        <w:rPr>
          <w:rFonts w:asciiTheme="majorHAnsi" w:hAnsiTheme="majorHAnsi" w:cstheme="majorHAnsi"/>
          <w:b w:val="0"/>
          <w:bCs w:val="0"/>
          <w:caps w:val="0"/>
        </w:rPr>
        <w:instrText xml:space="preserve"> TOC \h \z \t "Titre 1;2;Titre 2;3;Titre 3;4;Titre;1;Redalia Titre 2;2;Redalia Titre 3;3;Redalia Titre 1;1" </w:instrText>
      </w:r>
      <w:r w:rsidRPr="00D84AE3">
        <w:rPr>
          <w:rFonts w:asciiTheme="majorHAnsi" w:hAnsiTheme="majorHAnsi" w:cstheme="majorHAnsi"/>
          <w:b w:val="0"/>
          <w:bCs w:val="0"/>
          <w:caps w:val="0"/>
        </w:rPr>
        <w:fldChar w:fldCharType="separate"/>
      </w:r>
      <w:hyperlink w:anchor="_Toc191566831"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1 -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Etendue et objet de la consultation</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_Toc191566831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sidR="007D5E19">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5C91D501" w14:textId="13567ACD"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32"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2 -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Durée du marché public</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_Toc191566832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61A56F49" w14:textId="78D41321"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33" w:history="1">
        <w:r w:rsidR="00DA075D" w:rsidRPr="00D84AE3">
          <w:rPr>
            <w:rStyle w:val="Lienhypertexte"/>
            <w:rFonts w:asciiTheme="majorHAnsi" w:hAnsiTheme="majorHAnsi" w:cstheme="majorHAnsi"/>
            <w:noProof/>
          </w:rPr>
          <w:t>2.1 Durée du marché public</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_Toc191566833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22AB4140" w14:textId="45C97E5C"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34" w:history="1">
        <w:r w:rsidR="00DA075D" w:rsidRPr="00D84AE3">
          <w:rPr>
            <w:rStyle w:val="Lienhypertexte"/>
            <w:rFonts w:asciiTheme="majorHAnsi" w:hAnsiTheme="majorHAnsi" w:cstheme="majorHAnsi"/>
            <w:noProof/>
          </w:rPr>
          <w:t>2.2 Reconduction</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_Toc191566834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1EF30626" w14:textId="76284D95"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35"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3 -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Décomposition du marché public</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_Toc191566835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6C3FA7BC" w14:textId="00FCC4FA"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36" w:history="1">
        <w:r w:rsidR="00DA075D" w:rsidRPr="00D84AE3">
          <w:rPr>
            <w:rStyle w:val="Lienhypertexte"/>
            <w:rFonts w:asciiTheme="majorHAnsi" w:hAnsiTheme="majorHAnsi" w:cstheme="majorHAnsi"/>
            <w:noProof/>
          </w:rPr>
          <w:t>3.1 Tranches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_Toc191566836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6112BF85" w14:textId="714B930E"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37" w:history="1">
        <w:r w:rsidR="00DA075D" w:rsidRPr="00D84AE3">
          <w:rPr>
            <w:rStyle w:val="Lienhypertexte"/>
            <w:rFonts w:asciiTheme="majorHAnsi" w:hAnsiTheme="majorHAnsi" w:cstheme="majorHAnsi"/>
            <w:noProof/>
          </w:rPr>
          <w:t>3.2 Lots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_Toc191566837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3</w:t>
        </w:r>
        <w:r w:rsidR="00DA075D" w:rsidRPr="00D84AE3">
          <w:rPr>
            <w:rFonts w:asciiTheme="majorHAnsi" w:hAnsiTheme="majorHAnsi" w:cstheme="majorHAnsi"/>
            <w:noProof/>
            <w:webHidden/>
          </w:rPr>
          <w:fldChar w:fldCharType="end"/>
        </w:r>
      </w:hyperlink>
    </w:p>
    <w:p w14:paraId="274A44A2" w14:textId="4DC111CF"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38" w:history="1">
        <w:r w:rsidR="00DA075D" w:rsidRPr="00D84AE3">
          <w:rPr>
            <w:rStyle w:val="Lienhypertexte"/>
            <w:rFonts w:asciiTheme="majorHAnsi" w:hAnsiTheme="majorHAnsi" w:cstheme="majorHAnsi"/>
            <w:noProof/>
          </w:rPr>
          <w:t>3.3 Phases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_Toc191566838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6737C33B" w14:textId="2765195A"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39"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4 -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Procédure</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_Toc191566839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61499A1B" w14:textId="135170EC"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0" w:history="1">
        <w:r w:rsidR="00DA075D" w:rsidRPr="00D84AE3">
          <w:rPr>
            <w:rStyle w:val="Lienhypertexte"/>
            <w:rFonts w:asciiTheme="majorHAnsi" w:hAnsiTheme="majorHAnsi" w:cstheme="majorHAnsi"/>
            <w:noProof/>
          </w:rPr>
          <w:t>4.1 Type de procédure</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_Toc191566840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5FA9D852" w14:textId="03BDF32D"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1" w:history="1">
        <w:r w:rsidR="00DA075D" w:rsidRPr="00D84AE3">
          <w:rPr>
            <w:rStyle w:val="Lienhypertexte"/>
            <w:rFonts w:asciiTheme="majorHAnsi" w:hAnsiTheme="majorHAnsi" w:cstheme="majorHAnsi"/>
            <w:noProof/>
          </w:rPr>
          <w:t>4.2 Délai de validité des offres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_Toc191566841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11DCABD1" w14:textId="6DCCC0B8"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2" w:history="1">
        <w:r w:rsidR="00DA075D" w:rsidRPr="00D84AE3">
          <w:rPr>
            <w:rStyle w:val="Lienhypertexte"/>
            <w:rFonts w:asciiTheme="majorHAnsi" w:hAnsiTheme="majorHAnsi" w:cstheme="majorHAnsi"/>
            <w:noProof/>
          </w:rPr>
          <w:t>4.3 Contenu du dossier de consultation</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_Toc191566842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59B82539" w14:textId="23AA9C2E"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3" w:history="1">
        <w:r w:rsidR="00DA075D" w:rsidRPr="00D84AE3">
          <w:rPr>
            <w:rStyle w:val="Lienhypertexte"/>
            <w:rFonts w:asciiTheme="majorHAnsi" w:hAnsiTheme="majorHAnsi" w:cstheme="majorHAnsi"/>
            <w:noProof/>
          </w:rPr>
          <w:t>4.4 Modalités d’obtention du dossier de consultation par voie électronique</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_Toc191566843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0878F3AC" w14:textId="1CC3BBFC"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4" w:history="1">
        <w:r w:rsidR="00DA075D" w:rsidRPr="00D84AE3">
          <w:rPr>
            <w:rStyle w:val="Lienhypertexte"/>
            <w:rFonts w:asciiTheme="majorHAnsi" w:hAnsiTheme="majorHAnsi" w:cstheme="majorHAnsi"/>
            <w:noProof/>
          </w:rPr>
          <w:t>4.5 Modifications de détail du dossier de consultation</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_Toc191566844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4</w:t>
        </w:r>
        <w:r w:rsidR="00DA075D" w:rsidRPr="00D84AE3">
          <w:rPr>
            <w:rFonts w:asciiTheme="majorHAnsi" w:hAnsiTheme="majorHAnsi" w:cstheme="majorHAnsi"/>
            <w:noProof/>
            <w:webHidden/>
          </w:rPr>
          <w:fldChar w:fldCharType="end"/>
        </w:r>
      </w:hyperlink>
    </w:p>
    <w:p w14:paraId="2328B98B" w14:textId="1377AB97"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5" w:history="1">
        <w:r w:rsidR="00DA075D" w:rsidRPr="00D84AE3">
          <w:rPr>
            <w:rStyle w:val="Lienhypertexte"/>
            <w:rFonts w:asciiTheme="majorHAnsi" w:hAnsiTheme="majorHAnsi" w:cstheme="majorHAnsi"/>
            <w:noProof/>
          </w:rPr>
          <w:t>4.6 Compléments à apporter au cahier des charges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_Toc191566845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6C62DBD7" w14:textId="2BFA8CA3"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6" w:history="1">
        <w:r w:rsidR="00DA075D" w:rsidRPr="00D84AE3">
          <w:rPr>
            <w:rStyle w:val="Lienhypertexte"/>
            <w:rFonts w:asciiTheme="majorHAnsi" w:hAnsiTheme="majorHAnsi" w:cstheme="majorHAnsi"/>
            <w:noProof/>
          </w:rPr>
          <w:t>4.7 Renseignements complémentaires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_Toc191566846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2798B8D9" w14:textId="001219BF"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7" w:history="1">
        <w:r w:rsidR="00DA075D" w:rsidRPr="00D84AE3">
          <w:rPr>
            <w:rStyle w:val="Lienhypertexte"/>
            <w:rFonts w:asciiTheme="majorHAnsi" w:hAnsiTheme="majorHAnsi" w:cstheme="majorHAnsi"/>
            <w:noProof/>
          </w:rPr>
          <w:t>4.8 Unité monétaire</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_Toc191566847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28F82C7C" w14:textId="7CDD113D"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48" w:history="1">
        <w:r w:rsidR="00DA075D" w:rsidRPr="00D84AE3">
          <w:rPr>
            <w:rStyle w:val="Lienhypertexte"/>
            <w:rFonts w:asciiTheme="majorHAnsi" w:hAnsiTheme="majorHAnsi" w:cstheme="majorHAnsi"/>
            <w:noProof/>
          </w:rPr>
          <w:t>4.9 Mode de financement et de règlement</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_Toc191566848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53CF47BE" w14:textId="7884B9A7"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49"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5 -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Essais visites et démonstrations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_Toc191566849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520034CA" w14:textId="17D2E59E"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50"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6 -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Modalités de remise des plis de candidatures et d'offres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_Toc191566850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6CF61162" w14:textId="06E183A4"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51" w:history="1">
        <w:r w:rsidR="00DA075D" w:rsidRPr="00D84AE3">
          <w:rPr>
            <w:rStyle w:val="Lienhypertexte"/>
            <w:rFonts w:asciiTheme="majorHAnsi" w:hAnsiTheme="majorHAnsi" w:cstheme="majorHAnsi"/>
            <w:noProof/>
          </w:rPr>
          <w:t>6.1 Dispositions relatives aux sous-traitants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_Toc191566851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3705BAF0" w14:textId="50B80C30"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52" w:history="1">
        <w:r w:rsidR="00DA075D" w:rsidRPr="00D84AE3">
          <w:rPr>
            <w:rStyle w:val="Lienhypertexte"/>
            <w:rFonts w:asciiTheme="majorHAnsi" w:hAnsiTheme="majorHAnsi" w:cstheme="majorHAnsi"/>
            <w:noProof/>
          </w:rPr>
          <w:t>6.2 Dispositions relatives aux groupements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_Toc191566852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71E15709" w14:textId="21B29339"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53" w:history="1">
        <w:r w:rsidR="00DA075D" w:rsidRPr="00D84AE3">
          <w:rPr>
            <w:rStyle w:val="Lienhypertexte"/>
            <w:rFonts w:asciiTheme="majorHAnsi" w:hAnsiTheme="majorHAnsi" w:cstheme="majorHAnsi"/>
            <w:noProof/>
          </w:rPr>
          <w:t>6.3 Présentation des plis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_Toc191566853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5</w:t>
        </w:r>
        <w:r w:rsidR="00DA075D" w:rsidRPr="00D84AE3">
          <w:rPr>
            <w:rFonts w:asciiTheme="majorHAnsi" w:hAnsiTheme="majorHAnsi" w:cstheme="majorHAnsi"/>
            <w:noProof/>
            <w:webHidden/>
          </w:rPr>
          <w:fldChar w:fldCharType="end"/>
        </w:r>
      </w:hyperlink>
    </w:p>
    <w:p w14:paraId="6CD4E9E8" w14:textId="05A9A3B8"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54" w:history="1">
        <w:r w:rsidR="00DA075D" w:rsidRPr="00D84AE3">
          <w:rPr>
            <w:rStyle w:val="Lienhypertexte"/>
            <w:rFonts w:asciiTheme="majorHAnsi" w:hAnsiTheme="majorHAnsi" w:cstheme="majorHAnsi"/>
            <w:noProof/>
          </w:rPr>
          <w:t>6.4 Contenu des plis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_Toc191566854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6</w:t>
        </w:r>
        <w:r w:rsidR="00DA075D" w:rsidRPr="00D84AE3">
          <w:rPr>
            <w:rFonts w:asciiTheme="majorHAnsi" w:hAnsiTheme="majorHAnsi" w:cstheme="majorHAnsi"/>
            <w:noProof/>
            <w:webHidden/>
          </w:rPr>
          <w:fldChar w:fldCharType="end"/>
        </w:r>
      </w:hyperlink>
    </w:p>
    <w:p w14:paraId="3F1E4A04" w14:textId="767EB8CF"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55" w:history="1">
        <w:r w:rsidR="00DA075D" w:rsidRPr="00D84AE3">
          <w:rPr>
            <w:rStyle w:val="Lienhypertexte"/>
            <w:rFonts w:asciiTheme="majorHAnsi" w:hAnsiTheme="majorHAnsi" w:cstheme="majorHAnsi"/>
            <w:noProof/>
          </w:rPr>
          <w:t>6.5 Envoi et réception des plis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_Toc191566855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8</w:t>
        </w:r>
        <w:r w:rsidR="00DA075D" w:rsidRPr="00D84AE3">
          <w:rPr>
            <w:rFonts w:asciiTheme="majorHAnsi" w:hAnsiTheme="majorHAnsi" w:cstheme="majorHAnsi"/>
            <w:noProof/>
            <w:webHidden/>
          </w:rPr>
          <w:fldChar w:fldCharType="end"/>
        </w:r>
      </w:hyperlink>
    </w:p>
    <w:p w14:paraId="080A421D" w14:textId="18ED0F96"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56"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7 -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Vérification des conditions de participation des candidats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_Toc191566856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8</w:t>
        </w:r>
        <w:r w:rsidR="00DA075D" w:rsidRPr="00D84AE3">
          <w:rPr>
            <w:rFonts w:asciiTheme="majorHAnsi" w:hAnsiTheme="majorHAnsi" w:cstheme="majorHAnsi"/>
            <w:noProof/>
            <w:webHidden/>
          </w:rPr>
          <w:fldChar w:fldCharType="end"/>
        </w:r>
      </w:hyperlink>
    </w:p>
    <w:p w14:paraId="0C971107" w14:textId="3AE65335"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57"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8 -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Examen, analyse et classement des offres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_Toc191566857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10</w:t>
        </w:r>
        <w:r w:rsidR="00DA075D" w:rsidRPr="00D84AE3">
          <w:rPr>
            <w:rFonts w:asciiTheme="majorHAnsi" w:hAnsiTheme="majorHAnsi" w:cstheme="majorHAnsi"/>
            <w:noProof/>
            <w:webHidden/>
          </w:rPr>
          <w:fldChar w:fldCharType="end"/>
        </w:r>
      </w:hyperlink>
    </w:p>
    <w:p w14:paraId="1A74FFC1" w14:textId="3D88EEB6" w:rsidR="00DA075D" w:rsidRPr="00D84AE3" w:rsidRDefault="007D5E19">
      <w:pPr>
        <w:pStyle w:val="TM1"/>
        <w:tabs>
          <w:tab w:val="left" w:pos="1200"/>
          <w:tab w:val="right" w:leader="hyphen" w:pos="9060"/>
        </w:tabs>
        <w:rPr>
          <w:rFonts w:asciiTheme="majorHAnsi" w:eastAsiaTheme="minorEastAsia" w:hAnsiTheme="majorHAnsi" w:cstheme="majorHAnsi"/>
          <w:b w:val="0"/>
          <w:bCs w:val="0"/>
          <w:caps w:val="0"/>
          <w:noProof/>
          <w:sz w:val="22"/>
          <w:szCs w:val="22"/>
        </w:rPr>
      </w:pPr>
      <w:hyperlink w:anchor="_Toc191566858"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9 -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Variantes</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_Toc191566858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11</w:t>
        </w:r>
        <w:r w:rsidR="00DA075D" w:rsidRPr="00D84AE3">
          <w:rPr>
            <w:rFonts w:asciiTheme="majorHAnsi" w:hAnsiTheme="majorHAnsi" w:cstheme="majorHAnsi"/>
            <w:noProof/>
            <w:webHidden/>
          </w:rPr>
          <w:fldChar w:fldCharType="end"/>
        </w:r>
      </w:hyperlink>
    </w:p>
    <w:p w14:paraId="15844A29" w14:textId="0D4D8731" w:rsidR="00DA075D" w:rsidRPr="00D84AE3" w:rsidRDefault="007D5E19">
      <w:pPr>
        <w:pStyle w:val="TM1"/>
        <w:tabs>
          <w:tab w:val="left" w:pos="1400"/>
          <w:tab w:val="right" w:leader="hyphen" w:pos="9060"/>
        </w:tabs>
        <w:rPr>
          <w:rFonts w:asciiTheme="majorHAnsi" w:eastAsiaTheme="minorEastAsia" w:hAnsiTheme="majorHAnsi" w:cstheme="majorHAnsi"/>
          <w:b w:val="0"/>
          <w:bCs w:val="0"/>
          <w:caps w:val="0"/>
          <w:noProof/>
          <w:sz w:val="22"/>
          <w:szCs w:val="22"/>
        </w:rPr>
      </w:pPr>
      <w:hyperlink w:anchor="_Toc191566859"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10 -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Négociation</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_Toc191566859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11</w:t>
        </w:r>
        <w:r w:rsidR="00DA075D" w:rsidRPr="00D84AE3">
          <w:rPr>
            <w:rFonts w:asciiTheme="majorHAnsi" w:hAnsiTheme="majorHAnsi" w:cstheme="majorHAnsi"/>
            <w:noProof/>
            <w:webHidden/>
          </w:rPr>
          <w:fldChar w:fldCharType="end"/>
        </w:r>
      </w:hyperlink>
    </w:p>
    <w:p w14:paraId="0F1DBF78" w14:textId="13E4EC57" w:rsidR="00DA075D" w:rsidRPr="00D84AE3" w:rsidRDefault="007D5E19">
      <w:pPr>
        <w:pStyle w:val="TM1"/>
        <w:tabs>
          <w:tab w:val="left" w:pos="1400"/>
          <w:tab w:val="right" w:leader="hyphen" w:pos="9060"/>
        </w:tabs>
        <w:rPr>
          <w:rFonts w:asciiTheme="majorHAnsi" w:eastAsiaTheme="minorEastAsia" w:hAnsiTheme="majorHAnsi" w:cstheme="majorHAnsi"/>
          <w:b w:val="0"/>
          <w:bCs w:val="0"/>
          <w:caps w:val="0"/>
          <w:noProof/>
          <w:sz w:val="22"/>
          <w:szCs w:val="22"/>
        </w:rPr>
      </w:pPr>
      <w:hyperlink w:anchor="_Toc191566860"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11 -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Attribution du marché public</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_Toc191566860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11</w:t>
        </w:r>
        <w:r w:rsidR="00DA075D" w:rsidRPr="00D84AE3">
          <w:rPr>
            <w:rFonts w:asciiTheme="majorHAnsi" w:hAnsiTheme="majorHAnsi" w:cstheme="majorHAnsi"/>
            <w:noProof/>
            <w:webHidden/>
          </w:rPr>
          <w:fldChar w:fldCharType="end"/>
        </w:r>
      </w:hyperlink>
    </w:p>
    <w:p w14:paraId="03471765" w14:textId="0E911BE8" w:rsidR="00DA075D" w:rsidRPr="00D84AE3" w:rsidRDefault="007D5E19">
      <w:pPr>
        <w:pStyle w:val="TM1"/>
        <w:tabs>
          <w:tab w:val="left" w:pos="1400"/>
          <w:tab w:val="right" w:leader="hyphen" w:pos="9060"/>
        </w:tabs>
        <w:rPr>
          <w:rFonts w:asciiTheme="majorHAnsi" w:eastAsiaTheme="minorEastAsia" w:hAnsiTheme="majorHAnsi" w:cstheme="majorHAnsi"/>
          <w:b w:val="0"/>
          <w:bCs w:val="0"/>
          <w:caps w:val="0"/>
          <w:noProof/>
          <w:sz w:val="22"/>
          <w:szCs w:val="22"/>
        </w:rPr>
      </w:pPr>
      <w:hyperlink w:anchor="_Toc191566861"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12 -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Notification du marché public</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_Toc191566861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12</w:t>
        </w:r>
        <w:r w:rsidR="00DA075D" w:rsidRPr="00D84AE3">
          <w:rPr>
            <w:rFonts w:asciiTheme="majorHAnsi" w:hAnsiTheme="majorHAnsi" w:cstheme="majorHAnsi"/>
            <w:noProof/>
            <w:webHidden/>
          </w:rPr>
          <w:fldChar w:fldCharType="end"/>
        </w:r>
      </w:hyperlink>
    </w:p>
    <w:p w14:paraId="59592507" w14:textId="244BB70B" w:rsidR="00DA075D" w:rsidRPr="00D84AE3" w:rsidRDefault="007D5E19">
      <w:pPr>
        <w:pStyle w:val="TM1"/>
        <w:tabs>
          <w:tab w:val="left" w:pos="1400"/>
          <w:tab w:val="right" w:leader="hyphen" w:pos="9060"/>
        </w:tabs>
        <w:rPr>
          <w:rFonts w:asciiTheme="majorHAnsi" w:eastAsiaTheme="minorEastAsia" w:hAnsiTheme="majorHAnsi" w:cstheme="majorHAnsi"/>
          <w:b w:val="0"/>
          <w:bCs w:val="0"/>
          <w:caps w:val="0"/>
          <w:noProof/>
          <w:sz w:val="22"/>
          <w:szCs w:val="22"/>
        </w:rPr>
      </w:pPr>
      <w:hyperlink w:anchor="_Toc191566862" w:history="1">
        <w:r w:rsidR="00DA075D" w:rsidRPr="00D84AE3">
          <w:rPr>
            <w:rStyle w:val="Lienhypertexte"/>
            <w:rFonts w:asciiTheme="majorHAnsi" w:hAnsiTheme="majorHAnsi" w:cstheme="majorHAnsi"/>
            <w:noProof/>
            <w14:scene3d>
              <w14:camera w14:prst="orthographicFront"/>
              <w14:lightRig w14:rig="threePt" w14:dir="t">
                <w14:rot w14:lat="0" w14:lon="0" w14:rev="0"/>
              </w14:lightRig>
            </w14:scene3d>
          </w:rPr>
          <w:t>ARTICLE 13 -</w:t>
        </w:r>
        <w:r w:rsidR="00DA075D" w:rsidRPr="00D84AE3">
          <w:rPr>
            <w:rFonts w:asciiTheme="majorHAnsi" w:eastAsiaTheme="minorEastAsia" w:hAnsiTheme="majorHAnsi" w:cstheme="majorHAnsi"/>
            <w:b w:val="0"/>
            <w:bCs w:val="0"/>
            <w:caps w:val="0"/>
            <w:noProof/>
            <w:sz w:val="22"/>
            <w:szCs w:val="22"/>
          </w:rPr>
          <w:tab/>
        </w:r>
        <w:r w:rsidR="00DA075D" w:rsidRPr="00D84AE3">
          <w:rPr>
            <w:rStyle w:val="Lienhypertexte"/>
            <w:rFonts w:asciiTheme="majorHAnsi" w:hAnsiTheme="majorHAnsi" w:cstheme="majorHAnsi"/>
            <w:noProof/>
          </w:rPr>
          <w:t>recours contentieux</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_Toc191566862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13</w:t>
        </w:r>
        <w:r w:rsidR="00DA075D" w:rsidRPr="00D84AE3">
          <w:rPr>
            <w:rFonts w:asciiTheme="majorHAnsi" w:hAnsiTheme="majorHAnsi" w:cstheme="majorHAnsi"/>
            <w:noProof/>
            <w:webHidden/>
          </w:rPr>
          <w:fldChar w:fldCharType="end"/>
        </w:r>
      </w:hyperlink>
    </w:p>
    <w:p w14:paraId="4BEE653F" w14:textId="1D4DDFEE"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63" w:history="1">
        <w:r w:rsidR="00DA075D" w:rsidRPr="00D84AE3">
          <w:rPr>
            <w:rStyle w:val="Lienhypertexte"/>
            <w:rFonts w:asciiTheme="majorHAnsi" w:hAnsiTheme="majorHAnsi" w:cstheme="majorHAnsi"/>
            <w:noProof/>
          </w:rPr>
          <w:t>11.1 Instances chargées des procédures de recours contentieux</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_Toc191566863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13</w:t>
        </w:r>
        <w:r w:rsidR="00DA075D" w:rsidRPr="00D84AE3">
          <w:rPr>
            <w:rFonts w:asciiTheme="majorHAnsi" w:hAnsiTheme="majorHAnsi" w:cstheme="majorHAnsi"/>
            <w:noProof/>
            <w:webHidden/>
          </w:rPr>
          <w:fldChar w:fldCharType="end"/>
        </w:r>
      </w:hyperlink>
    </w:p>
    <w:p w14:paraId="13AEFB5B" w14:textId="42759380" w:rsidR="00DA075D" w:rsidRPr="00D84AE3" w:rsidRDefault="007D5E19">
      <w:pPr>
        <w:pStyle w:val="TM2"/>
        <w:tabs>
          <w:tab w:val="right" w:leader="hyphen" w:pos="9060"/>
        </w:tabs>
        <w:rPr>
          <w:rFonts w:asciiTheme="majorHAnsi" w:eastAsiaTheme="minorEastAsia" w:hAnsiTheme="majorHAnsi" w:cstheme="majorHAnsi"/>
          <w:smallCaps w:val="0"/>
          <w:noProof/>
          <w:sz w:val="22"/>
          <w:szCs w:val="22"/>
        </w:rPr>
      </w:pPr>
      <w:hyperlink w:anchor="_Toc191566864" w:history="1">
        <w:r w:rsidR="00DA075D" w:rsidRPr="00D84AE3">
          <w:rPr>
            <w:rStyle w:val="Lienhypertexte"/>
            <w:rFonts w:asciiTheme="majorHAnsi" w:hAnsiTheme="majorHAnsi" w:cstheme="majorHAnsi"/>
            <w:noProof/>
          </w:rPr>
          <w:t>11.2 Introduction des recours contentieux</w:t>
        </w:r>
        <w:r w:rsidR="00DA075D" w:rsidRPr="00D84AE3">
          <w:rPr>
            <w:rFonts w:asciiTheme="majorHAnsi" w:hAnsiTheme="majorHAnsi" w:cstheme="majorHAnsi"/>
            <w:noProof/>
            <w:webHidden/>
          </w:rPr>
          <w:tab/>
        </w:r>
        <w:r w:rsidR="00DA075D" w:rsidRPr="00D84AE3">
          <w:rPr>
            <w:rFonts w:asciiTheme="majorHAnsi" w:hAnsiTheme="majorHAnsi" w:cstheme="majorHAnsi"/>
            <w:noProof/>
            <w:webHidden/>
          </w:rPr>
          <w:fldChar w:fldCharType="begin"/>
        </w:r>
        <w:r w:rsidR="00DA075D" w:rsidRPr="00D84AE3">
          <w:rPr>
            <w:rFonts w:asciiTheme="majorHAnsi" w:hAnsiTheme="majorHAnsi" w:cstheme="majorHAnsi"/>
            <w:noProof/>
            <w:webHidden/>
          </w:rPr>
          <w:instrText xml:space="preserve"> PAGEREF _Toc191566864 \h </w:instrText>
        </w:r>
        <w:r w:rsidR="00DA075D" w:rsidRPr="00D84AE3">
          <w:rPr>
            <w:rFonts w:asciiTheme="majorHAnsi" w:hAnsiTheme="majorHAnsi" w:cstheme="majorHAnsi"/>
            <w:noProof/>
            <w:webHidden/>
          </w:rPr>
        </w:r>
        <w:r w:rsidR="00DA075D" w:rsidRPr="00D84AE3">
          <w:rPr>
            <w:rFonts w:asciiTheme="majorHAnsi" w:hAnsiTheme="majorHAnsi" w:cstheme="majorHAnsi"/>
            <w:noProof/>
            <w:webHidden/>
          </w:rPr>
          <w:fldChar w:fldCharType="separate"/>
        </w:r>
        <w:r>
          <w:rPr>
            <w:rFonts w:asciiTheme="majorHAnsi" w:hAnsiTheme="majorHAnsi" w:cstheme="majorHAnsi"/>
            <w:noProof/>
            <w:webHidden/>
          </w:rPr>
          <w:t>13</w:t>
        </w:r>
        <w:r w:rsidR="00DA075D" w:rsidRPr="00D84AE3">
          <w:rPr>
            <w:rFonts w:asciiTheme="majorHAnsi" w:hAnsiTheme="majorHAnsi" w:cstheme="majorHAnsi"/>
            <w:noProof/>
            <w:webHidden/>
          </w:rPr>
          <w:fldChar w:fldCharType="end"/>
        </w:r>
      </w:hyperlink>
    </w:p>
    <w:p w14:paraId="2EA04BCD" w14:textId="55B20D04" w:rsidR="0087313A" w:rsidRPr="007614D8" w:rsidRDefault="00E140C0" w:rsidP="0087313A">
      <w:pPr>
        <w:keepNext/>
        <w:widowControl/>
        <w:jc w:val="both"/>
        <w:rPr>
          <w:rFonts w:asciiTheme="majorHAnsi" w:hAnsiTheme="majorHAnsi" w:cstheme="majorHAnsi"/>
          <w:b/>
          <w:bCs/>
          <w:i/>
          <w:iCs/>
        </w:rPr>
      </w:pPr>
      <w:r w:rsidRPr="00D84AE3">
        <w:rPr>
          <w:rFonts w:asciiTheme="majorHAnsi" w:hAnsiTheme="majorHAnsi" w:cstheme="majorHAnsi"/>
          <w:b/>
          <w:bCs/>
          <w:caps/>
        </w:rPr>
        <w:fldChar w:fldCharType="end"/>
      </w:r>
      <w:r w:rsidR="0087313A" w:rsidRPr="007614D8">
        <w:rPr>
          <w:rFonts w:asciiTheme="majorHAnsi" w:hAnsiTheme="majorHAnsi" w:cstheme="majorHAnsi"/>
        </w:rPr>
        <w:br w:type="page"/>
      </w:r>
    </w:p>
    <w:p w14:paraId="5688B656" w14:textId="67DF8334" w:rsidR="0087313A" w:rsidRPr="00491F56" w:rsidRDefault="0087313A" w:rsidP="00491F56">
      <w:pPr>
        <w:pStyle w:val="Titre"/>
        <w:numPr>
          <w:ilvl w:val="0"/>
          <w:numId w:val="2"/>
        </w:numPr>
        <w:shd w:val="clear" w:color="auto" w:fill="C5E0B3" w:themeFill="accent6" w:themeFillTint="66"/>
        <w:spacing w:before="240"/>
        <w:rPr>
          <w:rFonts w:cstheme="majorHAnsi"/>
        </w:rPr>
      </w:pPr>
      <w:bookmarkStart w:id="1" w:name="_Toc58841420"/>
      <w:bookmarkStart w:id="2" w:name="_Toc191566831"/>
      <w:r w:rsidRPr="00491F56">
        <w:rPr>
          <w:rFonts w:cstheme="majorHAnsi"/>
        </w:rPr>
        <w:lastRenderedPageBreak/>
        <w:t>Etendue et objet de la consultation</w:t>
      </w:r>
      <w:bookmarkEnd w:id="1"/>
      <w:bookmarkEnd w:id="2"/>
    </w:p>
    <w:p w14:paraId="71740C0B" w14:textId="037EC03F" w:rsidR="0087313A" w:rsidRPr="00491F56" w:rsidRDefault="0087313A" w:rsidP="00491F56">
      <w:pPr>
        <w:pStyle w:val="TEXTE"/>
        <w:rPr>
          <w:szCs w:val="22"/>
        </w:rPr>
      </w:pPr>
      <w:r w:rsidRPr="00491F56">
        <w:rPr>
          <w:szCs w:val="22"/>
        </w:rPr>
        <w:t>Le marché porte sur les prestations de service suivantes :</w:t>
      </w:r>
    </w:p>
    <w:p w14:paraId="500523EA" w14:textId="77777777" w:rsidR="00815325" w:rsidRDefault="00815325" w:rsidP="00491F56">
      <w:pPr>
        <w:pStyle w:val="TEXTE"/>
        <w:rPr>
          <w:b/>
          <w:szCs w:val="22"/>
        </w:rPr>
      </w:pPr>
      <w:r w:rsidRPr="00815325">
        <w:rPr>
          <w:b/>
          <w:szCs w:val="22"/>
        </w:rPr>
        <w:t>FABRICATION ET REPARATION EN SELLERIE</w:t>
      </w:r>
    </w:p>
    <w:p w14:paraId="32A24174" w14:textId="7CCFEEB2" w:rsidR="0087313A" w:rsidRPr="00491F56" w:rsidRDefault="0087313A" w:rsidP="00491F56">
      <w:pPr>
        <w:pStyle w:val="TEXTE"/>
        <w:rPr>
          <w:szCs w:val="22"/>
        </w:rPr>
      </w:pPr>
      <w:r w:rsidRPr="00491F56">
        <w:rPr>
          <w:szCs w:val="22"/>
        </w:rPr>
        <w:t>Pour les établissements suivants :</w:t>
      </w:r>
    </w:p>
    <w:p w14:paraId="5E8F2BF8" w14:textId="77777777" w:rsidR="009637F6" w:rsidRDefault="009637F6" w:rsidP="009637F6">
      <w:pPr>
        <w:pStyle w:val="TEXTE"/>
        <w:numPr>
          <w:ilvl w:val="0"/>
          <w:numId w:val="20"/>
        </w:numPr>
        <w:rPr>
          <w:szCs w:val="22"/>
        </w:rPr>
      </w:pPr>
      <w:r w:rsidRPr="00EC4ED2">
        <w:rPr>
          <w:szCs w:val="22"/>
        </w:rPr>
        <w:t>CHU de Montpellier</w:t>
      </w:r>
      <w:r>
        <w:rPr>
          <w:szCs w:val="22"/>
        </w:rPr>
        <w:t>,</w:t>
      </w:r>
    </w:p>
    <w:p w14:paraId="3596B883" w14:textId="77777777" w:rsidR="009637F6" w:rsidRDefault="009637F6" w:rsidP="009637F6">
      <w:pPr>
        <w:pStyle w:val="TEXTE"/>
        <w:numPr>
          <w:ilvl w:val="0"/>
          <w:numId w:val="20"/>
        </w:numPr>
        <w:rPr>
          <w:szCs w:val="22"/>
        </w:rPr>
      </w:pPr>
      <w:r w:rsidRPr="00443ECD">
        <w:rPr>
          <w:szCs w:val="22"/>
        </w:rPr>
        <w:t>Hôpitaux du bassin de Thau,</w:t>
      </w:r>
    </w:p>
    <w:p w14:paraId="7231573F" w14:textId="44D8F16B" w:rsidR="009637F6" w:rsidRDefault="009637F6" w:rsidP="009637F6">
      <w:pPr>
        <w:pStyle w:val="TEXTE"/>
        <w:numPr>
          <w:ilvl w:val="0"/>
          <w:numId w:val="20"/>
        </w:numPr>
        <w:rPr>
          <w:szCs w:val="22"/>
        </w:rPr>
      </w:pPr>
      <w:r w:rsidRPr="00443ECD">
        <w:rPr>
          <w:szCs w:val="22"/>
        </w:rPr>
        <w:t>CH de Clermont l’Hérault,</w:t>
      </w:r>
    </w:p>
    <w:p w14:paraId="51B2716F" w14:textId="17461E9E" w:rsidR="00815325" w:rsidRPr="00815325" w:rsidRDefault="00815325" w:rsidP="00815325">
      <w:pPr>
        <w:pStyle w:val="TEXTE"/>
        <w:numPr>
          <w:ilvl w:val="0"/>
          <w:numId w:val="20"/>
        </w:numPr>
        <w:rPr>
          <w:szCs w:val="22"/>
        </w:rPr>
      </w:pPr>
      <w:r w:rsidRPr="00443ECD">
        <w:rPr>
          <w:szCs w:val="22"/>
        </w:rPr>
        <w:t>CH Paul Coste-Floret de Lamalou-les-bains,</w:t>
      </w:r>
    </w:p>
    <w:p w14:paraId="69ED0E09" w14:textId="77777777" w:rsidR="009637F6" w:rsidRDefault="009637F6" w:rsidP="009637F6">
      <w:pPr>
        <w:pStyle w:val="TEXTE"/>
        <w:numPr>
          <w:ilvl w:val="0"/>
          <w:numId w:val="20"/>
        </w:numPr>
        <w:rPr>
          <w:szCs w:val="22"/>
        </w:rPr>
      </w:pPr>
      <w:r w:rsidRPr="00443ECD">
        <w:rPr>
          <w:szCs w:val="22"/>
        </w:rPr>
        <w:t>CH de Lodève,</w:t>
      </w:r>
    </w:p>
    <w:p w14:paraId="46405CBD" w14:textId="77777777" w:rsidR="009637F6" w:rsidRPr="00C45F99" w:rsidRDefault="009637F6" w:rsidP="009637F6">
      <w:pPr>
        <w:pStyle w:val="TEXTE"/>
        <w:numPr>
          <w:ilvl w:val="0"/>
          <w:numId w:val="20"/>
        </w:numPr>
        <w:rPr>
          <w:szCs w:val="22"/>
        </w:rPr>
      </w:pPr>
      <w:r w:rsidRPr="00443ECD">
        <w:rPr>
          <w:szCs w:val="22"/>
        </w:rPr>
        <w:t>CH de Lunel,</w:t>
      </w:r>
    </w:p>
    <w:p w14:paraId="2E32A6F6" w14:textId="77777777" w:rsidR="009637F6" w:rsidRPr="00E65367" w:rsidRDefault="009637F6" w:rsidP="009637F6">
      <w:pPr>
        <w:pStyle w:val="TEXTE"/>
        <w:numPr>
          <w:ilvl w:val="0"/>
          <w:numId w:val="20"/>
        </w:numPr>
        <w:rPr>
          <w:szCs w:val="22"/>
        </w:rPr>
      </w:pPr>
      <w:r>
        <w:rPr>
          <w:szCs w:val="22"/>
        </w:rPr>
        <w:t>CH</w:t>
      </w:r>
      <w:r w:rsidRPr="00443ECD">
        <w:rPr>
          <w:szCs w:val="22"/>
        </w:rPr>
        <w:t xml:space="preserve"> de Millau,</w:t>
      </w:r>
    </w:p>
    <w:p w14:paraId="6DC6696F" w14:textId="77777777" w:rsidR="0087313A" w:rsidRPr="00491F56" w:rsidRDefault="0087313A" w:rsidP="00491F56">
      <w:pPr>
        <w:pStyle w:val="TEXTE"/>
        <w:rPr>
          <w:szCs w:val="22"/>
        </w:rPr>
      </w:pPr>
      <w:r w:rsidRPr="00491F56">
        <w:rPr>
          <w:szCs w:val="22"/>
        </w:rPr>
        <w:t>La consultation aboutira à un :</w:t>
      </w:r>
    </w:p>
    <w:p w14:paraId="54D29661" w14:textId="43747F1E" w:rsidR="00965AB3" w:rsidRPr="00491F56" w:rsidRDefault="0087313A" w:rsidP="00491F56">
      <w:pPr>
        <w:pStyle w:val="TEXTE"/>
        <w:rPr>
          <w:szCs w:val="22"/>
        </w:rPr>
      </w:pPr>
      <w:r w:rsidRPr="00491F56">
        <w:rPr>
          <w:szCs w:val="22"/>
        </w:rPr>
        <w:t>Accord cadre à bons de commande</w:t>
      </w:r>
      <w:r w:rsidR="00491F56" w:rsidRPr="00491F56">
        <w:rPr>
          <w:szCs w:val="22"/>
        </w:rPr>
        <w:t xml:space="preserve"> a</w:t>
      </w:r>
      <w:r w:rsidR="00965AB3" w:rsidRPr="00491F56">
        <w:rPr>
          <w:szCs w:val="22"/>
        </w:rPr>
        <w:t xml:space="preserve">vec </w:t>
      </w:r>
      <w:r w:rsidR="00491F56" w:rsidRPr="00491F56">
        <w:rPr>
          <w:szCs w:val="22"/>
        </w:rPr>
        <w:t>montant maximum</w:t>
      </w:r>
      <w:r w:rsidR="00965AB3" w:rsidRPr="00491F56">
        <w:rPr>
          <w:szCs w:val="22"/>
        </w:rPr>
        <w:t xml:space="preserve"> </w:t>
      </w:r>
      <w:r w:rsidR="009637F6">
        <w:rPr>
          <w:szCs w:val="22"/>
        </w:rPr>
        <w:t xml:space="preserve">de </w:t>
      </w:r>
      <w:r w:rsidR="00815325">
        <w:rPr>
          <w:szCs w:val="22"/>
        </w:rPr>
        <w:t>83 000 € HT</w:t>
      </w:r>
      <w:r w:rsidR="00965AB3" w:rsidRPr="00491F56">
        <w:rPr>
          <w:szCs w:val="22"/>
        </w:rPr>
        <w:t xml:space="preserve"> </w:t>
      </w:r>
    </w:p>
    <w:p w14:paraId="44181582" w14:textId="77777777" w:rsidR="0087313A" w:rsidRPr="00B24F21" w:rsidRDefault="0087313A" w:rsidP="00B24F21">
      <w:pPr>
        <w:pStyle w:val="TEXTE"/>
        <w:rPr>
          <w:szCs w:val="22"/>
        </w:rPr>
      </w:pPr>
      <w:r w:rsidRPr="00B24F21">
        <w:rPr>
          <w:szCs w:val="22"/>
        </w:rPr>
        <w:t>Les références à la nomenclature européenne (CPV) associées à la présente consultation sont les suivantes :</w:t>
      </w:r>
    </w:p>
    <w:p w14:paraId="28EA5D79" w14:textId="58700B83" w:rsidR="0087313A" w:rsidRPr="00B24F21" w:rsidRDefault="00491F56" w:rsidP="00B24F21">
      <w:pPr>
        <w:pStyle w:val="TEXTE"/>
        <w:rPr>
          <w:szCs w:val="22"/>
        </w:rPr>
      </w:pPr>
      <w:r w:rsidRPr="00B24F21">
        <w:rPr>
          <w:szCs w:val="22"/>
        </w:rPr>
        <w:t>50800000-3 Services divers d'entretien et de réparation</w:t>
      </w:r>
    </w:p>
    <w:p w14:paraId="4210C1CD" w14:textId="77777777" w:rsidR="0087313A" w:rsidRPr="00B24F21" w:rsidRDefault="0087313A" w:rsidP="00B24F21">
      <w:pPr>
        <w:pStyle w:val="TEXTE"/>
        <w:rPr>
          <w:szCs w:val="22"/>
        </w:rPr>
      </w:pPr>
      <w:r w:rsidRPr="00B24F21">
        <w:rPr>
          <w:szCs w:val="22"/>
        </w:rPr>
        <w:t>Les références au code nomenclature du CHU applicables sont les suivantes :</w:t>
      </w:r>
    </w:p>
    <w:p w14:paraId="2B7D216C" w14:textId="70B26AC5" w:rsidR="0087313A" w:rsidRDefault="00B24F21" w:rsidP="00B24F21">
      <w:pPr>
        <w:pStyle w:val="TEXTE"/>
        <w:rPr>
          <w:szCs w:val="22"/>
        </w:rPr>
      </w:pPr>
      <w:r>
        <w:rPr>
          <w:szCs w:val="22"/>
        </w:rPr>
        <w:t xml:space="preserve">81.38 : </w:t>
      </w:r>
      <w:r w:rsidRPr="00B24F21">
        <w:rPr>
          <w:szCs w:val="22"/>
        </w:rPr>
        <w:t>MAINTENANCES DIVERSES (yc blanchisserie)</w:t>
      </w:r>
    </w:p>
    <w:p w14:paraId="7A77EB78" w14:textId="77777777" w:rsidR="0087313A" w:rsidRPr="00B24F21" w:rsidRDefault="0087313A" w:rsidP="00B24F21">
      <w:pPr>
        <w:pStyle w:val="Titre"/>
        <w:numPr>
          <w:ilvl w:val="0"/>
          <w:numId w:val="2"/>
        </w:numPr>
        <w:shd w:val="clear" w:color="auto" w:fill="C5E0B3" w:themeFill="accent6" w:themeFillTint="66"/>
        <w:spacing w:before="240"/>
        <w:rPr>
          <w:rFonts w:cstheme="majorHAnsi"/>
        </w:rPr>
      </w:pPr>
      <w:bookmarkStart w:id="3" w:name="_Toc58841421"/>
      <w:bookmarkStart w:id="4" w:name="_Toc191566832"/>
      <w:r w:rsidRPr="00B24F21">
        <w:rPr>
          <w:rFonts w:cstheme="majorHAnsi"/>
        </w:rPr>
        <w:t>Durée du marché public</w:t>
      </w:r>
      <w:bookmarkEnd w:id="3"/>
      <w:bookmarkEnd w:id="4"/>
    </w:p>
    <w:p w14:paraId="161581AF" w14:textId="661137CF" w:rsidR="0087313A" w:rsidRPr="00AA77D8" w:rsidRDefault="00AA77D8" w:rsidP="00AA77D8">
      <w:pPr>
        <w:pStyle w:val="Titre1"/>
      </w:pPr>
      <w:bookmarkStart w:id="5" w:name="_Toc58841422"/>
      <w:bookmarkStart w:id="6" w:name="_Toc191566833"/>
      <w:r w:rsidRPr="00AA77D8">
        <w:t xml:space="preserve">2.1 </w:t>
      </w:r>
      <w:r w:rsidR="0087313A" w:rsidRPr="00AA77D8">
        <w:t>Durée du marché public</w:t>
      </w:r>
      <w:bookmarkEnd w:id="5"/>
      <w:bookmarkEnd w:id="6"/>
    </w:p>
    <w:p w14:paraId="37DEAB1C" w14:textId="65D02DE4" w:rsidR="0087313A" w:rsidRPr="00AA77D8" w:rsidRDefault="00AA77D8" w:rsidP="00AA77D8">
      <w:pPr>
        <w:pStyle w:val="TEXTE"/>
        <w:rPr>
          <w:szCs w:val="22"/>
        </w:rPr>
      </w:pPr>
      <w:r w:rsidRPr="00AA77D8">
        <w:rPr>
          <w:szCs w:val="22"/>
        </w:rPr>
        <w:t>Le présent marché public sera conclu</w:t>
      </w:r>
      <w:r w:rsidR="0087313A" w:rsidRPr="00AA77D8">
        <w:rPr>
          <w:szCs w:val="22"/>
        </w:rPr>
        <w:t xml:space="preserve"> pour une durée de </w:t>
      </w:r>
      <w:r w:rsidRPr="00AA77D8">
        <w:rPr>
          <w:szCs w:val="22"/>
        </w:rPr>
        <w:t>1 an</w:t>
      </w:r>
      <w:r w:rsidR="0087313A" w:rsidRPr="00AA77D8">
        <w:rPr>
          <w:szCs w:val="22"/>
        </w:rPr>
        <w:t xml:space="preserve"> à compter de du </w:t>
      </w:r>
      <w:r w:rsidRPr="00AA77D8">
        <w:rPr>
          <w:szCs w:val="22"/>
        </w:rPr>
        <w:t xml:space="preserve">31/07/2025 </w:t>
      </w:r>
      <w:r w:rsidR="0087313A" w:rsidRPr="00AA77D8">
        <w:rPr>
          <w:szCs w:val="22"/>
        </w:rPr>
        <w:t xml:space="preserve">ou de sa date </w:t>
      </w:r>
      <w:r w:rsidR="00962E3D" w:rsidRPr="00AA77D8">
        <w:rPr>
          <w:szCs w:val="22"/>
        </w:rPr>
        <w:t>de notification</w:t>
      </w:r>
      <w:r w:rsidR="0087313A" w:rsidRPr="00AA77D8">
        <w:rPr>
          <w:szCs w:val="22"/>
        </w:rPr>
        <w:t xml:space="preserve"> si elle est postérieure. </w:t>
      </w:r>
    </w:p>
    <w:p w14:paraId="74571102" w14:textId="3237041A" w:rsidR="0087313A" w:rsidRPr="00AA77D8" w:rsidRDefault="0087313A" w:rsidP="00AA77D8">
      <w:pPr>
        <w:pStyle w:val="TEXTE"/>
        <w:rPr>
          <w:szCs w:val="22"/>
        </w:rPr>
      </w:pPr>
      <w:r w:rsidRPr="00AA77D8">
        <w:rPr>
          <w:szCs w:val="22"/>
        </w:rPr>
        <w:t xml:space="preserve">La date prévisionnelle de commencement des prestations est fixée au </w:t>
      </w:r>
      <w:r w:rsidR="00AA77D8" w:rsidRPr="00AA77D8">
        <w:rPr>
          <w:szCs w:val="22"/>
        </w:rPr>
        <w:t>31/07/2025</w:t>
      </w:r>
      <w:r w:rsidRPr="00AA77D8">
        <w:rPr>
          <w:szCs w:val="22"/>
        </w:rPr>
        <w:t>.</w:t>
      </w:r>
    </w:p>
    <w:p w14:paraId="49EF1DFF" w14:textId="1B74B86D" w:rsidR="0087313A" w:rsidRPr="00AA77D8" w:rsidRDefault="00AA77D8" w:rsidP="00AA77D8">
      <w:pPr>
        <w:pStyle w:val="Titre1"/>
      </w:pPr>
      <w:bookmarkStart w:id="7" w:name="_Toc58841423"/>
      <w:bookmarkStart w:id="8" w:name="_Toc191566834"/>
      <w:r>
        <w:t xml:space="preserve">2.2 </w:t>
      </w:r>
      <w:r w:rsidR="0087313A" w:rsidRPr="00AA77D8">
        <w:t>Reconduction</w:t>
      </w:r>
      <w:bookmarkEnd w:id="7"/>
      <w:bookmarkEnd w:id="8"/>
    </w:p>
    <w:p w14:paraId="49580D50" w14:textId="77777777" w:rsidR="0087313A" w:rsidRPr="001C6E27" w:rsidRDefault="0087313A" w:rsidP="001C6E27">
      <w:pPr>
        <w:pStyle w:val="TEXTE"/>
        <w:rPr>
          <w:szCs w:val="22"/>
        </w:rPr>
      </w:pPr>
      <w:r w:rsidRPr="001C6E27">
        <w:rPr>
          <w:szCs w:val="22"/>
        </w:rPr>
        <w:t>Le marché est-il reconductible ?</w:t>
      </w:r>
    </w:p>
    <w:p w14:paraId="52038051" w14:textId="14ADAB1E" w:rsidR="0087313A" w:rsidRPr="001C6E27" w:rsidRDefault="001C6E27" w:rsidP="001C6E27">
      <w:pPr>
        <w:pStyle w:val="TEXTE"/>
        <w:rPr>
          <w:szCs w:val="22"/>
        </w:rPr>
      </w:pPr>
      <w:r w:rsidRPr="001C6E27">
        <w:rPr>
          <w:szCs w:val="22"/>
        </w:rPr>
        <w:fldChar w:fldCharType="begin">
          <w:ffData>
            <w:name w:val=""/>
            <w:enabled/>
            <w:calcOnExit w:val="0"/>
            <w:checkBox>
              <w:sizeAuto/>
              <w:default w:val="1"/>
            </w:checkBox>
          </w:ffData>
        </w:fldChar>
      </w:r>
      <w:r w:rsidRPr="001C6E27">
        <w:rPr>
          <w:szCs w:val="22"/>
        </w:rPr>
        <w:instrText xml:space="preserve"> FORMCHECKBOX </w:instrText>
      </w:r>
      <w:r w:rsidR="007D5E19">
        <w:rPr>
          <w:szCs w:val="22"/>
        </w:rPr>
      </w:r>
      <w:r w:rsidR="007D5E19">
        <w:rPr>
          <w:szCs w:val="22"/>
        </w:rPr>
        <w:fldChar w:fldCharType="separate"/>
      </w:r>
      <w:r w:rsidRPr="001C6E27">
        <w:rPr>
          <w:szCs w:val="22"/>
        </w:rPr>
        <w:fldChar w:fldCharType="end"/>
      </w:r>
      <w:r>
        <w:rPr>
          <w:szCs w:val="22"/>
        </w:rPr>
        <w:t xml:space="preserve">Oui </w:t>
      </w:r>
      <w:r w:rsidR="0087313A" w:rsidRPr="001C6E27">
        <w:rPr>
          <w:szCs w:val="22"/>
        </w:rPr>
        <w:fldChar w:fldCharType="begin">
          <w:ffData>
            <w:name w:val=""/>
            <w:enabled/>
            <w:calcOnExit w:val="0"/>
            <w:checkBox>
              <w:sizeAuto/>
              <w:default w:val="0"/>
            </w:checkBox>
          </w:ffData>
        </w:fldChar>
      </w:r>
      <w:r w:rsidR="0087313A" w:rsidRPr="001C6E27">
        <w:rPr>
          <w:szCs w:val="22"/>
        </w:rPr>
        <w:instrText xml:space="preserve"> FORMCHECKBOX </w:instrText>
      </w:r>
      <w:r w:rsidR="007D5E19">
        <w:rPr>
          <w:szCs w:val="22"/>
        </w:rPr>
      </w:r>
      <w:r w:rsidR="007D5E19">
        <w:rPr>
          <w:szCs w:val="22"/>
        </w:rPr>
        <w:fldChar w:fldCharType="separate"/>
      </w:r>
      <w:r w:rsidR="0087313A" w:rsidRPr="001C6E27">
        <w:rPr>
          <w:szCs w:val="22"/>
        </w:rPr>
        <w:fldChar w:fldCharType="end"/>
      </w:r>
      <w:r w:rsidR="0087313A" w:rsidRPr="001C6E27">
        <w:rPr>
          <w:szCs w:val="22"/>
        </w:rPr>
        <w:t xml:space="preserve"> Non</w:t>
      </w:r>
    </w:p>
    <w:p w14:paraId="23010AFD" w14:textId="120DA890" w:rsidR="0087313A" w:rsidRPr="001C6E27" w:rsidRDefault="0087313A" w:rsidP="001C6E27">
      <w:pPr>
        <w:pStyle w:val="TEXTE"/>
        <w:rPr>
          <w:szCs w:val="22"/>
        </w:rPr>
      </w:pPr>
      <w:r w:rsidRPr="001C6E27">
        <w:rPr>
          <w:szCs w:val="22"/>
        </w:rPr>
        <w:t xml:space="preserve">Le marché public sera renouvelé annuellement de manière tacite par l’acheteur dans la limite totale de </w:t>
      </w:r>
      <w:r w:rsidR="00EC614E">
        <w:rPr>
          <w:szCs w:val="22"/>
        </w:rPr>
        <w:t>4</w:t>
      </w:r>
      <w:r w:rsidRPr="001C6E27">
        <w:rPr>
          <w:szCs w:val="22"/>
        </w:rPr>
        <w:t xml:space="preserve"> ans (période ferme comprise).</w:t>
      </w:r>
    </w:p>
    <w:p w14:paraId="7A0F5902" w14:textId="77777777" w:rsidR="0087313A" w:rsidRPr="001C6E27" w:rsidRDefault="0087313A" w:rsidP="001C6E27">
      <w:pPr>
        <w:pStyle w:val="TEXTE"/>
        <w:rPr>
          <w:szCs w:val="22"/>
        </w:rPr>
      </w:pPr>
      <w:r w:rsidRPr="001C6E27">
        <w:rPr>
          <w:szCs w:val="22"/>
        </w:rPr>
        <w:t xml:space="preserve">En cas de non reconduction, le titulaire du marché ou de l’accord-cadre à bons de commande sera informé 2 mois avant la date prévue pour la reconduction. </w:t>
      </w:r>
    </w:p>
    <w:p w14:paraId="6C8AF5E1" w14:textId="77777777" w:rsidR="0087313A" w:rsidRPr="007614D8" w:rsidRDefault="0087313A" w:rsidP="00EC614E">
      <w:pPr>
        <w:pStyle w:val="Titre"/>
        <w:numPr>
          <w:ilvl w:val="0"/>
          <w:numId w:val="2"/>
        </w:numPr>
        <w:shd w:val="clear" w:color="auto" w:fill="C5E0B3" w:themeFill="accent6" w:themeFillTint="66"/>
        <w:spacing w:before="240"/>
        <w:rPr>
          <w:rFonts w:cstheme="majorHAnsi"/>
        </w:rPr>
      </w:pPr>
      <w:bookmarkStart w:id="9" w:name="_Toc58841424"/>
      <w:bookmarkStart w:id="10" w:name="_Toc191566835"/>
      <w:r w:rsidRPr="007614D8">
        <w:rPr>
          <w:rFonts w:cstheme="majorHAnsi"/>
        </w:rPr>
        <w:t>Décomposition du marché public</w:t>
      </w:r>
      <w:bookmarkEnd w:id="9"/>
      <w:bookmarkEnd w:id="10"/>
    </w:p>
    <w:p w14:paraId="00F3797B" w14:textId="54C0FEE1" w:rsidR="0087313A" w:rsidRPr="007614D8" w:rsidRDefault="00EC614E" w:rsidP="00AA77D8">
      <w:pPr>
        <w:pStyle w:val="Titre1"/>
      </w:pPr>
      <w:bookmarkStart w:id="11" w:name="_Toc58841425"/>
      <w:bookmarkStart w:id="12" w:name="_Toc191566836"/>
      <w:r>
        <w:t xml:space="preserve">3.1 </w:t>
      </w:r>
      <w:r w:rsidR="0087313A" w:rsidRPr="007614D8">
        <w:t>Tranches</w:t>
      </w:r>
      <w:bookmarkEnd w:id="11"/>
      <w:bookmarkEnd w:id="12"/>
      <w:r w:rsidR="0087313A" w:rsidRPr="007614D8">
        <w:t xml:space="preserve"> </w:t>
      </w:r>
    </w:p>
    <w:p w14:paraId="17881165" w14:textId="040FC073" w:rsidR="0087313A" w:rsidRPr="00EC614E" w:rsidRDefault="00EC614E" w:rsidP="00EC614E">
      <w:pPr>
        <w:pStyle w:val="TEXTE"/>
        <w:rPr>
          <w:szCs w:val="22"/>
        </w:rPr>
      </w:pPr>
      <w:r w:rsidRPr="00EC614E">
        <w:rPr>
          <w:szCs w:val="22"/>
        </w:rPr>
        <w:t>Sans objet.</w:t>
      </w:r>
    </w:p>
    <w:p w14:paraId="3F096A38" w14:textId="0880AB88" w:rsidR="0087313A" w:rsidRPr="007614D8" w:rsidRDefault="00EC614E" w:rsidP="00AA77D8">
      <w:pPr>
        <w:pStyle w:val="Titre1"/>
      </w:pPr>
      <w:bookmarkStart w:id="13" w:name="_Toc58841426"/>
      <w:bookmarkStart w:id="14" w:name="_Toc191566837"/>
      <w:r>
        <w:t xml:space="preserve">3.2 </w:t>
      </w:r>
      <w:r w:rsidR="0087313A" w:rsidRPr="007614D8">
        <w:t>Lots</w:t>
      </w:r>
      <w:bookmarkEnd w:id="13"/>
      <w:bookmarkEnd w:id="14"/>
    </w:p>
    <w:p w14:paraId="32E49267" w14:textId="77777777" w:rsidR="00EC614E" w:rsidRPr="00EC614E" w:rsidRDefault="0087313A" w:rsidP="00EC614E">
      <w:pPr>
        <w:pStyle w:val="TEXTE"/>
        <w:rPr>
          <w:szCs w:val="22"/>
        </w:rPr>
      </w:pPr>
      <w:r w:rsidRPr="00EC614E">
        <w:rPr>
          <w:szCs w:val="22"/>
        </w:rPr>
        <w:t>Le m</w:t>
      </w:r>
      <w:r w:rsidR="00EC614E" w:rsidRPr="00EC614E">
        <w:rPr>
          <w:szCs w:val="22"/>
        </w:rPr>
        <w:t xml:space="preserve">arché public est à lot unique. </w:t>
      </w:r>
    </w:p>
    <w:p w14:paraId="21DBE57E" w14:textId="51CCA50C" w:rsidR="0087313A" w:rsidRPr="00EC614E" w:rsidRDefault="0087313A" w:rsidP="00EC614E">
      <w:pPr>
        <w:pStyle w:val="TEXTE"/>
        <w:rPr>
          <w:szCs w:val="22"/>
        </w:rPr>
      </w:pPr>
      <w:r w:rsidRPr="00EC614E">
        <w:rPr>
          <w:szCs w:val="22"/>
        </w:rPr>
        <w:lastRenderedPageBreak/>
        <w:fldChar w:fldCharType="begin"/>
      </w:r>
      <w:r w:rsidRPr="00EC614E">
        <w:rPr>
          <w:szCs w:val="22"/>
        </w:rPr>
        <w:instrText xml:space="preserve"> if </w:instrText>
      </w:r>
      <w:r w:rsidRPr="00EC614E">
        <w:rPr>
          <w:szCs w:val="22"/>
        </w:rPr>
        <w:fldChar w:fldCharType="begin"/>
      </w:r>
      <w:r w:rsidRPr="00EC614E">
        <w:rPr>
          <w:szCs w:val="22"/>
        </w:rPr>
        <w:instrText xml:space="preserve"> choix3 </w:instrText>
      </w:r>
      <w:r w:rsidRPr="00EC614E">
        <w:rPr>
          <w:szCs w:val="22"/>
        </w:rPr>
        <w:fldChar w:fldCharType="separate"/>
      </w:r>
      <w:r w:rsidRPr="00EC614E">
        <w:rPr>
          <w:szCs w:val="22"/>
        </w:rPr>
        <w:instrText>Choisissez un élément.</w:instrText>
      </w:r>
      <w:r w:rsidRPr="00EC614E">
        <w:rPr>
          <w:szCs w:val="22"/>
        </w:rPr>
        <w:fldChar w:fldCharType="end"/>
      </w:r>
      <w:r w:rsidRPr="00EC614E">
        <w:rPr>
          <w:szCs w:val="22"/>
        </w:rPr>
        <w:instrText xml:space="preserve"> = "alloti" " Nombre de lots : Cliquez ou appuyez ici pour entrer du texte.</w:instrText>
      </w:r>
    </w:p>
    <w:p w14:paraId="0BFFD0AB" w14:textId="77777777" w:rsidR="0087313A" w:rsidRPr="00EC614E" w:rsidRDefault="0087313A" w:rsidP="00EC614E">
      <w:pPr>
        <w:pStyle w:val="TEXTE"/>
        <w:rPr>
          <w:szCs w:val="22"/>
        </w:rPr>
      </w:pPr>
      <w:r w:rsidRPr="00EC614E">
        <w:rPr>
          <w:szCs w:val="22"/>
        </w:rPr>
        <w:instrText>Répartition des lots : Cliquez ou appuyez ici pour entrer du texte.</w:instrText>
      </w:r>
    </w:p>
    <w:p w14:paraId="6FF4E4F1" w14:textId="77777777" w:rsidR="0087313A" w:rsidRPr="00EC614E" w:rsidRDefault="0087313A" w:rsidP="00EC614E">
      <w:pPr>
        <w:pStyle w:val="TEXTE"/>
        <w:rPr>
          <w:szCs w:val="22"/>
        </w:rPr>
      </w:pPr>
      <w:r w:rsidRPr="00EC614E">
        <w:rPr>
          <w:szCs w:val="22"/>
        </w:rPr>
        <w:instrText xml:space="preserve">Le GCS UniHA se réserve la possibilité de regrouper l’ensemble des lots attribués à un candidat dans le cadre d’un seul marché. </w:instrText>
      </w:r>
    </w:p>
    <w:p w14:paraId="20FFF3EE" w14:textId="77777777" w:rsidR="00962E3D" w:rsidRPr="00EC614E" w:rsidRDefault="0087313A" w:rsidP="00EC614E">
      <w:pPr>
        <w:pStyle w:val="TEXTE"/>
        <w:rPr>
          <w:szCs w:val="22"/>
        </w:rPr>
      </w:pPr>
      <w:r w:rsidRPr="00EC614E">
        <w:rPr>
          <w:szCs w:val="22"/>
        </w:rPr>
        <w:instrText xml:space="preserve">Possibilité de présenter une offre pour :  </w:instrText>
      </w:r>
      <w:r w:rsidRPr="00EC614E">
        <w:rPr>
          <w:rFonts w:ascii="Segoe UI Symbol" w:hAnsi="Segoe UI Symbol" w:cs="Segoe UI Symbol"/>
          <w:szCs w:val="22"/>
        </w:rPr>
        <w:instrText>☐</w:instrText>
      </w:r>
      <w:r w:rsidRPr="00EC614E">
        <w:rPr>
          <w:szCs w:val="22"/>
        </w:rPr>
        <w:instrText xml:space="preserve">Un seul lot  </w:instrText>
      </w:r>
      <w:r w:rsidRPr="00EC614E">
        <w:rPr>
          <w:rFonts w:ascii="Segoe UI Symbol" w:hAnsi="Segoe UI Symbol" w:cs="Segoe UI Symbol"/>
          <w:szCs w:val="22"/>
        </w:rPr>
        <w:instrText>☐</w:instrText>
      </w:r>
      <w:r w:rsidRPr="00EC614E">
        <w:rPr>
          <w:szCs w:val="22"/>
        </w:rPr>
        <w:instrText xml:space="preserve">Un ou plusieurs lots  </w:instrText>
      </w:r>
      <w:r w:rsidRPr="00EC614E">
        <w:rPr>
          <w:rFonts w:ascii="Segoe UI Symbol" w:hAnsi="Segoe UI Symbol" w:cs="Segoe UI Symbol"/>
          <w:szCs w:val="22"/>
        </w:rPr>
        <w:instrText>☐</w:instrText>
      </w:r>
      <w:r w:rsidRPr="00EC614E">
        <w:rPr>
          <w:szCs w:val="22"/>
        </w:rPr>
        <w:instrText>Tous les lots." " Après étude, l'acheteur a décidé conformément aux règles de la commande publique, de ne pas allotir la présentation consultation pour la raison suivante : Les achats concernés constituent une famille de prestations homogènes. Ces derniers ne permettent pas de dégager des prestations distinctes et un allotissement pertinent. "</w:instrText>
      </w:r>
      <w:r w:rsidRPr="00EC614E">
        <w:rPr>
          <w:szCs w:val="22"/>
        </w:rPr>
        <w:fldChar w:fldCharType="separate"/>
      </w:r>
      <w:r w:rsidRPr="00EC614E">
        <w:rPr>
          <w:szCs w:val="22"/>
        </w:rPr>
        <w:t xml:space="preserve">Après étude, l'acheteur a décidé conformément aux règles de la commande publique, de ne pas allotir la présentation consultation pour la raison suivante : </w:t>
      </w:r>
    </w:p>
    <w:p w14:paraId="7C65B9F6" w14:textId="726D64FB" w:rsidR="0087313A" w:rsidRPr="00EC614E" w:rsidRDefault="0087313A" w:rsidP="00EC614E">
      <w:pPr>
        <w:pStyle w:val="TEXTE"/>
        <w:rPr>
          <w:szCs w:val="22"/>
        </w:rPr>
      </w:pPr>
      <w:r w:rsidRPr="00EC614E">
        <w:rPr>
          <w:szCs w:val="22"/>
        </w:rPr>
        <w:fldChar w:fldCharType="end"/>
      </w:r>
      <w:r w:rsidRPr="00EC614E">
        <w:rPr>
          <w:szCs w:val="22"/>
        </w:rPr>
        <w:t xml:space="preserve">La dévolution en lots séparés risque de rendre techniquement difficile l'exécution des prestations. </w:t>
      </w:r>
    </w:p>
    <w:p w14:paraId="3EE218D5" w14:textId="35560CF6" w:rsidR="0087313A" w:rsidRPr="007614D8" w:rsidRDefault="00EC614E" w:rsidP="00AA77D8">
      <w:pPr>
        <w:pStyle w:val="Titre1"/>
      </w:pPr>
      <w:bookmarkStart w:id="15" w:name="_Toc58841427"/>
      <w:bookmarkStart w:id="16" w:name="_Toc191566838"/>
      <w:r>
        <w:t xml:space="preserve">3.3 </w:t>
      </w:r>
      <w:r w:rsidR="0087313A" w:rsidRPr="007614D8">
        <w:t>Phases</w:t>
      </w:r>
      <w:bookmarkEnd w:id="15"/>
      <w:bookmarkEnd w:id="16"/>
    </w:p>
    <w:p w14:paraId="4A7C7B2D" w14:textId="77777777" w:rsidR="00EC614E" w:rsidRPr="00EC614E" w:rsidRDefault="00EC614E" w:rsidP="00EC614E">
      <w:pPr>
        <w:pStyle w:val="TEXTE"/>
        <w:rPr>
          <w:szCs w:val="22"/>
        </w:rPr>
      </w:pPr>
      <w:r w:rsidRPr="00EC614E">
        <w:rPr>
          <w:szCs w:val="22"/>
        </w:rPr>
        <w:t>Sans objet.</w:t>
      </w:r>
    </w:p>
    <w:p w14:paraId="12C299A5" w14:textId="77777777" w:rsidR="0087313A" w:rsidRPr="007614D8" w:rsidRDefault="0087313A" w:rsidP="00EC614E">
      <w:pPr>
        <w:pStyle w:val="Titre"/>
        <w:numPr>
          <w:ilvl w:val="0"/>
          <w:numId w:val="2"/>
        </w:numPr>
        <w:shd w:val="clear" w:color="auto" w:fill="C5E0B3" w:themeFill="accent6" w:themeFillTint="66"/>
        <w:spacing w:before="240"/>
        <w:rPr>
          <w:rFonts w:cstheme="majorHAnsi"/>
        </w:rPr>
      </w:pPr>
      <w:bookmarkStart w:id="17" w:name="_Toc58841428"/>
      <w:bookmarkStart w:id="18" w:name="_Toc191566839"/>
      <w:r w:rsidRPr="007614D8">
        <w:rPr>
          <w:rFonts w:cstheme="majorHAnsi"/>
        </w:rPr>
        <w:t>Procédure</w:t>
      </w:r>
      <w:bookmarkEnd w:id="17"/>
      <w:bookmarkEnd w:id="18"/>
      <w:r w:rsidRPr="007614D8">
        <w:rPr>
          <w:rFonts w:cstheme="majorHAnsi"/>
        </w:rPr>
        <w:t xml:space="preserve"> </w:t>
      </w:r>
    </w:p>
    <w:p w14:paraId="160091C6" w14:textId="72BA1EE0" w:rsidR="0087313A" w:rsidRPr="007614D8" w:rsidRDefault="00EB2207" w:rsidP="00AA77D8">
      <w:pPr>
        <w:pStyle w:val="Titre1"/>
      </w:pPr>
      <w:bookmarkStart w:id="19" w:name="_Toc515966942"/>
      <w:bookmarkStart w:id="20" w:name="_Toc58841429"/>
      <w:bookmarkStart w:id="21" w:name="_Toc191566840"/>
      <w:r>
        <w:t xml:space="preserve">4.1 </w:t>
      </w:r>
      <w:r w:rsidR="0087313A" w:rsidRPr="007614D8">
        <w:t xml:space="preserve">Type de </w:t>
      </w:r>
      <w:bookmarkEnd w:id="19"/>
      <w:r w:rsidR="0087313A" w:rsidRPr="007614D8">
        <w:t>procédure</w:t>
      </w:r>
      <w:bookmarkEnd w:id="20"/>
      <w:bookmarkEnd w:id="21"/>
      <w:r w:rsidR="0087313A" w:rsidRPr="007614D8">
        <w:t xml:space="preserve"> </w:t>
      </w:r>
    </w:p>
    <w:p w14:paraId="25D18FAB" w14:textId="77777777" w:rsidR="0087313A" w:rsidRPr="00EB2207" w:rsidRDefault="0087313A" w:rsidP="00EB2207">
      <w:pPr>
        <w:pStyle w:val="TEXTE"/>
        <w:rPr>
          <w:szCs w:val="22"/>
        </w:rPr>
      </w:pPr>
      <w:r w:rsidRPr="00EB2207">
        <w:rPr>
          <w:szCs w:val="22"/>
        </w:rPr>
        <w:t>La procédure de consultation utilisée est la suivante :</w:t>
      </w:r>
    </w:p>
    <w:p w14:paraId="73815BCC" w14:textId="77777777" w:rsidR="0087313A" w:rsidRPr="00EB2207" w:rsidRDefault="0087313A" w:rsidP="00EB2207">
      <w:pPr>
        <w:pStyle w:val="TEXTE"/>
        <w:rPr>
          <w:szCs w:val="22"/>
        </w:rPr>
      </w:pPr>
      <w:bookmarkStart w:id="22" w:name="_Toc515966944"/>
      <w:bookmarkStart w:id="23" w:name="_Toc58841430"/>
      <w:r w:rsidRPr="00EB2207">
        <w:rPr>
          <w:szCs w:val="22"/>
        </w:rPr>
        <w:t>Procédure adaptée, passée en application des articles L.2120-1 2°, L. 2123-1, R. 2123-1, R 2123-4 à 6 et R. 2131-12 du code de la commande publique.</w:t>
      </w:r>
    </w:p>
    <w:p w14:paraId="0871FF24" w14:textId="200B37BB" w:rsidR="0087313A" w:rsidRPr="007614D8" w:rsidRDefault="00EB2207" w:rsidP="00AA77D8">
      <w:pPr>
        <w:pStyle w:val="Titre1"/>
      </w:pPr>
      <w:bookmarkStart w:id="24" w:name="_Toc191566841"/>
      <w:r>
        <w:t xml:space="preserve">4.2 </w:t>
      </w:r>
      <w:r w:rsidR="0087313A" w:rsidRPr="007614D8">
        <w:t>Délai de validité des offres</w:t>
      </w:r>
      <w:bookmarkEnd w:id="22"/>
      <w:bookmarkEnd w:id="23"/>
      <w:bookmarkEnd w:id="24"/>
      <w:r w:rsidR="0087313A" w:rsidRPr="007614D8">
        <w:t xml:space="preserve"> </w:t>
      </w:r>
    </w:p>
    <w:p w14:paraId="29FAFFED" w14:textId="538DD5F7" w:rsidR="0087313A" w:rsidRPr="00EB2207" w:rsidRDefault="0087313A" w:rsidP="00EB2207">
      <w:pPr>
        <w:pStyle w:val="TEXTE"/>
        <w:rPr>
          <w:szCs w:val="22"/>
        </w:rPr>
      </w:pPr>
      <w:bookmarkStart w:id="25" w:name="_Toc58841431"/>
      <w:r w:rsidRPr="00EB2207">
        <w:rPr>
          <w:szCs w:val="22"/>
        </w:rPr>
        <w:t xml:space="preserve">Le candidat s'engage à maintenir son offre pendant une durée de </w:t>
      </w:r>
      <w:r w:rsidR="00EB2207" w:rsidRPr="00EB2207">
        <w:rPr>
          <w:szCs w:val="22"/>
        </w:rPr>
        <w:t>6 mois</w:t>
      </w:r>
      <w:r w:rsidRPr="00EB2207">
        <w:rPr>
          <w:szCs w:val="22"/>
        </w:rPr>
        <w:t>, à compter de la date limite de réception des offres avant négociation et pour la même durée à compter de la date limite de remise des offres après négociation.</w:t>
      </w:r>
    </w:p>
    <w:p w14:paraId="21E10B97" w14:textId="4829170A" w:rsidR="0087313A" w:rsidRPr="007614D8" w:rsidRDefault="00EB2207" w:rsidP="00AA77D8">
      <w:pPr>
        <w:pStyle w:val="Titre1"/>
      </w:pPr>
      <w:bookmarkStart w:id="26" w:name="_Toc191566842"/>
      <w:r>
        <w:t xml:space="preserve">4.3 </w:t>
      </w:r>
      <w:r w:rsidR="0087313A" w:rsidRPr="007614D8">
        <w:t>Contenu du dossier de consultation</w:t>
      </w:r>
      <w:bookmarkEnd w:id="25"/>
      <w:bookmarkEnd w:id="26"/>
      <w:r w:rsidR="0087313A" w:rsidRPr="007614D8">
        <w:t xml:space="preserve"> </w:t>
      </w:r>
    </w:p>
    <w:p w14:paraId="2AA4C521" w14:textId="77777777" w:rsidR="0087313A" w:rsidRPr="00EB2207" w:rsidRDefault="0087313A" w:rsidP="00EB2207">
      <w:pPr>
        <w:pStyle w:val="TEXTE"/>
        <w:rPr>
          <w:szCs w:val="22"/>
        </w:rPr>
      </w:pPr>
      <w:r w:rsidRPr="00EB2207">
        <w:rPr>
          <w:szCs w:val="22"/>
        </w:rPr>
        <w:t>Le dossier de consultation comprend les documents suivants :</w:t>
      </w:r>
    </w:p>
    <w:p w14:paraId="2CD20E03" w14:textId="57CD775F" w:rsidR="0087313A" w:rsidRPr="00EB2207" w:rsidRDefault="00EB2207" w:rsidP="00EB2207">
      <w:pPr>
        <w:pStyle w:val="TEXTE"/>
        <w:numPr>
          <w:ilvl w:val="0"/>
          <w:numId w:val="17"/>
        </w:numPr>
        <w:rPr>
          <w:szCs w:val="22"/>
        </w:rPr>
      </w:pPr>
      <w:r>
        <w:rPr>
          <w:szCs w:val="22"/>
        </w:rPr>
        <w:t>L</w:t>
      </w:r>
      <w:r w:rsidR="0087313A" w:rsidRPr="00EB2207">
        <w:rPr>
          <w:szCs w:val="22"/>
        </w:rPr>
        <w:t xml:space="preserve">'acte d'engagement et ses annexes dont les annexes </w:t>
      </w:r>
    </w:p>
    <w:p w14:paraId="117061F5" w14:textId="3C44B0D6" w:rsidR="0087313A" w:rsidRPr="00EB2207" w:rsidRDefault="00EB2207" w:rsidP="00EB2207">
      <w:pPr>
        <w:pStyle w:val="TEXTE"/>
        <w:numPr>
          <w:ilvl w:val="1"/>
          <w:numId w:val="17"/>
        </w:numPr>
        <w:rPr>
          <w:szCs w:val="22"/>
        </w:rPr>
      </w:pPr>
      <w:r>
        <w:rPr>
          <w:szCs w:val="22"/>
        </w:rPr>
        <w:t>Bordereau de prix</w:t>
      </w:r>
    </w:p>
    <w:p w14:paraId="6377E534" w14:textId="7FD8959F" w:rsidR="0087313A" w:rsidRPr="00EB2207" w:rsidRDefault="0087313A" w:rsidP="00EB2207">
      <w:pPr>
        <w:pStyle w:val="TEXTE"/>
        <w:numPr>
          <w:ilvl w:val="1"/>
          <w:numId w:val="17"/>
        </w:numPr>
        <w:rPr>
          <w:szCs w:val="22"/>
        </w:rPr>
      </w:pPr>
      <w:r w:rsidRPr="00EB2207">
        <w:rPr>
          <w:szCs w:val="22"/>
        </w:rPr>
        <w:t> Liste des ordonnateurs et c</w:t>
      </w:r>
      <w:r w:rsidR="00EB2207">
        <w:rPr>
          <w:szCs w:val="22"/>
        </w:rPr>
        <w:t>omptables assignataires du GHT </w:t>
      </w:r>
      <w:r w:rsidRPr="00EB2207">
        <w:rPr>
          <w:szCs w:val="22"/>
        </w:rPr>
        <w:t xml:space="preserve"> </w:t>
      </w:r>
    </w:p>
    <w:p w14:paraId="7DC6667B" w14:textId="3B1F6046" w:rsidR="0087313A" w:rsidRPr="00EB2207" w:rsidRDefault="00EB2207" w:rsidP="00EB2207">
      <w:pPr>
        <w:pStyle w:val="TEXTE"/>
        <w:numPr>
          <w:ilvl w:val="0"/>
          <w:numId w:val="17"/>
        </w:numPr>
        <w:rPr>
          <w:szCs w:val="22"/>
        </w:rPr>
      </w:pPr>
      <w:r>
        <w:rPr>
          <w:szCs w:val="22"/>
        </w:rPr>
        <w:t>L</w:t>
      </w:r>
      <w:r w:rsidR="0087313A" w:rsidRPr="00EB2207">
        <w:rPr>
          <w:szCs w:val="22"/>
        </w:rPr>
        <w:t>e Règl</w:t>
      </w:r>
      <w:r>
        <w:rPr>
          <w:szCs w:val="22"/>
        </w:rPr>
        <w:t>ement de la Consultation et ses</w:t>
      </w:r>
      <w:r w:rsidR="0087313A" w:rsidRPr="00EB2207">
        <w:rPr>
          <w:szCs w:val="22"/>
        </w:rPr>
        <w:t xml:space="preserve"> annexes :</w:t>
      </w:r>
    </w:p>
    <w:p w14:paraId="3F566D3A" w14:textId="7896C722" w:rsidR="0087313A" w:rsidRPr="00EB2207" w:rsidRDefault="0087313A" w:rsidP="00EB2207">
      <w:pPr>
        <w:pStyle w:val="TEXTE"/>
        <w:numPr>
          <w:ilvl w:val="1"/>
          <w:numId w:val="17"/>
        </w:numPr>
        <w:rPr>
          <w:szCs w:val="22"/>
        </w:rPr>
      </w:pPr>
      <w:r w:rsidRPr="00EB2207">
        <w:rPr>
          <w:szCs w:val="22"/>
        </w:rPr>
        <w:t xml:space="preserve">Etat </w:t>
      </w:r>
      <w:r w:rsidR="00962E3D" w:rsidRPr="00EB2207">
        <w:rPr>
          <w:szCs w:val="22"/>
        </w:rPr>
        <w:t xml:space="preserve">des besoins </w:t>
      </w:r>
      <w:r w:rsidR="009236E3" w:rsidRPr="00EB2207">
        <w:rPr>
          <w:szCs w:val="22"/>
        </w:rPr>
        <w:t>estimatifs ;</w:t>
      </w:r>
      <w:r w:rsidRPr="00EB2207">
        <w:rPr>
          <w:szCs w:val="22"/>
        </w:rPr>
        <w:t xml:space="preserve"> </w:t>
      </w:r>
    </w:p>
    <w:p w14:paraId="33C348B9" w14:textId="591E6E60" w:rsidR="00FD4A10" w:rsidRPr="00EB2207" w:rsidRDefault="00FD4A10" w:rsidP="00EB2207">
      <w:pPr>
        <w:pStyle w:val="TEXTE"/>
        <w:numPr>
          <w:ilvl w:val="1"/>
          <w:numId w:val="17"/>
        </w:numPr>
        <w:rPr>
          <w:szCs w:val="22"/>
        </w:rPr>
      </w:pPr>
      <w:r w:rsidRPr="00EB2207">
        <w:rPr>
          <w:szCs w:val="22"/>
        </w:rPr>
        <w:t xml:space="preserve">Dématérialisation </w:t>
      </w:r>
    </w:p>
    <w:p w14:paraId="7FD67EB2" w14:textId="3C62162C" w:rsidR="0087313A" w:rsidRPr="00EB2207" w:rsidRDefault="0087313A" w:rsidP="00EB2207">
      <w:pPr>
        <w:pStyle w:val="TEXTE"/>
        <w:numPr>
          <w:ilvl w:val="1"/>
          <w:numId w:val="17"/>
        </w:numPr>
        <w:rPr>
          <w:szCs w:val="22"/>
        </w:rPr>
      </w:pPr>
      <w:r w:rsidRPr="00EB2207">
        <w:rPr>
          <w:szCs w:val="22"/>
        </w:rPr>
        <w:t xml:space="preserve">Note relative à la dématérialisation des factures </w:t>
      </w:r>
    </w:p>
    <w:p w14:paraId="62C75D96" w14:textId="52E7421F" w:rsidR="0087313A" w:rsidRPr="00EB2207" w:rsidRDefault="0087313A" w:rsidP="00EB2207">
      <w:pPr>
        <w:pStyle w:val="TEXTE"/>
        <w:numPr>
          <w:ilvl w:val="1"/>
          <w:numId w:val="17"/>
        </w:numPr>
        <w:rPr>
          <w:szCs w:val="22"/>
        </w:rPr>
      </w:pPr>
      <w:r w:rsidRPr="00EB2207">
        <w:rPr>
          <w:szCs w:val="22"/>
        </w:rPr>
        <w:t>Documents et attestations à fournir par le candidat attributaire.</w:t>
      </w:r>
    </w:p>
    <w:p w14:paraId="57C30A1A" w14:textId="70F52A1F" w:rsidR="0087313A" w:rsidRPr="00EB2207" w:rsidRDefault="00EB2207" w:rsidP="00EB2207">
      <w:pPr>
        <w:pStyle w:val="TEXTE"/>
        <w:numPr>
          <w:ilvl w:val="0"/>
          <w:numId w:val="17"/>
        </w:numPr>
        <w:rPr>
          <w:szCs w:val="22"/>
        </w:rPr>
      </w:pPr>
      <w:r>
        <w:rPr>
          <w:szCs w:val="22"/>
        </w:rPr>
        <w:t>Le cahier des clauses</w:t>
      </w:r>
      <w:r w:rsidR="0087313A" w:rsidRPr="00EB2207">
        <w:rPr>
          <w:szCs w:val="22"/>
        </w:rPr>
        <w:t xml:space="preserve"> particulières dont seul l'exemplaire conservé dans les archives de l'administration fait foi </w:t>
      </w:r>
      <w:r w:rsidRPr="00EB2207">
        <w:rPr>
          <w:szCs w:val="22"/>
        </w:rPr>
        <w:t xml:space="preserve">et ses </w:t>
      </w:r>
      <w:r w:rsidR="0087313A" w:rsidRPr="00EB2207">
        <w:rPr>
          <w:szCs w:val="22"/>
        </w:rPr>
        <w:t>annexes :</w:t>
      </w:r>
    </w:p>
    <w:p w14:paraId="11361478" w14:textId="6E9327F6" w:rsidR="008A72F8" w:rsidRDefault="00EB2207" w:rsidP="008A72F8">
      <w:pPr>
        <w:pStyle w:val="TEXTE"/>
        <w:numPr>
          <w:ilvl w:val="1"/>
          <w:numId w:val="17"/>
        </w:numPr>
        <w:rPr>
          <w:szCs w:val="22"/>
        </w:rPr>
      </w:pPr>
      <w:r w:rsidRPr="00EB2207">
        <w:rPr>
          <w:szCs w:val="22"/>
        </w:rPr>
        <w:t>Cadre de réponse</w:t>
      </w:r>
      <w:r w:rsidR="008A72F8" w:rsidRPr="008A72F8">
        <w:rPr>
          <w:szCs w:val="22"/>
        </w:rPr>
        <w:t xml:space="preserve"> </w:t>
      </w:r>
    </w:p>
    <w:p w14:paraId="1E70FDA2" w14:textId="07D72B79" w:rsidR="008A72F8" w:rsidRPr="008A72F8" w:rsidRDefault="008A72F8" w:rsidP="008A72F8">
      <w:pPr>
        <w:pStyle w:val="TEXTE"/>
        <w:numPr>
          <w:ilvl w:val="1"/>
          <w:numId w:val="17"/>
        </w:numPr>
        <w:rPr>
          <w:szCs w:val="22"/>
        </w:rPr>
      </w:pPr>
      <w:r w:rsidRPr="00EB2207">
        <w:rPr>
          <w:szCs w:val="22"/>
        </w:rPr>
        <w:t>-L’annexe « obligations réglementaires en matière de détachemen</w:t>
      </w:r>
      <w:r>
        <w:rPr>
          <w:szCs w:val="22"/>
        </w:rPr>
        <w:t>t de salariés étrangers »</w:t>
      </w:r>
    </w:p>
    <w:p w14:paraId="6E6EF277" w14:textId="6171FB83" w:rsidR="0087313A" w:rsidRPr="008A72F8" w:rsidRDefault="008A72F8" w:rsidP="008A72F8">
      <w:pPr>
        <w:pStyle w:val="TEXTE"/>
        <w:numPr>
          <w:ilvl w:val="1"/>
          <w:numId w:val="17"/>
        </w:numPr>
        <w:rPr>
          <w:szCs w:val="22"/>
        </w:rPr>
      </w:pPr>
      <w:r>
        <w:rPr>
          <w:szCs w:val="22"/>
        </w:rPr>
        <w:t>L</w:t>
      </w:r>
      <w:r w:rsidRPr="00EB2207">
        <w:rPr>
          <w:szCs w:val="22"/>
        </w:rPr>
        <w:t xml:space="preserve">’annexe développement durable </w:t>
      </w:r>
    </w:p>
    <w:p w14:paraId="5AFA51FA" w14:textId="6872106E" w:rsidR="001349B3" w:rsidRPr="007614D8" w:rsidRDefault="00EB2207" w:rsidP="00EB2207">
      <w:pPr>
        <w:pStyle w:val="TEXTE"/>
        <w:numPr>
          <w:ilvl w:val="0"/>
          <w:numId w:val="17"/>
        </w:numPr>
      </w:pPr>
      <w:r>
        <w:rPr>
          <w:szCs w:val="22"/>
        </w:rPr>
        <w:t>L</w:t>
      </w:r>
      <w:r w:rsidR="0087313A" w:rsidRPr="00EB2207">
        <w:rPr>
          <w:szCs w:val="22"/>
        </w:rPr>
        <w:t>es formulaires "Lettre de candidature - désignation du mandataire par ses co-traitants", "Déclaration du candidat individuel ou du</w:t>
      </w:r>
      <w:r>
        <w:rPr>
          <w:szCs w:val="22"/>
        </w:rPr>
        <w:t xml:space="preserve"> membre du groupement"</w:t>
      </w:r>
      <w:r w:rsidRPr="007614D8">
        <w:t xml:space="preserve"> </w:t>
      </w:r>
    </w:p>
    <w:p w14:paraId="4432FE66" w14:textId="4573347E" w:rsidR="0087313A" w:rsidRPr="007614D8" w:rsidRDefault="00EB2207" w:rsidP="00AA77D8">
      <w:pPr>
        <w:pStyle w:val="Titre1"/>
      </w:pPr>
      <w:bookmarkStart w:id="27" w:name="_Toc515966946"/>
      <w:bookmarkStart w:id="28" w:name="_Toc58841432"/>
      <w:bookmarkStart w:id="29" w:name="_Toc191566843"/>
      <w:r>
        <w:t xml:space="preserve">4.4 </w:t>
      </w:r>
      <w:r w:rsidR="0087313A" w:rsidRPr="007614D8">
        <w:t xml:space="preserve">Modalités d’obtention du dossier de </w:t>
      </w:r>
      <w:bookmarkEnd w:id="27"/>
      <w:r w:rsidR="0087313A" w:rsidRPr="007614D8">
        <w:t>consultation par voie électronique</w:t>
      </w:r>
      <w:bookmarkEnd w:id="28"/>
      <w:bookmarkEnd w:id="29"/>
    </w:p>
    <w:p w14:paraId="5533C8AA" w14:textId="77777777" w:rsidR="0087313A" w:rsidRPr="00EB2207" w:rsidRDefault="0087313A" w:rsidP="00EB2207">
      <w:pPr>
        <w:pStyle w:val="TEXTE"/>
        <w:rPr>
          <w:szCs w:val="22"/>
        </w:rPr>
      </w:pPr>
      <w:r w:rsidRPr="00EB2207">
        <w:rPr>
          <w:szCs w:val="22"/>
        </w:rPr>
        <w:t>Se reporter à l'annexe relative à la dématérialisation des procédures.</w:t>
      </w:r>
    </w:p>
    <w:p w14:paraId="01A36365" w14:textId="0590EF6E" w:rsidR="0087313A" w:rsidRPr="007614D8" w:rsidRDefault="00EB2207" w:rsidP="00AA77D8">
      <w:pPr>
        <w:pStyle w:val="Titre1"/>
      </w:pPr>
      <w:bookmarkStart w:id="30" w:name="_Toc58841433"/>
      <w:bookmarkStart w:id="31" w:name="_Toc191566844"/>
      <w:r>
        <w:t xml:space="preserve">4.5 </w:t>
      </w:r>
      <w:r w:rsidR="0087313A" w:rsidRPr="007614D8">
        <w:t>Modifications de</w:t>
      </w:r>
      <w:r w:rsidR="00F5745D" w:rsidRPr="007614D8">
        <w:t xml:space="preserve"> détail </w:t>
      </w:r>
      <w:r w:rsidR="0087313A" w:rsidRPr="007614D8">
        <w:t>du dossier de consultation</w:t>
      </w:r>
      <w:bookmarkEnd w:id="30"/>
      <w:bookmarkEnd w:id="31"/>
    </w:p>
    <w:p w14:paraId="5C1FFE9F" w14:textId="5B7F75F2" w:rsidR="0087313A" w:rsidRPr="00EB2207" w:rsidRDefault="0087313A" w:rsidP="00EB2207">
      <w:pPr>
        <w:pStyle w:val="TEXTE"/>
        <w:rPr>
          <w:szCs w:val="22"/>
        </w:rPr>
      </w:pPr>
      <w:r w:rsidRPr="00EB2207">
        <w:rPr>
          <w:szCs w:val="22"/>
        </w:rPr>
        <w:t xml:space="preserve">La personne publique se réserve le droit d'apporter au plus tard </w:t>
      </w:r>
      <w:r w:rsidR="00EB2207" w:rsidRPr="00EB2207">
        <w:rPr>
          <w:szCs w:val="22"/>
        </w:rPr>
        <w:t>7</w:t>
      </w:r>
      <w:r w:rsidRPr="00EB2207">
        <w:rPr>
          <w:szCs w:val="22"/>
        </w:rPr>
        <w:t xml:space="preserve"> jours </w:t>
      </w:r>
      <w:r w:rsidR="00EB2207">
        <w:rPr>
          <w:szCs w:val="22"/>
        </w:rPr>
        <w:t xml:space="preserve">calendaire </w:t>
      </w:r>
      <w:r w:rsidRPr="00EB2207">
        <w:rPr>
          <w:szCs w:val="22"/>
        </w:rPr>
        <w:t>avant la date limite fixée pour la remise des offres, des modifications de détail au dossier de consultation.</w:t>
      </w:r>
    </w:p>
    <w:p w14:paraId="5277FC24" w14:textId="77777777" w:rsidR="0087313A" w:rsidRPr="00EB2207" w:rsidRDefault="0087313A" w:rsidP="00EB2207">
      <w:pPr>
        <w:pStyle w:val="TEXTE"/>
        <w:rPr>
          <w:szCs w:val="22"/>
        </w:rPr>
      </w:pPr>
      <w:r w:rsidRPr="00EB2207">
        <w:rPr>
          <w:szCs w:val="22"/>
        </w:rPr>
        <w:lastRenderedPageBreak/>
        <w:t>Les candidats devront alors répondre sur la base du dossier modifié sans pouvoir élever aucune réclamation à ce sujet.</w:t>
      </w:r>
    </w:p>
    <w:p w14:paraId="6010DDDF" w14:textId="77777777" w:rsidR="0087313A" w:rsidRPr="00EB2207" w:rsidRDefault="0087313A" w:rsidP="00EB2207">
      <w:pPr>
        <w:pStyle w:val="TEXTE"/>
        <w:rPr>
          <w:szCs w:val="22"/>
        </w:rPr>
      </w:pPr>
      <w:r w:rsidRPr="00EB2207">
        <w:rPr>
          <w:szCs w:val="22"/>
        </w:rPr>
        <w:t>Si, pendant l'étude du dossier par les candidats, la date limite fixée pour la remise des offres est reportée, la disposition précédente est applicable en fonction de cette nouvelle date.</w:t>
      </w:r>
    </w:p>
    <w:p w14:paraId="20BF04BA" w14:textId="4D14775E" w:rsidR="0087313A" w:rsidRPr="007614D8" w:rsidRDefault="00EB2207" w:rsidP="00AA77D8">
      <w:pPr>
        <w:pStyle w:val="Titre1"/>
      </w:pPr>
      <w:bookmarkStart w:id="32" w:name="_Toc58841434"/>
      <w:bookmarkStart w:id="33" w:name="_Toc191566845"/>
      <w:r>
        <w:t xml:space="preserve">4.6 </w:t>
      </w:r>
      <w:r w:rsidR="0087313A" w:rsidRPr="007614D8">
        <w:t>Compléments à apporter au cahier des charges</w:t>
      </w:r>
      <w:bookmarkEnd w:id="32"/>
      <w:bookmarkEnd w:id="33"/>
    </w:p>
    <w:p w14:paraId="378374EA" w14:textId="77777777" w:rsidR="0087313A" w:rsidRPr="00EB2207" w:rsidRDefault="0087313A" w:rsidP="00EB2207">
      <w:pPr>
        <w:pStyle w:val="TEXTE"/>
        <w:rPr>
          <w:szCs w:val="22"/>
        </w:rPr>
      </w:pPr>
      <w:r w:rsidRPr="00EB2207">
        <w:rPr>
          <w:szCs w:val="22"/>
        </w:rPr>
        <w:t>Les candidats n'ont pas à apporter de compléments au cahier des charges.</w:t>
      </w:r>
    </w:p>
    <w:p w14:paraId="445FACB5" w14:textId="566D24F9" w:rsidR="0087313A" w:rsidRPr="007614D8" w:rsidRDefault="00EB2207" w:rsidP="00AA77D8">
      <w:pPr>
        <w:pStyle w:val="Titre1"/>
      </w:pPr>
      <w:bookmarkStart w:id="34" w:name="_Toc58841435"/>
      <w:bookmarkStart w:id="35" w:name="_Toc191566846"/>
      <w:r>
        <w:t xml:space="preserve">4.7 </w:t>
      </w:r>
      <w:r w:rsidR="0087313A" w:rsidRPr="007614D8">
        <w:t>Renseignements complémentaires</w:t>
      </w:r>
      <w:bookmarkEnd w:id="34"/>
      <w:bookmarkEnd w:id="35"/>
    </w:p>
    <w:p w14:paraId="0B350B5A" w14:textId="0D1A9C7B" w:rsidR="0087313A" w:rsidRPr="00EB2207" w:rsidRDefault="0087313A" w:rsidP="00EB2207">
      <w:pPr>
        <w:pStyle w:val="TEXTE"/>
        <w:rPr>
          <w:szCs w:val="22"/>
        </w:rPr>
      </w:pPr>
      <w:r w:rsidRPr="00EB2207">
        <w:rPr>
          <w:szCs w:val="22"/>
        </w:rPr>
        <w:t xml:space="preserve">Les candidats pourront, </w:t>
      </w:r>
      <w:r w:rsidR="00EB2207" w:rsidRPr="00EB2207">
        <w:rPr>
          <w:szCs w:val="22"/>
        </w:rPr>
        <w:t>9</w:t>
      </w:r>
      <w:r w:rsidRPr="00EB2207">
        <w:rPr>
          <w:szCs w:val="22"/>
        </w:rPr>
        <w:t xml:space="preserve"> jours </w:t>
      </w:r>
      <w:r w:rsidR="00EB2207" w:rsidRPr="00EB2207">
        <w:rPr>
          <w:szCs w:val="22"/>
        </w:rPr>
        <w:t xml:space="preserve">calendaire </w:t>
      </w:r>
      <w:r w:rsidRPr="00EB2207">
        <w:rPr>
          <w:szCs w:val="22"/>
        </w:rPr>
        <w:t>maximum avant la date de remise des plis, adresser leurs demandes de renseignements complémentaires concernant la consultation sur la plateforme Place à l’adresse indiquée en page de garde du présent document</w:t>
      </w:r>
      <w:r w:rsidR="00B807F6" w:rsidRPr="00EB2207">
        <w:rPr>
          <w:szCs w:val="22"/>
        </w:rPr>
        <w:t>.</w:t>
      </w:r>
    </w:p>
    <w:p w14:paraId="044CFC33" w14:textId="6C2D64E0" w:rsidR="0087313A" w:rsidRPr="007614D8" w:rsidRDefault="00EB2207" w:rsidP="00AA77D8">
      <w:pPr>
        <w:pStyle w:val="Titre1"/>
      </w:pPr>
      <w:bookmarkStart w:id="36" w:name="_Toc58841436"/>
      <w:bookmarkStart w:id="37" w:name="_Toc191566847"/>
      <w:r>
        <w:t xml:space="preserve">4.8 </w:t>
      </w:r>
      <w:r w:rsidR="0087313A" w:rsidRPr="007614D8">
        <w:t>Unité monétaire</w:t>
      </w:r>
      <w:bookmarkEnd w:id="36"/>
      <w:bookmarkEnd w:id="37"/>
    </w:p>
    <w:p w14:paraId="31242A5B" w14:textId="77777777" w:rsidR="0087313A" w:rsidRPr="00EB2207" w:rsidRDefault="0087313A" w:rsidP="00EB2207">
      <w:pPr>
        <w:pStyle w:val="TEXTE"/>
        <w:rPr>
          <w:szCs w:val="22"/>
        </w:rPr>
      </w:pPr>
      <w:r w:rsidRPr="00EB2207">
        <w:rPr>
          <w:szCs w:val="22"/>
        </w:rPr>
        <w:t>Les candidats sont informés que la personne publique conclura le marché public dans l'unité monétaire suivante : euro(s).</w:t>
      </w:r>
    </w:p>
    <w:p w14:paraId="7E448A41" w14:textId="226E6ECD" w:rsidR="0087313A" w:rsidRPr="007614D8" w:rsidRDefault="00EB2207" w:rsidP="00AA77D8">
      <w:pPr>
        <w:pStyle w:val="Titre1"/>
      </w:pPr>
      <w:bookmarkStart w:id="38" w:name="_Toc58841437"/>
      <w:bookmarkStart w:id="39" w:name="_Toc191566848"/>
      <w:r>
        <w:t xml:space="preserve">4.9 </w:t>
      </w:r>
      <w:r w:rsidR="0087313A" w:rsidRPr="007614D8">
        <w:t>Mode de financement et de règlement</w:t>
      </w:r>
      <w:bookmarkEnd w:id="38"/>
      <w:bookmarkEnd w:id="39"/>
      <w:r w:rsidR="0087313A" w:rsidRPr="007614D8">
        <w:t xml:space="preserve"> </w:t>
      </w:r>
    </w:p>
    <w:p w14:paraId="02F62BB8" w14:textId="488C46A0" w:rsidR="0087313A" w:rsidRPr="00EB2207" w:rsidRDefault="0087313A" w:rsidP="00EB2207">
      <w:pPr>
        <w:pStyle w:val="TEXTE"/>
        <w:rPr>
          <w:szCs w:val="22"/>
        </w:rPr>
      </w:pPr>
      <w:r w:rsidRPr="00EB2207">
        <w:rPr>
          <w:szCs w:val="22"/>
        </w:rPr>
        <w:t>Les prestations seront rémunérées dans les conditions fixées par les règles de comptabilité publique. Le financement</w:t>
      </w:r>
      <w:r w:rsidR="008A72F8">
        <w:rPr>
          <w:szCs w:val="22"/>
        </w:rPr>
        <w:t xml:space="preserve"> sera basé sur le budget du CHU et d</w:t>
      </w:r>
      <w:r w:rsidRPr="00EB2207">
        <w:rPr>
          <w:szCs w:val="22"/>
        </w:rPr>
        <w:t>e chaque établissement membre du GHT.</w:t>
      </w:r>
    </w:p>
    <w:p w14:paraId="38F7DE5A" w14:textId="77777777" w:rsidR="0087313A" w:rsidRPr="00EB2207" w:rsidRDefault="0087313A" w:rsidP="00EB2207">
      <w:pPr>
        <w:pStyle w:val="TEXTE"/>
        <w:rPr>
          <w:szCs w:val="22"/>
        </w:rPr>
      </w:pPr>
      <w:r w:rsidRPr="00EB2207">
        <w:rPr>
          <w:szCs w:val="22"/>
        </w:rPr>
        <w:t>Le règlement des dépenses se fera par mandat administratif suivi d'un virement.</w:t>
      </w:r>
    </w:p>
    <w:p w14:paraId="1819F87E" w14:textId="5F5732CF" w:rsidR="0087313A" w:rsidRPr="00EB2207" w:rsidRDefault="0087313A" w:rsidP="00EB2207">
      <w:pPr>
        <w:pStyle w:val="TEXTE"/>
        <w:rPr>
          <w:szCs w:val="22"/>
        </w:rPr>
      </w:pPr>
      <w:r w:rsidRPr="00EB2207">
        <w:rPr>
          <w:szCs w:val="22"/>
        </w:rPr>
        <w:t>Le paiement interviendra dans un délai maximum de 50 jours</w:t>
      </w:r>
      <w:r w:rsidR="00EB2207">
        <w:rPr>
          <w:szCs w:val="22"/>
        </w:rPr>
        <w:t>.</w:t>
      </w:r>
    </w:p>
    <w:p w14:paraId="497C1BA4" w14:textId="77777777" w:rsidR="0087313A" w:rsidRPr="007614D8" w:rsidRDefault="0087313A" w:rsidP="00EB2207">
      <w:pPr>
        <w:pStyle w:val="Titre"/>
        <w:numPr>
          <w:ilvl w:val="0"/>
          <w:numId w:val="2"/>
        </w:numPr>
        <w:shd w:val="clear" w:color="auto" w:fill="C5E0B3" w:themeFill="accent6" w:themeFillTint="66"/>
        <w:spacing w:before="240"/>
        <w:rPr>
          <w:rFonts w:cstheme="majorHAnsi"/>
        </w:rPr>
      </w:pPr>
      <w:bookmarkStart w:id="40" w:name="_Toc58841438"/>
      <w:bookmarkStart w:id="41" w:name="_Toc191566849"/>
      <w:r w:rsidRPr="007614D8">
        <w:rPr>
          <w:rFonts w:cstheme="majorHAnsi"/>
        </w:rPr>
        <w:t>Essais visites et démonstrations</w:t>
      </w:r>
      <w:bookmarkEnd w:id="40"/>
      <w:bookmarkEnd w:id="41"/>
    </w:p>
    <w:p w14:paraId="10921037" w14:textId="58D6EE18" w:rsidR="0087313A" w:rsidRPr="00EB2207" w:rsidRDefault="00EB2207" w:rsidP="00EB2207">
      <w:pPr>
        <w:pStyle w:val="TEXTE"/>
        <w:rPr>
          <w:szCs w:val="22"/>
        </w:rPr>
      </w:pPr>
      <w:r w:rsidRPr="00EB2207">
        <w:rPr>
          <w:szCs w:val="22"/>
        </w:rPr>
        <w:t>Sans objet.</w:t>
      </w:r>
    </w:p>
    <w:p w14:paraId="6047A802" w14:textId="77777777" w:rsidR="0087313A" w:rsidRPr="007614D8" w:rsidRDefault="0087313A" w:rsidP="00EB2207">
      <w:pPr>
        <w:pStyle w:val="Titre"/>
        <w:numPr>
          <w:ilvl w:val="0"/>
          <w:numId w:val="2"/>
        </w:numPr>
        <w:shd w:val="clear" w:color="auto" w:fill="C5E0B3" w:themeFill="accent6" w:themeFillTint="66"/>
        <w:spacing w:before="240"/>
        <w:rPr>
          <w:rFonts w:cstheme="majorHAnsi"/>
        </w:rPr>
      </w:pPr>
      <w:bookmarkStart w:id="42" w:name="_Toc58841444"/>
      <w:bookmarkStart w:id="43" w:name="_Toc191566850"/>
      <w:r w:rsidRPr="007614D8">
        <w:rPr>
          <w:rFonts w:cstheme="majorHAnsi"/>
        </w:rPr>
        <w:t>Modalités de remise des plis de candidatures et d'offres</w:t>
      </w:r>
      <w:bookmarkEnd w:id="42"/>
      <w:bookmarkEnd w:id="43"/>
    </w:p>
    <w:p w14:paraId="085363F2" w14:textId="153F22C0" w:rsidR="0087313A" w:rsidRPr="007614D8" w:rsidRDefault="00EB2207" w:rsidP="00AA77D8">
      <w:pPr>
        <w:pStyle w:val="Titre1"/>
      </w:pPr>
      <w:bookmarkStart w:id="44" w:name="_Toc58841446"/>
      <w:bookmarkStart w:id="45" w:name="_Toc191566851"/>
      <w:r>
        <w:t xml:space="preserve">6.1 </w:t>
      </w:r>
      <w:r w:rsidR="0087313A" w:rsidRPr="007614D8">
        <w:t>Dispositions relatives aux sous-traitants</w:t>
      </w:r>
      <w:bookmarkEnd w:id="44"/>
      <w:bookmarkEnd w:id="45"/>
    </w:p>
    <w:p w14:paraId="19561620" w14:textId="4FEE858E" w:rsidR="008A72F8" w:rsidRPr="008A72F8" w:rsidRDefault="008A72F8" w:rsidP="008A72F8">
      <w:pPr>
        <w:pStyle w:val="TEXTE"/>
        <w:rPr>
          <w:szCs w:val="22"/>
        </w:rPr>
      </w:pPr>
      <w:r w:rsidRPr="008A72F8">
        <w:rPr>
          <w:szCs w:val="22"/>
        </w:rPr>
        <w:t>Le titulaire d'un marché public de travaux, services ou fournitures nécessitant des travaux de pose ou d'installation ou comportant des prestations de service est habilité à sous - traiter l'exécution de certaines parties de son marché public, provoquant obligatoirement le paiement direct de celui-ci pour des prestations égales ou supérieures à 600 € TTC.</w:t>
      </w:r>
    </w:p>
    <w:p w14:paraId="66BC18DF" w14:textId="77777777" w:rsidR="008A72F8" w:rsidRPr="008A72F8" w:rsidRDefault="008A72F8" w:rsidP="008A72F8">
      <w:pPr>
        <w:pStyle w:val="TEXTE"/>
        <w:rPr>
          <w:szCs w:val="22"/>
        </w:rPr>
      </w:pPr>
      <w:r w:rsidRPr="008A72F8">
        <w:rPr>
          <w:szCs w:val="22"/>
        </w:rPr>
        <w:t xml:space="preserve">Le sous-traitant devra obligatoirement être accepté et ses conditions de paiement agréées par la personne publique. </w:t>
      </w:r>
    </w:p>
    <w:p w14:paraId="5913222A" w14:textId="77777777" w:rsidR="008A72F8" w:rsidRPr="008A72F8" w:rsidRDefault="008A72F8" w:rsidP="008A72F8">
      <w:pPr>
        <w:pStyle w:val="TEXTE"/>
        <w:rPr>
          <w:szCs w:val="22"/>
        </w:rPr>
      </w:pPr>
      <w:r w:rsidRPr="008A72F8">
        <w:rPr>
          <w:szCs w:val="22"/>
        </w:rPr>
        <w:t>L'acceptation de la demande d'agrément d'un sous-traitant et des conditions de paiement correspondantes est possible en cours de marché public. Pour ce faire, le titulaire doit fournir, dûment complété, et signé le formulaire "Déclaration de sous-traitance" (ou formulaire DC4 en vigueur).</w:t>
      </w:r>
    </w:p>
    <w:p w14:paraId="3DFF9BEC" w14:textId="64C1F14C" w:rsidR="0087313A" w:rsidRPr="007614D8" w:rsidRDefault="000D5293" w:rsidP="00AA77D8">
      <w:pPr>
        <w:pStyle w:val="Titre1"/>
      </w:pPr>
      <w:bookmarkStart w:id="46" w:name="_Toc3214386"/>
      <w:bookmarkStart w:id="47" w:name="_Toc58841447"/>
      <w:bookmarkStart w:id="48" w:name="_Toc191566852"/>
      <w:r>
        <w:t xml:space="preserve">6.2 </w:t>
      </w:r>
      <w:r w:rsidR="0087313A" w:rsidRPr="007614D8">
        <w:t>Dispositions relatives aux groupements</w:t>
      </w:r>
      <w:bookmarkEnd w:id="46"/>
      <w:bookmarkEnd w:id="47"/>
      <w:bookmarkEnd w:id="48"/>
    </w:p>
    <w:p w14:paraId="29D9DF21" w14:textId="77777777" w:rsidR="0087313A" w:rsidRPr="004E7A78" w:rsidRDefault="0087313A" w:rsidP="004E7A78">
      <w:pPr>
        <w:pStyle w:val="TEXTE"/>
        <w:rPr>
          <w:szCs w:val="22"/>
        </w:rPr>
      </w:pPr>
      <w:r w:rsidRPr="004E7A78">
        <w:rPr>
          <w:szCs w:val="22"/>
        </w:rPr>
        <w:t>Le marché pourra être attribué à une seule entreprise ou à un groupement d’entreprises.</w:t>
      </w:r>
    </w:p>
    <w:p w14:paraId="1DBA663E" w14:textId="72B75B86" w:rsidR="00EE5B5A" w:rsidRPr="004E7A78" w:rsidRDefault="00EE5B5A" w:rsidP="004E7A78">
      <w:pPr>
        <w:pStyle w:val="TEXTE"/>
        <w:rPr>
          <w:szCs w:val="22"/>
        </w:rPr>
      </w:pPr>
      <w:r w:rsidRPr="004E7A78">
        <w:rPr>
          <w:szCs w:val="22"/>
        </w:rPr>
        <w:t>A l</w:t>
      </w:r>
      <w:r w:rsidR="004E7A78">
        <w:rPr>
          <w:szCs w:val="22"/>
        </w:rPr>
        <w:t>'attribution du marché public, l</w:t>
      </w:r>
      <w:r w:rsidRPr="004E7A78">
        <w:rPr>
          <w:szCs w:val="22"/>
        </w:rPr>
        <w:t>a personne publique n’imposera aucune forme de groupement.</w:t>
      </w:r>
    </w:p>
    <w:p w14:paraId="4B9930CF" w14:textId="7C6CDD5C" w:rsidR="0087313A" w:rsidRPr="007614D8" w:rsidRDefault="004E7A78" w:rsidP="00AA77D8">
      <w:pPr>
        <w:pStyle w:val="Titre1"/>
      </w:pPr>
      <w:bookmarkStart w:id="49" w:name="_Toc58841448"/>
      <w:bookmarkStart w:id="50" w:name="_Toc191566853"/>
      <w:r>
        <w:t xml:space="preserve">6.3 </w:t>
      </w:r>
      <w:r w:rsidR="0087313A" w:rsidRPr="007614D8">
        <w:t>Présentation des plis</w:t>
      </w:r>
      <w:bookmarkEnd w:id="49"/>
      <w:bookmarkEnd w:id="50"/>
    </w:p>
    <w:p w14:paraId="0D6FAA42" w14:textId="69BC9068" w:rsidR="0087313A" w:rsidRPr="00AB31A9" w:rsidRDefault="0087313A" w:rsidP="00AB31A9">
      <w:pPr>
        <w:pStyle w:val="TEXTE"/>
        <w:rPr>
          <w:szCs w:val="22"/>
        </w:rPr>
      </w:pPr>
      <w:r w:rsidRPr="00AB31A9">
        <w:rPr>
          <w:szCs w:val="22"/>
        </w:rPr>
        <w:t>Les candidats devront obligatoirement remettre leurs plis de candidatures et d'offres sous forme dématérialisée, sous peine de voir leur offre qualifiée d’irrégulière (</w:t>
      </w:r>
      <w:r w:rsidRPr="00AB31A9">
        <w:rPr>
          <w:b/>
          <w:bCs/>
          <w:szCs w:val="22"/>
        </w:rPr>
        <w:t>articles L.2132-2 et R 2132-7 du code de la commande publique)</w:t>
      </w:r>
      <w:r w:rsidR="00AB31A9">
        <w:rPr>
          <w:b/>
          <w:bCs/>
          <w:szCs w:val="22"/>
        </w:rPr>
        <w:t>.</w:t>
      </w:r>
    </w:p>
    <w:p w14:paraId="0FE34C45" w14:textId="77777777" w:rsidR="0087313A" w:rsidRPr="00AB31A9" w:rsidRDefault="0087313A" w:rsidP="00AB31A9">
      <w:pPr>
        <w:pStyle w:val="TEXTE"/>
        <w:rPr>
          <w:szCs w:val="22"/>
        </w:rPr>
      </w:pPr>
      <w:r w:rsidRPr="00AB31A9">
        <w:rPr>
          <w:noProof/>
          <w:szCs w:val="22"/>
        </w:rPr>
        <w:lastRenderedPageBreak/>
        <w:drawing>
          <wp:inline distT="0" distB="0" distL="0" distR="0" wp14:anchorId="168A6287" wp14:editId="55F29CF9">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AB31A9">
        <w:rPr>
          <w:szCs w:val="22"/>
        </w:rPr>
        <w:t xml:space="preserve"> Une transmission sur support physique électronique (type clé USB, CD-Rom …) n’est pas considérée comme dématérialisée. </w:t>
      </w:r>
    </w:p>
    <w:p w14:paraId="1DF19F94" w14:textId="03E86AF8" w:rsidR="0087313A" w:rsidRPr="00AB31A9" w:rsidRDefault="0087313A" w:rsidP="00AB31A9">
      <w:pPr>
        <w:pStyle w:val="TEXTE"/>
        <w:rPr>
          <w:szCs w:val="22"/>
        </w:rPr>
      </w:pPr>
      <w:r w:rsidRPr="00AB31A9">
        <w:rPr>
          <w:noProof/>
          <w:szCs w:val="22"/>
        </w:rPr>
        <w:drawing>
          <wp:inline distT="0" distB="0" distL="0" distR="0" wp14:anchorId="577CE4AE" wp14:editId="6D5DDA73">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AB31A9">
        <w:rPr>
          <w:szCs w:val="22"/>
        </w:rPr>
        <w:t xml:space="preserve">Une signature manuscrite </w:t>
      </w:r>
      <w:r w:rsidR="009236E3" w:rsidRPr="00AB31A9">
        <w:rPr>
          <w:szCs w:val="22"/>
        </w:rPr>
        <w:t>scannée et</w:t>
      </w:r>
      <w:r w:rsidRPr="00AB31A9">
        <w:rPr>
          <w:szCs w:val="22"/>
        </w:rPr>
        <w:t xml:space="preserve"> apposée sur un document n’est pas considérée comme une signature originale. Elle n’a pas de valeur juridique. </w:t>
      </w:r>
    </w:p>
    <w:p w14:paraId="29A5772E" w14:textId="3DFDF5DF" w:rsidR="0087313A" w:rsidRPr="00AB31A9" w:rsidRDefault="0087313A" w:rsidP="00AB31A9">
      <w:pPr>
        <w:pStyle w:val="TEXTE"/>
        <w:rPr>
          <w:szCs w:val="22"/>
        </w:rPr>
      </w:pPr>
      <w:r w:rsidRPr="00AB31A9">
        <w:rPr>
          <w:noProof/>
          <w:szCs w:val="22"/>
        </w:rPr>
        <w:drawing>
          <wp:inline distT="0" distB="0" distL="0" distR="0" wp14:anchorId="4492558E" wp14:editId="3CE8F217">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AB31A9">
        <w:rPr>
          <w:szCs w:val="22"/>
        </w:rPr>
        <w:t xml:space="preserve"> </w:t>
      </w:r>
      <w:r w:rsidR="00377AEC" w:rsidRPr="00AB31A9">
        <w:rPr>
          <w:szCs w:val="22"/>
        </w:rPr>
        <w:t>Il est souhaitable que les candidats respectent les noms de fichiers et l’indexation suivante</w:t>
      </w:r>
      <w:r w:rsidRPr="00AB31A9">
        <w:rPr>
          <w:szCs w:val="22"/>
        </w:rPr>
        <w:t xml:space="preserve"> : &lt;nom du fichier&gt;_ &lt;nom du fournisseur&gt; conformément au tableau joint en </w:t>
      </w:r>
      <w:r w:rsidR="009236E3" w:rsidRPr="00AB31A9">
        <w:rPr>
          <w:szCs w:val="22"/>
        </w:rPr>
        <w:t>annexe au</w:t>
      </w:r>
      <w:r w:rsidRPr="00AB31A9">
        <w:rPr>
          <w:szCs w:val="22"/>
        </w:rPr>
        <w:t xml:space="preserve"> règlement de la consultation « modalités d'obtention du dossier de consultation et de remise de l'enveloppe candidature et offre par voie dématérialisée »</w:t>
      </w:r>
    </w:p>
    <w:p w14:paraId="0310F5DE" w14:textId="06514561" w:rsidR="0087313A" w:rsidRPr="007614D8" w:rsidRDefault="00AB31A9" w:rsidP="00AA77D8">
      <w:pPr>
        <w:pStyle w:val="Titre1"/>
      </w:pPr>
      <w:bookmarkStart w:id="51" w:name="_Toc58841449"/>
      <w:bookmarkStart w:id="52" w:name="_Toc191566854"/>
      <w:r>
        <w:t xml:space="preserve">6.4 </w:t>
      </w:r>
      <w:r w:rsidR="0087313A" w:rsidRPr="007614D8">
        <w:t>Contenu des plis</w:t>
      </w:r>
      <w:bookmarkEnd w:id="51"/>
      <w:bookmarkEnd w:id="52"/>
      <w:r w:rsidR="0087313A" w:rsidRPr="007614D8">
        <w:t xml:space="preserve"> </w:t>
      </w:r>
    </w:p>
    <w:p w14:paraId="036A6D76" w14:textId="77777777" w:rsidR="0084542B" w:rsidRPr="00AB31A9" w:rsidRDefault="0084542B" w:rsidP="00AB31A9">
      <w:pPr>
        <w:pStyle w:val="TEXTE"/>
        <w:rPr>
          <w:szCs w:val="22"/>
        </w:rPr>
      </w:pPr>
      <w:r w:rsidRPr="00AB31A9">
        <w:rPr>
          <w:szCs w:val="22"/>
        </w:rPr>
        <w:t xml:space="preserve">Chaque candidat transmettra sa candidature et son offre dans une seule et même enveloppe (pour les envois papiers) ou fichier (pour les envois dématérialisés et sur support physique électronique). </w:t>
      </w:r>
    </w:p>
    <w:p w14:paraId="0C8FC6F2" w14:textId="77777777" w:rsidR="0087313A" w:rsidRPr="00AB31A9" w:rsidRDefault="0087313A" w:rsidP="00AB31A9">
      <w:pPr>
        <w:pStyle w:val="TEXTE"/>
        <w:rPr>
          <w:szCs w:val="22"/>
        </w:rPr>
      </w:pPr>
      <w:r w:rsidRPr="00AB31A9">
        <w:rPr>
          <w:szCs w:val="22"/>
        </w:rPr>
        <w:t>Le pli du candidat contient IMPERATIVEMENT les documents suivants obligatoirement présentés en français ou accompagnés d’une traduction en français</w:t>
      </w:r>
    </w:p>
    <w:p w14:paraId="02CFE2C5" w14:textId="77777777" w:rsidR="0087313A" w:rsidRPr="007614D8" w:rsidRDefault="0087313A" w:rsidP="0087313A">
      <w:pPr>
        <w:jc w:val="both"/>
        <w:rPr>
          <w:rFonts w:asciiTheme="majorHAnsi" w:hAnsiTheme="majorHAnsi" w:cstheme="majorHAnsi"/>
        </w:rPr>
      </w:pPr>
      <w:r w:rsidRPr="007614D8">
        <w:rPr>
          <w:rFonts w:asciiTheme="majorHAnsi" w:hAnsiTheme="majorHAnsi" w:cstheme="maj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87313A" w:rsidRPr="007614D8" w14:paraId="292933D3" w14:textId="77777777" w:rsidTr="00693AF2">
        <w:tc>
          <w:tcPr>
            <w:tcW w:w="4523" w:type="dxa"/>
            <w:shd w:val="clear" w:color="auto" w:fill="auto"/>
          </w:tcPr>
          <w:p w14:paraId="7C3B6386" w14:textId="77777777" w:rsidR="0087313A" w:rsidRPr="00D84AE3" w:rsidRDefault="0087313A" w:rsidP="0087313A">
            <w:pPr>
              <w:jc w:val="center"/>
              <w:rPr>
                <w:rFonts w:asciiTheme="majorHAnsi" w:hAnsiTheme="majorHAnsi" w:cstheme="majorHAnsi"/>
                <w:b/>
                <w:sz w:val="16"/>
                <w:szCs w:val="22"/>
              </w:rPr>
            </w:pPr>
          </w:p>
          <w:p w14:paraId="0D660239" w14:textId="77777777" w:rsidR="0087313A" w:rsidRPr="00D84AE3" w:rsidRDefault="0087313A" w:rsidP="0087313A">
            <w:pPr>
              <w:jc w:val="center"/>
              <w:rPr>
                <w:rFonts w:asciiTheme="majorHAnsi" w:hAnsiTheme="majorHAnsi" w:cstheme="majorHAnsi"/>
                <w:b/>
                <w:szCs w:val="22"/>
              </w:rPr>
            </w:pPr>
            <w:r w:rsidRPr="00D84AE3">
              <w:rPr>
                <w:rFonts w:asciiTheme="majorHAnsi" w:hAnsiTheme="majorHAnsi" w:cstheme="majorHAnsi"/>
                <w:b/>
                <w:szCs w:val="22"/>
              </w:rPr>
              <w:t>CANDIDATURES</w:t>
            </w:r>
          </w:p>
          <w:p w14:paraId="1D6FF689" w14:textId="77777777" w:rsidR="0087313A" w:rsidRPr="00D84AE3" w:rsidRDefault="0087313A" w:rsidP="0087313A">
            <w:pPr>
              <w:jc w:val="both"/>
              <w:rPr>
                <w:rFonts w:asciiTheme="majorHAnsi" w:hAnsiTheme="majorHAnsi" w:cstheme="majorHAnsi"/>
                <w:b/>
                <w:sz w:val="16"/>
                <w:szCs w:val="22"/>
              </w:rPr>
            </w:pPr>
          </w:p>
        </w:tc>
        <w:tc>
          <w:tcPr>
            <w:tcW w:w="4537" w:type="dxa"/>
            <w:shd w:val="clear" w:color="auto" w:fill="auto"/>
          </w:tcPr>
          <w:p w14:paraId="6B51B797" w14:textId="77777777" w:rsidR="0087313A" w:rsidRPr="00D84AE3" w:rsidRDefault="0087313A" w:rsidP="0087313A">
            <w:pPr>
              <w:jc w:val="center"/>
              <w:rPr>
                <w:rFonts w:asciiTheme="majorHAnsi" w:hAnsiTheme="majorHAnsi" w:cstheme="majorHAnsi"/>
                <w:b/>
                <w:sz w:val="16"/>
                <w:szCs w:val="22"/>
              </w:rPr>
            </w:pPr>
          </w:p>
          <w:p w14:paraId="38FD032F" w14:textId="77777777" w:rsidR="0087313A" w:rsidRPr="00D84AE3" w:rsidRDefault="0087313A" w:rsidP="0087313A">
            <w:pPr>
              <w:jc w:val="center"/>
              <w:rPr>
                <w:rFonts w:asciiTheme="majorHAnsi" w:hAnsiTheme="majorHAnsi" w:cstheme="majorHAnsi"/>
                <w:b/>
                <w:szCs w:val="22"/>
              </w:rPr>
            </w:pPr>
            <w:r w:rsidRPr="00D84AE3">
              <w:rPr>
                <w:rFonts w:asciiTheme="majorHAnsi" w:hAnsiTheme="majorHAnsi" w:cstheme="majorHAnsi"/>
                <w:b/>
                <w:szCs w:val="22"/>
              </w:rPr>
              <w:t>OFFRES</w:t>
            </w:r>
          </w:p>
          <w:p w14:paraId="5D6FE821" w14:textId="00CEC426" w:rsidR="0087313A" w:rsidRPr="00D84AE3" w:rsidRDefault="0087313A" w:rsidP="00AB31A9">
            <w:pPr>
              <w:jc w:val="center"/>
              <w:rPr>
                <w:rFonts w:asciiTheme="majorHAnsi" w:hAnsiTheme="majorHAnsi" w:cstheme="majorHAnsi"/>
                <w:b/>
                <w:sz w:val="16"/>
                <w:szCs w:val="22"/>
              </w:rPr>
            </w:pPr>
          </w:p>
        </w:tc>
      </w:tr>
      <w:tr w:rsidR="0087313A" w:rsidRPr="007614D8" w14:paraId="65CB92C0" w14:textId="77777777" w:rsidTr="00693AF2">
        <w:tc>
          <w:tcPr>
            <w:tcW w:w="4523" w:type="dxa"/>
            <w:shd w:val="clear" w:color="auto" w:fill="auto"/>
          </w:tcPr>
          <w:p w14:paraId="2CB5E678" w14:textId="146A81DE" w:rsidR="0087313A" w:rsidRPr="00F36D2E" w:rsidRDefault="0087313A" w:rsidP="00AB31A9">
            <w:pPr>
              <w:pStyle w:val="Paragraphedeliste"/>
              <w:numPr>
                <w:ilvl w:val="0"/>
                <w:numId w:val="18"/>
              </w:numPr>
              <w:jc w:val="both"/>
              <w:rPr>
                <w:rFonts w:asciiTheme="majorHAnsi" w:hAnsiTheme="majorHAnsi" w:cstheme="majorHAnsi"/>
              </w:rPr>
            </w:pPr>
            <w:r w:rsidRPr="00F36D2E">
              <w:rPr>
                <w:rFonts w:asciiTheme="majorHAnsi" w:hAnsiTheme="majorHAnsi" w:cstheme="majorHAnsi"/>
              </w:rPr>
              <w:t>DUME</w:t>
            </w:r>
          </w:p>
          <w:p w14:paraId="595741A4" w14:textId="77777777" w:rsidR="0087313A" w:rsidRPr="00D84AE3" w:rsidRDefault="0087313A" w:rsidP="0087313A">
            <w:pPr>
              <w:jc w:val="both"/>
              <w:rPr>
                <w:rFonts w:asciiTheme="majorHAnsi" w:hAnsiTheme="majorHAnsi" w:cstheme="majorHAnsi"/>
                <w:iCs/>
                <w:sz w:val="16"/>
                <w:highlight w:val="darkCyan"/>
              </w:rPr>
            </w:pPr>
          </w:p>
          <w:p w14:paraId="037E0553" w14:textId="15D38E37" w:rsidR="0087313A" w:rsidRPr="00F36D2E" w:rsidRDefault="0087313A" w:rsidP="0087313A">
            <w:pPr>
              <w:jc w:val="both"/>
              <w:rPr>
                <w:rFonts w:asciiTheme="majorHAnsi" w:hAnsiTheme="majorHAnsi" w:cstheme="majorHAnsi"/>
              </w:rPr>
            </w:pPr>
            <w:r w:rsidRPr="00F36D2E">
              <w:rPr>
                <w:rFonts w:asciiTheme="majorHAnsi" w:hAnsiTheme="majorHAnsi" w:cstheme="majorHAnsi"/>
              </w:rPr>
              <w:t>Ou</w:t>
            </w:r>
          </w:p>
          <w:p w14:paraId="70C1145B" w14:textId="77777777" w:rsidR="00AB31A9" w:rsidRPr="00D84AE3" w:rsidRDefault="00AB31A9" w:rsidP="0087313A">
            <w:pPr>
              <w:pStyle w:val="RedTxt"/>
              <w:tabs>
                <w:tab w:val="left" w:pos="142"/>
              </w:tabs>
              <w:jc w:val="both"/>
              <w:rPr>
                <w:rFonts w:asciiTheme="majorHAnsi" w:hAnsiTheme="majorHAnsi" w:cstheme="majorHAnsi"/>
                <w:sz w:val="16"/>
                <w:szCs w:val="20"/>
              </w:rPr>
            </w:pPr>
          </w:p>
          <w:p w14:paraId="149F0557" w14:textId="5C1D7291" w:rsidR="0087313A" w:rsidRPr="00F36D2E" w:rsidRDefault="0087313A" w:rsidP="00AB31A9">
            <w:pPr>
              <w:pStyle w:val="RedTxt"/>
              <w:numPr>
                <w:ilvl w:val="0"/>
                <w:numId w:val="18"/>
              </w:numPr>
              <w:tabs>
                <w:tab w:val="left" w:pos="142"/>
              </w:tabs>
              <w:jc w:val="both"/>
              <w:rPr>
                <w:rFonts w:asciiTheme="majorHAnsi" w:hAnsiTheme="majorHAnsi" w:cstheme="majorHAnsi"/>
                <w:sz w:val="20"/>
                <w:szCs w:val="20"/>
              </w:rPr>
            </w:pPr>
            <w:r w:rsidRPr="00F36D2E">
              <w:rPr>
                <w:rFonts w:asciiTheme="majorHAnsi" w:hAnsiTheme="majorHAnsi" w:cstheme="majorHAnsi"/>
                <w:sz w:val="20"/>
                <w:szCs w:val="20"/>
              </w:rPr>
              <w:t xml:space="preserve">Lettre de candidature et désignation du mandataire par ses co-traitants : formulaire joint ou formulaire de type DC1 en vigueur ou équivalent </w:t>
            </w:r>
          </w:p>
          <w:p w14:paraId="4B748378" w14:textId="77777777" w:rsidR="00AB31A9" w:rsidRPr="00D84AE3" w:rsidRDefault="00AB31A9" w:rsidP="0087313A">
            <w:pPr>
              <w:pStyle w:val="RedTxt"/>
              <w:tabs>
                <w:tab w:val="left" w:pos="142"/>
              </w:tabs>
              <w:jc w:val="both"/>
              <w:rPr>
                <w:rFonts w:asciiTheme="majorHAnsi" w:hAnsiTheme="majorHAnsi" w:cstheme="majorHAnsi"/>
                <w:sz w:val="16"/>
                <w:szCs w:val="20"/>
              </w:rPr>
            </w:pPr>
          </w:p>
          <w:p w14:paraId="339C9952" w14:textId="20B427E4" w:rsidR="0087313A" w:rsidRPr="00F36D2E" w:rsidRDefault="00AB31A9" w:rsidP="0087313A">
            <w:pPr>
              <w:tabs>
                <w:tab w:val="left" w:pos="576"/>
              </w:tabs>
              <w:jc w:val="both"/>
              <w:rPr>
                <w:rFonts w:asciiTheme="majorHAnsi" w:hAnsiTheme="majorHAnsi" w:cstheme="majorHAnsi"/>
              </w:rPr>
            </w:pPr>
            <w:r w:rsidRPr="00F36D2E">
              <w:rPr>
                <w:rFonts w:asciiTheme="majorHAnsi" w:hAnsiTheme="majorHAnsi" w:cstheme="majorHAnsi"/>
              </w:rPr>
              <w:t>E</w:t>
            </w:r>
            <w:r w:rsidR="0087313A" w:rsidRPr="00F36D2E">
              <w:rPr>
                <w:rFonts w:asciiTheme="majorHAnsi" w:hAnsiTheme="majorHAnsi" w:cstheme="majorHAnsi"/>
              </w:rPr>
              <w:t>t</w:t>
            </w:r>
          </w:p>
          <w:p w14:paraId="6B12A204" w14:textId="77777777" w:rsidR="00AB31A9" w:rsidRPr="00D84AE3" w:rsidRDefault="00AB31A9" w:rsidP="0087313A">
            <w:pPr>
              <w:tabs>
                <w:tab w:val="left" w:pos="576"/>
              </w:tabs>
              <w:jc w:val="both"/>
              <w:rPr>
                <w:rFonts w:asciiTheme="majorHAnsi" w:hAnsiTheme="majorHAnsi" w:cstheme="majorHAnsi"/>
                <w:sz w:val="16"/>
              </w:rPr>
            </w:pPr>
          </w:p>
          <w:p w14:paraId="19B2B9E8" w14:textId="46431891" w:rsidR="0087313A" w:rsidRPr="00F36D2E" w:rsidRDefault="0087313A" w:rsidP="00AB31A9">
            <w:pPr>
              <w:pStyle w:val="RedTxt"/>
              <w:numPr>
                <w:ilvl w:val="0"/>
                <w:numId w:val="18"/>
              </w:numPr>
              <w:tabs>
                <w:tab w:val="left" w:pos="142"/>
              </w:tabs>
              <w:jc w:val="both"/>
              <w:rPr>
                <w:rFonts w:asciiTheme="majorHAnsi" w:hAnsiTheme="majorHAnsi" w:cstheme="majorHAnsi"/>
                <w:sz w:val="20"/>
                <w:szCs w:val="20"/>
              </w:rPr>
            </w:pPr>
            <w:r w:rsidRPr="00F36D2E">
              <w:rPr>
                <w:rFonts w:asciiTheme="majorHAnsi" w:hAnsiTheme="majorHAnsi" w:cstheme="majorHAnsi"/>
                <w:sz w:val="20"/>
                <w:szCs w:val="20"/>
              </w:rPr>
              <w:t xml:space="preserve">Déclaration du candidat individuel ou du membre du groupement (formulaire joint </w:t>
            </w:r>
            <w:r w:rsidRPr="00F36D2E">
              <w:rPr>
                <w:rFonts w:asciiTheme="majorHAnsi" w:hAnsiTheme="majorHAnsi" w:cstheme="majorHAnsi"/>
                <w:b/>
                <w:bCs/>
                <w:sz w:val="20"/>
                <w:szCs w:val="20"/>
              </w:rPr>
              <w:t>ou</w:t>
            </w:r>
            <w:r w:rsidRPr="00F36D2E">
              <w:rPr>
                <w:rFonts w:asciiTheme="majorHAnsi" w:hAnsiTheme="majorHAnsi" w:cstheme="majorHAnsi"/>
                <w:sz w:val="20"/>
                <w:szCs w:val="20"/>
              </w:rPr>
              <w:t xml:space="preserve"> formulaire de type DC2 en vigueur ou équivalent)</w:t>
            </w:r>
          </w:p>
          <w:p w14:paraId="2D42686D" w14:textId="77777777" w:rsidR="0087313A" w:rsidRPr="00D84AE3" w:rsidRDefault="0087313A" w:rsidP="0087313A">
            <w:pPr>
              <w:jc w:val="both"/>
              <w:rPr>
                <w:rFonts w:asciiTheme="majorHAnsi" w:hAnsiTheme="majorHAnsi" w:cstheme="majorHAnsi"/>
                <w:sz w:val="16"/>
              </w:rPr>
            </w:pPr>
          </w:p>
          <w:p w14:paraId="67ACF257" w14:textId="77777777" w:rsidR="0087313A" w:rsidRPr="00F36D2E" w:rsidRDefault="0087313A" w:rsidP="0087313A">
            <w:pPr>
              <w:jc w:val="both"/>
              <w:rPr>
                <w:rFonts w:asciiTheme="majorHAnsi" w:hAnsiTheme="majorHAnsi" w:cstheme="majorHAnsi"/>
              </w:rPr>
            </w:pPr>
            <w:r w:rsidRPr="00F36D2E">
              <w:rPr>
                <w:rFonts w:asciiTheme="majorHAnsi" w:hAnsiTheme="majorHAnsi" w:cstheme="majorHAnsi"/>
                <w:u w:val="single"/>
              </w:rPr>
              <w:t>NOTA</w:t>
            </w:r>
            <w:r w:rsidRPr="00F36D2E">
              <w:rPr>
                <w:rFonts w:asciiTheme="majorHAnsi" w:hAnsiTheme="majorHAnsi" w:cstheme="majorHAnsi"/>
              </w:rPr>
              <w:t> : En cas de candidature groupée, le formulaire "Déclaration du candidat individuel ou du membre du groupement" joint (ou formulaire DC2 en vigueur) devra être rempli par chaque membre du groupement.</w:t>
            </w:r>
          </w:p>
          <w:p w14:paraId="3F620BFD" w14:textId="77777777" w:rsidR="0087313A" w:rsidRPr="00D84AE3" w:rsidRDefault="0087313A" w:rsidP="0087313A">
            <w:pPr>
              <w:jc w:val="both"/>
              <w:rPr>
                <w:rFonts w:asciiTheme="majorHAnsi" w:hAnsiTheme="majorHAnsi" w:cstheme="majorHAnsi"/>
                <w:sz w:val="16"/>
              </w:rPr>
            </w:pPr>
          </w:p>
          <w:p w14:paraId="2F72CBD1" w14:textId="6973660C" w:rsidR="0087313A" w:rsidRPr="00F36D2E" w:rsidRDefault="0087313A" w:rsidP="00AB31A9">
            <w:pPr>
              <w:jc w:val="both"/>
              <w:rPr>
                <w:rFonts w:asciiTheme="majorHAnsi" w:hAnsiTheme="majorHAnsi" w:cstheme="majorHAnsi"/>
                <w:u w:val="single"/>
              </w:rPr>
            </w:pPr>
            <w:r w:rsidRPr="00F36D2E">
              <w:rPr>
                <w:rFonts w:asciiTheme="majorHAnsi" w:hAnsiTheme="majorHAnsi" w:cstheme="majorHAnsi"/>
                <w:u w:val="single"/>
              </w:rPr>
              <w:t xml:space="preserve">Capacités professionnelles et techniques : </w:t>
            </w:r>
          </w:p>
          <w:p w14:paraId="7D3F4264" w14:textId="77777777" w:rsidR="0087313A" w:rsidRPr="00F36D2E" w:rsidRDefault="0087313A" w:rsidP="0087313A">
            <w:pPr>
              <w:pStyle w:val="RedTxt"/>
              <w:tabs>
                <w:tab w:val="left" w:pos="142"/>
              </w:tabs>
              <w:ind w:left="993"/>
              <w:jc w:val="both"/>
              <w:rPr>
                <w:rFonts w:asciiTheme="majorHAnsi" w:hAnsiTheme="majorHAnsi" w:cstheme="majorHAnsi"/>
                <w:sz w:val="20"/>
                <w:szCs w:val="20"/>
                <w:highlight w:val="cyan"/>
              </w:rPr>
            </w:pPr>
          </w:p>
          <w:p w14:paraId="7EE2F1E2" w14:textId="566094DA" w:rsidR="0087313A" w:rsidRPr="00F36D2E" w:rsidRDefault="008A72F8" w:rsidP="00AB31A9">
            <w:pPr>
              <w:pStyle w:val="Paragraphedeliste"/>
              <w:numPr>
                <w:ilvl w:val="0"/>
                <w:numId w:val="18"/>
              </w:numPr>
              <w:jc w:val="both"/>
              <w:rPr>
                <w:rFonts w:asciiTheme="majorHAnsi" w:hAnsiTheme="majorHAnsi" w:cstheme="majorHAnsi"/>
              </w:rPr>
            </w:pPr>
            <w:r>
              <w:rPr>
                <w:rFonts w:asciiTheme="majorHAnsi" w:hAnsiTheme="majorHAnsi" w:cstheme="majorHAnsi"/>
              </w:rPr>
              <w:t>Une liste</w:t>
            </w:r>
            <w:r w:rsidR="00AB31A9" w:rsidRPr="00F36D2E">
              <w:rPr>
                <w:rFonts w:asciiTheme="majorHAnsi" w:hAnsiTheme="majorHAnsi" w:cstheme="majorHAnsi"/>
              </w:rPr>
              <w:t xml:space="preserve"> </w:t>
            </w:r>
            <w:r w:rsidR="0087313A" w:rsidRPr="00F36D2E">
              <w:rPr>
                <w:rFonts w:asciiTheme="majorHAnsi" w:hAnsiTheme="majorHAnsi" w:cstheme="majorHAnsi"/>
              </w:rPr>
              <w:t xml:space="preserve">des principaux services fournis au cours des trois dernières années, indiquant le montant, la date et </w:t>
            </w:r>
            <w:r w:rsidR="00AB31A9" w:rsidRPr="00F36D2E">
              <w:rPr>
                <w:rFonts w:asciiTheme="majorHAnsi" w:hAnsiTheme="majorHAnsi" w:cstheme="majorHAnsi"/>
              </w:rPr>
              <w:t>le destinataire public ou privé</w:t>
            </w:r>
            <w:r w:rsidR="0087313A" w:rsidRPr="00F36D2E">
              <w:rPr>
                <w:rFonts w:asciiTheme="majorHAnsi" w:hAnsiTheme="majorHAnsi" w:cstheme="majorHAnsi"/>
              </w:rPr>
              <w:t xml:space="preserve">. </w:t>
            </w:r>
            <w:r w:rsidR="00AB31A9" w:rsidRPr="00F36D2E">
              <w:rPr>
                <w:rFonts w:asciiTheme="majorHAnsi" w:hAnsiTheme="majorHAnsi" w:cstheme="majorHAnsi"/>
              </w:rPr>
              <w:t>L</w:t>
            </w:r>
            <w:r w:rsidR="0087313A" w:rsidRPr="00F36D2E">
              <w:rPr>
                <w:rFonts w:asciiTheme="majorHAnsi" w:hAnsiTheme="majorHAnsi" w:cstheme="majorHAnsi"/>
              </w:rPr>
              <w:t>es prestations de services sont prouvées par des attestations du destinataire ou, à défaut, par une déclaration de l'opérateur économique ;</w:t>
            </w:r>
          </w:p>
          <w:p w14:paraId="21D28A0E" w14:textId="77777777" w:rsidR="0087313A" w:rsidRPr="00D84AE3" w:rsidRDefault="0087313A" w:rsidP="0087313A">
            <w:pPr>
              <w:pStyle w:val="RedTxt"/>
              <w:tabs>
                <w:tab w:val="left" w:pos="142"/>
              </w:tabs>
              <w:jc w:val="both"/>
              <w:rPr>
                <w:rFonts w:asciiTheme="majorHAnsi" w:hAnsiTheme="majorHAnsi" w:cstheme="majorHAnsi"/>
                <w:iCs/>
                <w:sz w:val="16"/>
                <w:szCs w:val="20"/>
              </w:rPr>
            </w:pPr>
          </w:p>
          <w:p w14:paraId="1AD4A41E" w14:textId="4FF57FE7" w:rsidR="0087313A" w:rsidRPr="00F36D2E" w:rsidRDefault="0087313A" w:rsidP="0087313A">
            <w:pPr>
              <w:pStyle w:val="RedTxt"/>
              <w:tabs>
                <w:tab w:val="left" w:pos="142"/>
              </w:tabs>
              <w:jc w:val="both"/>
              <w:rPr>
                <w:rFonts w:asciiTheme="majorHAnsi" w:hAnsiTheme="majorHAnsi" w:cstheme="majorHAnsi"/>
                <w:iCs/>
                <w:color w:val="FF0000"/>
                <w:sz w:val="20"/>
                <w:szCs w:val="20"/>
                <w:u w:val="single"/>
              </w:rPr>
            </w:pPr>
            <w:r w:rsidRPr="00F36D2E">
              <w:rPr>
                <w:rFonts w:asciiTheme="majorHAnsi" w:hAnsiTheme="majorHAnsi" w:cstheme="majorHAnsi"/>
                <w:sz w:val="20"/>
                <w:szCs w:val="20"/>
                <w:u w:val="single"/>
              </w:rPr>
              <w:t>Capacité économique et financière</w:t>
            </w:r>
            <w:r w:rsidR="00AB31A9" w:rsidRPr="00F36D2E">
              <w:rPr>
                <w:rFonts w:asciiTheme="majorHAnsi" w:hAnsiTheme="majorHAnsi" w:cstheme="majorHAnsi"/>
                <w:iCs/>
                <w:sz w:val="20"/>
                <w:szCs w:val="20"/>
                <w:u w:val="single"/>
              </w:rPr>
              <w:t> :</w:t>
            </w:r>
          </w:p>
          <w:p w14:paraId="6AA8DCB3" w14:textId="2E4C48E5" w:rsidR="0087313A" w:rsidRPr="00D84AE3" w:rsidRDefault="0087313A" w:rsidP="0087313A">
            <w:pPr>
              <w:pStyle w:val="RedTxt"/>
              <w:tabs>
                <w:tab w:val="left" w:pos="142"/>
              </w:tabs>
              <w:jc w:val="both"/>
              <w:rPr>
                <w:rFonts w:asciiTheme="majorHAnsi" w:hAnsiTheme="majorHAnsi" w:cstheme="majorHAnsi"/>
                <w:iCs/>
                <w:sz w:val="16"/>
                <w:szCs w:val="20"/>
                <w:highlight w:val="cyan"/>
              </w:rPr>
            </w:pPr>
          </w:p>
          <w:p w14:paraId="6B27BC01" w14:textId="60CF1803" w:rsidR="0087313A" w:rsidRPr="00F36D2E" w:rsidRDefault="0087313A" w:rsidP="00AB31A9">
            <w:pPr>
              <w:pStyle w:val="Paragraphedeliste"/>
              <w:numPr>
                <w:ilvl w:val="0"/>
                <w:numId w:val="18"/>
              </w:numPr>
              <w:jc w:val="both"/>
              <w:rPr>
                <w:rFonts w:asciiTheme="majorHAnsi" w:hAnsiTheme="majorHAnsi" w:cstheme="majorHAnsi"/>
              </w:rPr>
            </w:pPr>
            <w:r w:rsidRPr="00F36D2E">
              <w:rPr>
                <w:rFonts w:asciiTheme="majorHAnsi" w:hAnsiTheme="majorHAnsi" w:cstheme="majorHAnsi"/>
              </w:rPr>
              <w:t>Déclaration concernant le chiffre d'</w:t>
            </w:r>
            <w:r w:rsidR="00AB31A9" w:rsidRPr="00F36D2E">
              <w:rPr>
                <w:rFonts w:asciiTheme="majorHAnsi" w:hAnsiTheme="majorHAnsi" w:cstheme="majorHAnsi"/>
              </w:rPr>
              <w:t xml:space="preserve">affaires </w:t>
            </w:r>
            <w:r w:rsidR="00AB31A9" w:rsidRPr="00F36D2E">
              <w:rPr>
                <w:rFonts w:asciiTheme="majorHAnsi" w:hAnsiTheme="majorHAnsi" w:cstheme="majorHAnsi"/>
              </w:rPr>
              <w:lastRenderedPageBreak/>
              <w:t xml:space="preserve">global du candidat </w:t>
            </w:r>
            <w:r w:rsidRPr="00F36D2E">
              <w:rPr>
                <w:rFonts w:asciiTheme="majorHAnsi" w:hAnsiTheme="majorHAnsi" w:cstheme="majorHAnsi"/>
              </w:rPr>
              <w:t>portant au maximum sur les trois derniers exercices disponibles en fonction de la date de création de l'entreprise ou du début d'activité de l'opérateur économique, dans la mesure où les informations sur ces chiffr</w:t>
            </w:r>
            <w:r w:rsidR="00AB31A9" w:rsidRPr="00F36D2E">
              <w:rPr>
                <w:rFonts w:asciiTheme="majorHAnsi" w:hAnsiTheme="majorHAnsi" w:cstheme="majorHAnsi"/>
              </w:rPr>
              <w:t>es d'affaires sont disponibles</w:t>
            </w:r>
          </w:p>
          <w:p w14:paraId="03D903BC" w14:textId="77777777" w:rsidR="00AB31A9" w:rsidRPr="00D84AE3" w:rsidRDefault="00AB31A9" w:rsidP="00AB31A9">
            <w:pPr>
              <w:pStyle w:val="Paragraphedeliste"/>
              <w:ind w:left="720"/>
              <w:jc w:val="both"/>
              <w:rPr>
                <w:rFonts w:asciiTheme="majorHAnsi" w:hAnsiTheme="majorHAnsi" w:cstheme="majorHAnsi"/>
                <w:sz w:val="16"/>
              </w:rPr>
            </w:pPr>
          </w:p>
          <w:p w14:paraId="4F2C76FB" w14:textId="5B754D66" w:rsidR="0087313A" w:rsidRPr="00F36D2E" w:rsidRDefault="002D302E" w:rsidP="00AB31A9">
            <w:pPr>
              <w:pStyle w:val="RedTxt"/>
              <w:tabs>
                <w:tab w:val="left" w:pos="142"/>
              </w:tabs>
              <w:jc w:val="both"/>
              <w:rPr>
                <w:rFonts w:asciiTheme="majorHAnsi" w:hAnsiTheme="majorHAnsi" w:cstheme="majorHAnsi"/>
                <w:sz w:val="20"/>
                <w:szCs w:val="20"/>
                <w:highlight w:val="cyan"/>
              </w:rPr>
            </w:pPr>
            <w:r>
              <w:rPr>
                <w:rFonts w:ascii="Corbel" w:hAnsi="Corbel" w:cstheme="majorHAnsi"/>
                <w:iCs/>
                <w:sz w:val="20"/>
                <w:szCs w:val="20"/>
                <w:u w:val="single"/>
              </w:rPr>
              <w:t>Le cas échéant, p</w:t>
            </w:r>
            <w:r w:rsidR="0087313A" w:rsidRPr="00F36D2E">
              <w:rPr>
                <w:rFonts w:asciiTheme="majorHAnsi" w:hAnsiTheme="majorHAnsi" w:cstheme="majorHAnsi"/>
                <w:sz w:val="20"/>
                <w:szCs w:val="20"/>
                <w:u w:val="single"/>
              </w:rPr>
              <w:t>ouvoir de signature de la personne habilitée</w:t>
            </w:r>
          </w:p>
          <w:p w14:paraId="77DD47C2" w14:textId="77777777" w:rsidR="0087313A" w:rsidRPr="00F36D2E" w:rsidRDefault="0087313A" w:rsidP="0087313A">
            <w:pPr>
              <w:jc w:val="both"/>
              <w:rPr>
                <w:rFonts w:asciiTheme="majorHAnsi" w:hAnsiTheme="majorHAnsi" w:cstheme="majorHAnsi"/>
              </w:rPr>
            </w:pPr>
          </w:p>
        </w:tc>
        <w:tc>
          <w:tcPr>
            <w:tcW w:w="4537" w:type="dxa"/>
            <w:shd w:val="clear" w:color="auto" w:fill="auto"/>
          </w:tcPr>
          <w:p w14:paraId="292C8604" w14:textId="072A9DF3" w:rsidR="0087313A" w:rsidRPr="0003160A" w:rsidRDefault="0087313A" w:rsidP="00693AF2">
            <w:pPr>
              <w:pStyle w:val="Paragraphedeliste"/>
              <w:numPr>
                <w:ilvl w:val="0"/>
                <w:numId w:val="18"/>
              </w:numPr>
              <w:jc w:val="both"/>
              <w:rPr>
                <w:rFonts w:asciiTheme="majorHAnsi" w:hAnsiTheme="majorHAnsi" w:cstheme="majorHAnsi"/>
                <w:b/>
                <w:u w:val="single"/>
              </w:rPr>
            </w:pPr>
            <w:r w:rsidRPr="0003160A">
              <w:rPr>
                <w:rFonts w:asciiTheme="majorHAnsi" w:hAnsiTheme="majorHAnsi" w:cstheme="majorHAnsi"/>
                <w:b/>
                <w:u w:val="single"/>
              </w:rPr>
              <w:lastRenderedPageBreak/>
              <w:t xml:space="preserve">L’acte d’engagement complété. </w:t>
            </w:r>
          </w:p>
          <w:p w14:paraId="2C1E00C6" w14:textId="77777777" w:rsidR="0087313A" w:rsidRPr="00F36D2E" w:rsidRDefault="0087313A" w:rsidP="00693AF2">
            <w:pPr>
              <w:pStyle w:val="Paragraphedeliste"/>
              <w:ind w:left="720"/>
              <w:jc w:val="both"/>
              <w:rPr>
                <w:rFonts w:asciiTheme="majorHAnsi" w:hAnsiTheme="majorHAnsi" w:cstheme="majorHAnsi"/>
              </w:rPr>
            </w:pPr>
            <w:r w:rsidRPr="00F36D2E">
              <w:rPr>
                <w:rFonts w:asciiTheme="majorHAnsi" w:hAnsiTheme="majorHAnsi" w:cstheme="majorHAnsi"/>
              </w:rPr>
              <w:t>La signature électronique de l’acte d’engagement est obligatoire uniquement pour l’attribution du marché.</w:t>
            </w:r>
          </w:p>
          <w:p w14:paraId="44506E0B" w14:textId="77777777" w:rsidR="0087313A" w:rsidRPr="00F36D2E" w:rsidRDefault="0087313A" w:rsidP="0087313A">
            <w:pPr>
              <w:pStyle w:val="RedTxt"/>
              <w:ind w:left="142" w:hanging="142"/>
              <w:jc w:val="both"/>
              <w:rPr>
                <w:rFonts w:asciiTheme="majorHAnsi" w:hAnsiTheme="majorHAnsi" w:cstheme="majorHAnsi"/>
                <w:sz w:val="20"/>
                <w:szCs w:val="20"/>
              </w:rPr>
            </w:pPr>
          </w:p>
          <w:p w14:paraId="702092E9" w14:textId="77777777" w:rsidR="0087313A" w:rsidRPr="00F36D2E" w:rsidRDefault="0087313A" w:rsidP="0087313A">
            <w:pPr>
              <w:jc w:val="both"/>
              <w:rPr>
                <w:rFonts w:asciiTheme="majorHAnsi" w:hAnsiTheme="majorHAnsi" w:cstheme="majorHAnsi"/>
              </w:rPr>
            </w:pPr>
            <w:r w:rsidRPr="00F36D2E">
              <w:rPr>
                <w:rFonts w:asciiTheme="majorHAnsi" w:hAnsiTheme="majorHAnsi" w:cstheme="majorHAnsi"/>
              </w:rPr>
              <w:t>Préciser l’adresse de messagerie électronique dans l'acte d'engagement</w:t>
            </w:r>
          </w:p>
          <w:p w14:paraId="2CB0E3D7" w14:textId="77777777" w:rsidR="0087313A" w:rsidRPr="00F36D2E" w:rsidRDefault="0087313A" w:rsidP="0087313A">
            <w:pPr>
              <w:jc w:val="both"/>
              <w:rPr>
                <w:rFonts w:asciiTheme="majorHAnsi" w:hAnsiTheme="majorHAnsi" w:cstheme="majorHAnsi"/>
              </w:rPr>
            </w:pPr>
          </w:p>
          <w:p w14:paraId="192177DD" w14:textId="71AC0D4E" w:rsidR="0087313A" w:rsidRPr="00F36D2E" w:rsidRDefault="0087313A" w:rsidP="0087313A">
            <w:pPr>
              <w:pStyle w:val="RedTxt"/>
              <w:ind w:left="142" w:hanging="142"/>
              <w:jc w:val="both"/>
              <w:rPr>
                <w:rFonts w:asciiTheme="majorHAnsi" w:hAnsiTheme="majorHAnsi" w:cstheme="majorHAnsi"/>
                <w:sz w:val="20"/>
                <w:szCs w:val="20"/>
              </w:rPr>
            </w:pPr>
            <w:r w:rsidRPr="00F36D2E">
              <w:rPr>
                <w:rFonts w:asciiTheme="majorHAnsi" w:hAnsiTheme="majorHAnsi" w:cstheme="majorHAnsi"/>
                <w:sz w:val="20"/>
                <w:szCs w:val="20"/>
              </w:rPr>
              <w:t>ET</w:t>
            </w:r>
          </w:p>
          <w:p w14:paraId="70875C46" w14:textId="77777777" w:rsidR="00693AF2" w:rsidRPr="00F36D2E" w:rsidRDefault="00693AF2" w:rsidP="0087313A">
            <w:pPr>
              <w:pStyle w:val="RedTxt"/>
              <w:ind w:left="142" w:hanging="142"/>
              <w:jc w:val="both"/>
              <w:rPr>
                <w:rFonts w:asciiTheme="majorHAnsi" w:hAnsiTheme="majorHAnsi" w:cstheme="majorHAnsi"/>
                <w:sz w:val="20"/>
                <w:szCs w:val="20"/>
              </w:rPr>
            </w:pPr>
          </w:p>
          <w:p w14:paraId="0B0D92E4" w14:textId="77777777" w:rsidR="00693AF2" w:rsidRPr="00F36D2E" w:rsidRDefault="00693AF2" w:rsidP="00693AF2">
            <w:pPr>
              <w:pStyle w:val="Paragraphedeliste"/>
              <w:numPr>
                <w:ilvl w:val="0"/>
                <w:numId w:val="18"/>
              </w:numPr>
              <w:jc w:val="both"/>
              <w:rPr>
                <w:rFonts w:asciiTheme="majorHAnsi" w:hAnsiTheme="majorHAnsi" w:cstheme="majorHAnsi"/>
              </w:rPr>
            </w:pPr>
            <w:r w:rsidRPr="00F36D2E">
              <w:rPr>
                <w:rFonts w:asciiTheme="majorHAnsi" w:hAnsiTheme="majorHAnsi" w:cstheme="majorHAnsi"/>
              </w:rPr>
              <w:t>L’annexe financière</w:t>
            </w:r>
            <w:r w:rsidR="0087313A" w:rsidRPr="00F36D2E">
              <w:rPr>
                <w:rFonts w:asciiTheme="majorHAnsi" w:hAnsiTheme="majorHAnsi" w:cstheme="majorHAnsi"/>
              </w:rPr>
              <w:t xml:space="preserve"> de l'acte d'engagement complété</w:t>
            </w:r>
            <w:r w:rsidRPr="00F36D2E">
              <w:rPr>
                <w:rFonts w:asciiTheme="majorHAnsi" w:hAnsiTheme="majorHAnsi" w:cstheme="majorHAnsi"/>
              </w:rPr>
              <w:t>es:</w:t>
            </w:r>
          </w:p>
          <w:p w14:paraId="4D61F561" w14:textId="25D46AB7" w:rsidR="0087313A" w:rsidRPr="0003160A" w:rsidRDefault="00693AF2" w:rsidP="00693AF2">
            <w:pPr>
              <w:pStyle w:val="Paragraphedeliste"/>
              <w:numPr>
                <w:ilvl w:val="1"/>
                <w:numId w:val="18"/>
              </w:numPr>
              <w:jc w:val="both"/>
              <w:rPr>
                <w:rFonts w:asciiTheme="majorHAnsi" w:hAnsiTheme="majorHAnsi" w:cstheme="majorHAnsi"/>
                <w:b/>
              </w:rPr>
            </w:pPr>
            <w:r w:rsidRPr="0003160A">
              <w:rPr>
                <w:rFonts w:asciiTheme="majorHAnsi" w:hAnsiTheme="majorHAnsi" w:cstheme="majorHAnsi"/>
                <w:b/>
              </w:rPr>
              <w:t>Bordereau de prix</w:t>
            </w:r>
            <w:r w:rsidR="0087313A" w:rsidRPr="0003160A">
              <w:rPr>
                <w:rFonts w:asciiTheme="majorHAnsi" w:hAnsiTheme="majorHAnsi" w:cstheme="majorHAnsi"/>
                <w:b/>
              </w:rPr>
              <w:t xml:space="preserve"> </w:t>
            </w:r>
          </w:p>
          <w:p w14:paraId="06FA3335" w14:textId="50F9DA44" w:rsidR="006856BA" w:rsidRPr="00C5191F" w:rsidRDefault="006856BA" w:rsidP="00C5191F">
            <w:pPr>
              <w:pStyle w:val="RedTxt"/>
              <w:jc w:val="both"/>
              <w:rPr>
                <w:rFonts w:asciiTheme="majorHAnsi" w:hAnsiTheme="majorHAnsi" w:cstheme="majorHAnsi"/>
                <w:b/>
                <w:strike/>
                <w:sz w:val="20"/>
                <w:szCs w:val="20"/>
              </w:rPr>
            </w:pPr>
          </w:p>
          <w:p w14:paraId="6C368DC5" w14:textId="321FA265" w:rsidR="00B45161" w:rsidRPr="00F36D2E" w:rsidRDefault="0003160A" w:rsidP="0003160A">
            <w:pPr>
              <w:pStyle w:val="RedTxt"/>
              <w:numPr>
                <w:ilvl w:val="0"/>
                <w:numId w:val="18"/>
              </w:numPr>
              <w:tabs>
                <w:tab w:val="left" w:pos="284"/>
              </w:tabs>
              <w:rPr>
                <w:rFonts w:asciiTheme="majorHAnsi" w:hAnsiTheme="majorHAnsi" w:cstheme="majorHAnsi"/>
                <w:sz w:val="20"/>
                <w:szCs w:val="20"/>
              </w:rPr>
            </w:pPr>
            <w:r>
              <w:rPr>
                <w:rFonts w:asciiTheme="majorHAnsi" w:hAnsiTheme="majorHAnsi" w:cstheme="majorHAnsi"/>
                <w:sz w:val="20"/>
                <w:szCs w:val="20"/>
              </w:rPr>
              <w:t>L’annexe 1 du CCP « cadre de réponse »</w:t>
            </w:r>
          </w:p>
          <w:p w14:paraId="39D1E47D" w14:textId="779CA54C" w:rsidR="0087313A" w:rsidRPr="00F36D2E" w:rsidRDefault="0087313A" w:rsidP="0087313A">
            <w:pPr>
              <w:pStyle w:val="RedTxt"/>
              <w:ind w:left="142" w:hanging="142"/>
              <w:jc w:val="both"/>
              <w:rPr>
                <w:rFonts w:asciiTheme="majorHAnsi" w:hAnsiTheme="majorHAnsi" w:cstheme="majorHAnsi"/>
                <w:sz w:val="20"/>
                <w:szCs w:val="20"/>
              </w:rPr>
            </w:pPr>
          </w:p>
          <w:p w14:paraId="228E15F0" w14:textId="77777777" w:rsidR="00B45161" w:rsidRPr="00F36D2E" w:rsidRDefault="00B45161" w:rsidP="00B45161">
            <w:pPr>
              <w:pStyle w:val="RedTxt"/>
              <w:jc w:val="both"/>
              <w:rPr>
                <w:rFonts w:asciiTheme="majorHAnsi" w:hAnsiTheme="majorHAnsi" w:cstheme="majorHAnsi"/>
                <w:i/>
                <w:sz w:val="20"/>
                <w:szCs w:val="20"/>
              </w:rPr>
            </w:pPr>
            <w:r w:rsidRPr="00F36D2E">
              <w:rPr>
                <w:rFonts w:asciiTheme="majorHAnsi" w:hAnsiTheme="majorHAnsi" w:cstheme="majorHAnsi"/>
                <w:i/>
                <w:sz w:val="20"/>
                <w:szCs w:val="20"/>
              </w:rPr>
              <w:t xml:space="preserve">Fournir de préférence le document en .pdf. </w:t>
            </w:r>
          </w:p>
          <w:p w14:paraId="443771F1" w14:textId="77777777" w:rsidR="0087313A" w:rsidRPr="00F36D2E" w:rsidRDefault="0087313A" w:rsidP="0087313A">
            <w:pPr>
              <w:pStyle w:val="RedTxt"/>
              <w:tabs>
                <w:tab w:val="left" w:pos="284"/>
              </w:tabs>
              <w:rPr>
                <w:rFonts w:asciiTheme="majorHAnsi" w:hAnsiTheme="majorHAnsi" w:cstheme="majorHAnsi"/>
                <w:sz w:val="20"/>
                <w:szCs w:val="20"/>
              </w:rPr>
            </w:pPr>
          </w:p>
          <w:p w14:paraId="1E1AFEEC" w14:textId="0AFDF035" w:rsidR="0087313A" w:rsidRPr="00F36D2E" w:rsidRDefault="00D95846" w:rsidP="0087313A">
            <w:pPr>
              <w:jc w:val="both"/>
              <w:rPr>
                <w:rFonts w:asciiTheme="majorHAnsi" w:hAnsiTheme="majorHAnsi" w:cstheme="majorHAnsi"/>
              </w:rPr>
            </w:pPr>
            <w:r w:rsidRPr="00F36D2E">
              <w:rPr>
                <w:rFonts w:asciiTheme="majorHAnsi" w:hAnsiTheme="majorHAnsi" w:cstheme="majorHAnsi"/>
              </w:rPr>
              <w:t>En</w:t>
            </w:r>
            <w:r w:rsidR="0087313A" w:rsidRPr="00F36D2E">
              <w:rPr>
                <w:rFonts w:asciiTheme="majorHAnsi" w:hAnsiTheme="majorHAnsi" w:cstheme="majorHAnsi"/>
              </w:rPr>
              <w:t xml:space="preserve"> application du code du travail, les candidats doivent indiquer si, dans le cadre de l’exécution du marché public, ils ont l’intention d’avoir recours à des salariés détachés. </w:t>
            </w:r>
          </w:p>
          <w:p w14:paraId="33D0A15F" w14:textId="1A192159" w:rsidR="00D233DC" w:rsidRPr="00F36D2E" w:rsidRDefault="0087313A" w:rsidP="00B45161">
            <w:pPr>
              <w:pStyle w:val="RedTxt"/>
              <w:jc w:val="both"/>
              <w:rPr>
                <w:rFonts w:asciiTheme="majorHAnsi" w:hAnsiTheme="majorHAnsi" w:cstheme="majorHAnsi"/>
                <w:sz w:val="20"/>
                <w:szCs w:val="20"/>
              </w:rPr>
            </w:pPr>
            <w:r w:rsidRPr="00F36D2E">
              <w:rPr>
                <w:rFonts w:asciiTheme="majorHAnsi" w:hAnsiTheme="majorHAnsi" w:cstheme="majorHAnsi"/>
                <w:sz w:val="20"/>
                <w:szCs w:val="20"/>
              </w:rPr>
              <w:t>La déclaration de détachement doit être conforme aux dispositions de l’annexe au CCAP « Obligations réglementaires en matière de de détachement de salariés étrangers ».</w:t>
            </w:r>
          </w:p>
        </w:tc>
      </w:tr>
    </w:tbl>
    <w:p w14:paraId="4E676169" w14:textId="77777777" w:rsidR="0087313A" w:rsidRPr="00A5060D" w:rsidRDefault="0087313A" w:rsidP="00A5060D">
      <w:pPr>
        <w:pStyle w:val="TEXTE"/>
        <w:rPr>
          <w:b/>
          <w:i/>
          <w:szCs w:val="22"/>
        </w:rPr>
      </w:pPr>
      <w:r w:rsidRPr="00A5060D">
        <w:rPr>
          <w:b/>
          <w:i/>
          <w:szCs w:val="22"/>
        </w:rPr>
        <w:t>POUR LA CANDIDATURE :</w:t>
      </w:r>
    </w:p>
    <w:p w14:paraId="6F10EABC" w14:textId="77777777" w:rsidR="0087313A" w:rsidRPr="00A5060D" w:rsidRDefault="0087313A" w:rsidP="00A5060D">
      <w:pPr>
        <w:pStyle w:val="TEXTE"/>
        <w:rPr>
          <w:szCs w:val="22"/>
        </w:rPr>
      </w:pPr>
      <w:r w:rsidRPr="00A5060D">
        <w:rPr>
          <w:szCs w:val="22"/>
        </w:rPr>
        <w:t>Si, pour une raison justifiée, l'opérateur économique n'est pas en mesure de produire les renseignements demandés, il est autorisé à prouver sa capacité économique et financière, par tout autre moyen.</w:t>
      </w:r>
    </w:p>
    <w:p w14:paraId="770A1638" w14:textId="645E5EB2" w:rsidR="0087313A" w:rsidRPr="00A5060D" w:rsidRDefault="0087313A" w:rsidP="00A5060D">
      <w:pPr>
        <w:pStyle w:val="TEXTE"/>
        <w:rPr>
          <w:szCs w:val="22"/>
        </w:rPr>
      </w:pPr>
      <w:r w:rsidRPr="00A5060D">
        <w:rPr>
          <w:szCs w:val="22"/>
        </w:rPr>
        <w:t>Le candidat précisera également la nature des prestations qu’il envisage de sous-traiter ainsi que la liste des sous-traitants qu'il se propose de présenter à l'agrément et à l'acceptation du pouvoir adjudicateur.</w:t>
      </w:r>
    </w:p>
    <w:p w14:paraId="59036026" w14:textId="77777777" w:rsidR="0087313A" w:rsidRPr="00A5060D" w:rsidRDefault="0087313A" w:rsidP="00A5060D">
      <w:pPr>
        <w:pStyle w:val="TEXTE"/>
        <w:rPr>
          <w:szCs w:val="22"/>
        </w:rPr>
      </w:pPr>
      <w:r w:rsidRPr="00A5060D">
        <w:rPr>
          <w:szCs w:val="22"/>
        </w:rPr>
        <w:t xml:space="preserve">Si, pour justifier de ses capacités, le candidat souhaite faire prévaloir les capacités professionnelles, techniques et financières d’un ou plusieurs sous-traitants, il devra produire les pièces relatives à </w:t>
      </w:r>
      <w:r w:rsidR="00D95846" w:rsidRPr="00A5060D">
        <w:rPr>
          <w:szCs w:val="22"/>
        </w:rPr>
        <w:t>ces intervenants visés</w:t>
      </w:r>
      <w:r w:rsidRPr="00A5060D">
        <w:rPr>
          <w:szCs w:val="22"/>
        </w:rPr>
        <w:t xml:space="preserve"> au présent article ci-dessus. </w:t>
      </w:r>
    </w:p>
    <w:p w14:paraId="1F6A4EC3" w14:textId="77777777" w:rsidR="0087313A" w:rsidRPr="00A5060D" w:rsidRDefault="0087313A" w:rsidP="00A5060D">
      <w:pPr>
        <w:pStyle w:val="TEXTE"/>
        <w:rPr>
          <w:b/>
          <w:i/>
          <w:szCs w:val="22"/>
        </w:rPr>
      </w:pPr>
      <w:r w:rsidRPr="00A5060D">
        <w:rPr>
          <w:b/>
          <w:i/>
          <w:szCs w:val="22"/>
        </w:rPr>
        <w:t>POUR L’OFFRE :</w:t>
      </w:r>
    </w:p>
    <w:p w14:paraId="4C5C4649" w14:textId="77777777" w:rsidR="0087313A" w:rsidRPr="00F36D2E" w:rsidRDefault="0087313A" w:rsidP="00F36D2E">
      <w:pPr>
        <w:pStyle w:val="TEXTE"/>
        <w:rPr>
          <w:szCs w:val="22"/>
        </w:rPr>
      </w:pPr>
      <w:r w:rsidRPr="00F36D2E">
        <w:rPr>
          <w:szCs w:val="22"/>
        </w:rPr>
        <w:t xml:space="preserve">En cas d’absence ou d’incomplétude d’une ou plusieurs pièces, l’offre du candidat sera déclarée irrégulière. </w:t>
      </w:r>
    </w:p>
    <w:p w14:paraId="4B3D57AD" w14:textId="54641D87" w:rsidR="0087313A" w:rsidRPr="00F36D2E" w:rsidRDefault="0087313A" w:rsidP="00F36D2E">
      <w:pPr>
        <w:pStyle w:val="TEXTE"/>
        <w:rPr>
          <w:szCs w:val="22"/>
        </w:rPr>
      </w:pPr>
      <w:r w:rsidRPr="00F36D2E">
        <w:rPr>
          <w:szCs w:val="22"/>
        </w:rPr>
        <w:t xml:space="preserve">En application des </w:t>
      </w:r>
      <w:r w:rsidR="008D47FF" w:rsidRPr="00F36D2E">
        <w:rPr>
          <w:szCs w:val="22"/>
        </w:rPr>
        <w:t>dispositions de l’article R.2152</w:t>
      </w:r>
      <w:r w:rsidRPr="00F36D2E">
        <w:rPr>
          <w:szCs w:val="22"/>
        </w:rPr>
        <w:t xml:space="preserve">-1 du code de la commande publique, les offres irrégulières pourront devenir régulières au cours de la négociation, si elle a lieu, à condition qu’elles ne soient pas anormalement basses. </w:t>
      </w:r>
    </w:p>
    <w:p w14:paraId="0B5969EF" w14:textId="77777777" w:rsidR="0087313A" w:rsidRPr="00F36D2E" w:rsidRDefault="0087313A" w:rsidP="00F36D2E">
      <w:pPr>
        <w:pStyle w:val="TEXTE"/>
        <w:rPr>
          <w:szCs w:val="22"/>
        </w:rPr>
      </w:pPr>
      <w:r w:rsidRPr="00F36D2E">
        <w:rPr>
          <w:szCs w:val="22"/>
        </w:rPr>
        <w:t>En application des dispositions de l’article R2152-2 du code de la commande publique, l’acheteur pourra autoriser tous les soumissionnaires concernés à régulariser les offres finales irrégulières, dans un délai approprié, à condition qu’elles ne soient pas anormalement basses.</w:t>
      </w:r>
    </w:p>
    <w:p w14:paraId="0041A063" w14:textId="77777777" w:rsidR="0087313A" w:rsidRPr="00F36D2E" w:rsidRDefault="0087313A" w:rsidP="00F36D2E">
      <w:pPr>
        <w:pStyle w:val="TEXTE"/>
        <w:rPr>
          <w:b/>
          <w:i/>
          <w:szCs w:val="22"/>
        </w:rPr>
      </w:pPr>
      <w:r w:rsidRPr="00F36D2E">
        <w:rPr>
          <w:b/>
          <w:i/>
          <w:szCs w:val="22"/>
        </w:rPr>
        <w:t xml:space="preserve">La régularisation des offres irrégulières ne peut avoir pour effet d’en modifier les caractéristiques substantielles. </w:t>
      </w:r>
    </w:p>
    <w:p w14:paraId="7F168E6D" w14:textId="4B035EA3" w:rsidR="0087313A" w:rsidRPr="00F36D2E" w:rsidRDefault="0087313A" w:rsidP="00F36D2E">
      <w:pPr>
        <w:pStyle w:val="TEXTE"/>
        <w:rPr>
          <w:b/>
          <w:i/>
          <w:szCs w:val="22"/>
        </w:rPr>
      </w:pPr>
      <w:r w:rsidRPr="00F36D2E">
        <w:rPr>
          <w:b/>
          <w:i/>
          <w:szCs w:val="22"/>
        </w:rPr>
        <w:t xml:space="preserve">L’absence de renseignement du pourcentage de remise dans le bordereau de </w:t>
      </w:r>
      <w:r w:rsidR="00F36D2E" w:rsidRPr="00F36D2E">
        <w:rPr>
          <w:b/>
          <w:i/>
          <w:szCs w:val="22"/>
        </w:rPr>
        <w:t>prix sera</w:t>
      </w:r>
      <w:r w:rsidRPr="00F36D2E">
        <w:rPr>
          <w:b/>
          <w:i/>
          <w:szCs w:val="22"/>
        </w:rPr>
        <w:t xml:space="preserve"> considérée comme équivalent à une remise égale à 0. </w:t>
      </w:r>
    </w:p>
    <w:p w14:paraId="3F3B2C76" w14:textId="6B8EACEB" w:rsidR="00E73079" w:rsidRPr="00F36D2E" w:rsidRDefault="00E73079" w:rsidP="00F36D2E">
      <w:pPr>
        <w:pStyle w:val="TEXTE"/>
        <w:rPr>
          <w:szCs w:val="22"/>
        </w:rPr>
      </w:pPr>
      <w:r w:rsidRPr="00F36D2E">
        <w:rPr>
          <w:szCs w:val="22"/>
        </w:rPr>
        <w:t>Le pouvoir adjudicateur n’impose pas la signature de l’acte d’engagement, le candidat classé en 1° position sera te</w:t>
      </w:r>
      <w:r w:rsidR="00F36D2E" w:rsidRPr="00F36D2E">
        <w:rPr>
          <w:szCs w:val="22"/>
        </w:rPr>
        <w:t>nu de le signer électroniquement</w:t>
      </w:r>
      <w:r w:rsidRPr="00F36D2E">
        <w:rPr>
          <w:szCs w:val="22"/>
        </w:rPr>
        <w:t xml:space="preserve">. </w:t>
      </w:r>
    </w:p>
    <w:p w14:paraId="5C257F63" w14:textId="21AD9082" w:rsidR="00E73079" w:rsidRPr="00F36D2E" w:rsidRDefault="00E73079" w:rsidP="00F36D2E">
      <w:pPr>
        <w:pStyle w:val="TEXTE"/>
        <w:rPr>
          <w:szCs w:val="22"/>
        </w:rPr>
      </w:pPr>
      <w:r w:rsidRPr="00F36D2E">
        <w:rPr>
          <w:szCs w:val="22"/>
        </w:rPr>
        <w:t>Toutefois, afin de permettre un traitement plus rapide des formalités d’attribution du marché, les candidats sont vivement invités à fournir un acte</w:t>
      </w:r>
      <w:r w:rsidR="00F36D2E" w:rsidRPr="00F36D2E">
        <w:rPr>
          <w:szCs w:val="22"/>
        </w:rPr>
        <w:t xml:space="preserve"> d’engagement.</w:t>
      </w:r>
    </w:p>
    <w:p w14:paraId="2594DA13" w14:textId="65031656" w:rsidR="00E73079" w:rsidRPr="00F36D2E" w:rsidRDefault="00E73079" w:rsidP="00F36D2E">
      <w:pPr>
        <w:pStyle w:val="TEXTE"/>
        <w:rPr>
          <w:szCs w:val="22"/>
        </w:rPr>
      </w:pPr>
      <w:r w:rsidRPr="00F36D2E">
        <w:rPr>
          <w:noProof/>
          <w:szCs w:val="22"/>
        </w:rPr>
        <w:drawing>
          <wp:inline distT="0" distB="0" distL="0" distR="0" wp14:anchorId="7E7AAD4A" wp14:editId="4356E5AC">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F36D2E">
        <w:rPr>
          <w:szCs w:val="22"/>
        </w:rPr>
        <w:t xml:space="preserve"> A l’issue de la procédure de passation, le candidat auquel il est envisagé d’attribuer le marché, qui n’aurait pas déposé un acte d’engagement, sera invité à régulariser son offre en signant électroniquement, sous </w:t>
      </w:r>
      <w:r w:rsidR="00F36D2E" w:rsidRPr="00F36D2E">
        <w:rPr>
          <w:szCs w:val="22"/>
        </w:rPr>
        <w:t>15</w:t>
      </w:r>
      <w:r w:rsidRPr="00F36D2E">
        <w:rPr>
          <w:szCs w:val="22"/>
        </w:rPr>
        <w:t xml:space="preserve"> jours maximum, son acte d’eng</w:t>
      </w:r>
      <w:r w:rsidR="00F36D2E" w:rsidRPr="00F36D2E">
        <w:rPr>
          <w:szCs w:val="22"/>
        </w:rPr>
        <w:t xml:space="preserve">agement de manière électronique. </w:t>
      </w:r>
      <w:r w:rsidRPr="00F36D2E">
        <w:rPr>
          <w:szCs w:val="22"/>
        </w:rPr>
        <w:t xml:space="preserve">A défaut, le marché ne pourra pas lui être attribué et ce dernier sera attribué au candidat dont l’offre a été classée en seconde position. </w:t>
      </w:r>
    </w:p>
    <w:p w14:paraId="5A7ECDF6" w14:textId="77777777" w:rsidR="00E73079" w:rsidRPr="00F36D2E" w:rsidRDefault="00E73079" w:rsidP="00F36D2E">
      <w:pPr>
        <w:pStyle w:val="TEXTE"/>
        <w:rPr>
          <w:szCs w:val="22"/>
        </w:rPr>
      </w:pPr>
      <w:r w:rsidRPr="00F36D2E">
        <w:rPr>
          <w:szCs w:val="22"/>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4DB04603" w14:textId="77777777" w:rsidR="00E73079" w:rsidRPr="00F36D2E" w:rsidRDefault="00E73079" w:rsidP="00F36D2E">
      <w:pPr>
        <w:pStyle w:val="TEXTE"/>
        <w:rPr>
          <w:szCs w:val="22"/>
        </w:rPr>
      </w:pPr>
      <w:r w:rsidRPr="00F36D2E">
        <w:rPr>
          <w:szCs w:val="22"/>
        </w:rPr>
        <w:lastRenderedPageBreak/>
        <w:t>Il est rappelé au candidat que la signature de l’acte d’engagement vaut acceptation de toutes les pièces contractuelles.</w:t>
      </w:r>
    </w:p>
    <w:p w14:paraId="46D340A4" w14:textId="6BE68FC3" w:rsidR="0087313A" w:rsidRPr="007614D8" w:rsidRDefault="00F36D2E" w:rsidP="00AA77D8">
      <w:pPr>
        <w:pStyle w:val="Titre1"/>
      </w:pPr>
      <w:bookmarkStart w:id="53" w:name="_Toc58841450"/>
      <w:bookmarkStart w:id="54" w:name="_Toc191566855"/>
      <w:r>
        <w:t xml:space="preserve">6.5 </w:t>
      </w:r>
      <w:r w:rsidR="0087313A" w:rsidRPr="007614D8">
        <w:t>Envoi et réception des plis</w:t>
      </w:r>
      <w:bookmarkEnd w:id="53"/>
      <w:bookmarkEnd w:id="54"/>
    </w:p>
    <w:p w14:paraId="72F7CF23" w14:textId="5288C75C" w:rsidR="008912EB" w:rsidRPr="00F36D2E" w:rsidRDefault="008912EB" w:rsidP="00F36D2E">
      <w:pPr>
        <w:pStyle w:val="TEXTE"/>
        <w:rPr>
          <w:szCs w:val="22"/>
        </w:rPr>
      </w:pPr>
      <w:r w:rsidRPr="00F36D2E">
        <w:rPr>
          <w:noProof/>
          <w:szCs w:val="22"/>
        </w:rPr>
        <w:drawing>
          <wp:inline distT="0" distB="0" distL="0" distR="0" wp14:anchorId="6D98734F" wp14:editId="1C9177B9">
            <wp:extent cx="340995" cy="264160"/>
            <wp:effectExtent l="0" t="0" r="1905" b="2540"/>
            <wp:docPr id="8" name="Image 8"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F36D2E">
        <w:rPr>
          <w:szCs w:val="22"/>
        </w:rPr>
        <w:t xml:space="preserve"> L'attention des candidats est attirée sur le fait qu'en cas d'envois successifs, seul le dernier pli reçu sera ouvert. </w:t>
      </w:r>
    </w:p>
    <w:p w14:paraId="27D25E5D" w14:textId="77777777" w:rsidR="008912EB" w:rsidRPr="00F36D2E" w:rsidRDefault="008912EB" w:rsidP="00F36D2E">
      <w:pPr>
        <w:pStyle w:val="TEXTE"/>
        <w:rPr>
          <w:szCs w:val="22"/>
        </w:rPr>
      </w:pPr>
      <w:r w:rsidRPr="00F36D2E">
        <w:rPr>
          <w:szCs w:val="22"/>
        </w:rPr>
        <w:t>Les autres plis, précédemment déposés par l'opérateur économique, seront rejetés sans avoir été ouverts.</w:t>
      </w:r>
    </w:p>
    <w:p w14:paraId="4C7AD7F2" w14:textId="77777777" w:rsidR="008912EB" w:rsidRPr="00F36D2E" w:rsidRDefault="008912EB" w:rsidP="00F36D2E">
      <w:pPr>
        <w:pStyle w:val="TEXTE"/>
        <w:rPr>
          <w:szCs w:val="22"/>
        </w:rPr>
      </w:pPr>
      <w:r w:rsidRPr="00F36D2E">
        <w:rPr>
          <w:szCs w:val="22"/>
        </w:rPr>
        <w:t>En conséquence, en cas d'omission d'une pièce constituant le dossier de candidature et/ou d'offre, le candidat devra, pendant la période de remise des offres, renvoyer l'intégralité de son dossier de candidature et d'offre.</w:t>
      </w:r>
    </w:p>
    <w:p w14:paraId="477EA521" w14:textId="77777777" w:rsidR="0087313A" w:rsidRPr="00F36D2E" w:rsidRDefault="0087313A" w:rsidP="00F36D2E">
      <w:pPr>
        <w:pStyle w:val="TEXTE"/>
        <w:rPr>
          <w:szCs w:val="22"/>
        </w:rPr>
      </w:pPr>
      <w:r w:rsidRPr="00F36D2E">
        <w:rPr>
          <w:szCs w:val="22"/>
        </w:rPr>
        <w:t xml:space="preserve">LE DEPOT DES OFFRES SE FERA EXCLUSIVEMENT SUR LE SITE DE LA PLATEFORME </w:t>
      </w:r>
    </w:p>
    <w:p w14:paraId="6091CC09" w14:textId="77777777" w:rsidR="0087313A" w:rsidRPr="00F36D2E" w:rsidRDefault="0087313A" w:rsidP="00F36D2E">
      <w:pPr>
        <w:pStyle w:val="TEXTE"/>
        <w:rPr>
          <w:szCs w:val="22"/>
        </w:rPr>
      </w:pPr>
      <w:r w:rsidRPr="00F36D2E">
        <w:rPr>
          <w:szCs w:val="22"/>
        </w:rPr>
        <w:t>DES ACHATS DE L’ETAT A L’ADRESSE FIGURANT EN PAGE DE GARDE DU PRESENT DOCUMENT</w:t>
      </w:r>
    </w:p>
    <w:p w14:paraId="15DD201A" w14:textId="77777777" w:rsidR="000F5D35" w:rsidRPr="00F36D2E" w:rsidRDefault="000F5D35" w:rsidP="00F36D2E">
      <w:pPr>
        <w:pStyle w:val="TEXTE"/>
        <w:rPr>
          <w:szCs w:val="22"/>
        </w:rPr>
      </w:pPr>
      <w:r w:rsidRPr="00F36D2E">
        <w:rPr>
          <w:szCs w:val="22"/>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38AC4B22" w14:textId="77777777" w:rsidR="0087313A" w:rsidRPr="00F36D2E" w:rsidRDefault="0087313A" w:rsidP="00F36D2E">
      <w:pPr>
        <w:pStyle w:val="TEXTE"/>
        <w:rPr>
          <w:szCs w:val="22"/>
        </w:rPr>
      </w:pPr>
      <w:r w:rsidRPr="00F36D2E">
        <w:rPr>
          <w:szCs w:val="22"/>
        </w:rPr>
        <w:t>Seuls pourront être ouverts les plis reçus au plus tard à la date et l’heure limites indiquées dans l’avis d’appel public à la concurrence et en page de garde du présent document.</w:t>
      </w:r>
    </w:p>
    <w:p w14:paraId="40538BAF" w14:textId="77777777" w:rsidR="0087313A" w:rsidRPr="00F36D2E" w:rsidRDefault="0087313A" w:rsidP="00F36D2E">
      <w:pPr>
        <w:pStyle w:val="TEXTE"/>
        <w:rPr>
          <w:szCs w:val="22"/>
        </w:rPr>
      </w:pPr>
      <w:r w:rsidRPr="00F36D2E">
        <w:rPr>
          <w:szCs w:val="22"/>
        </w:rPr>
        <w:t>Se reporter à l'annexe concernant la dématérialisation des procédures.</w:t>
      </w:r>
    </w:p>
    <w:p w14:paraId="2713184E" w14:textId="77777777" w:rsidR="0087313A" w:rsidRPr="00F36D2E" w:rsidRDefault="0087313A" w:rsidP="00F36D2E">
      <w:pPr>
        <w:pStyle w:val="TEXTE"/>
        <w:rPr>
          <w:b/>
          <w:szCs w:val="22"/>
          <w:u w:val="single"/>
        </w:rPr>
      </w:pPr>
      <w:r w:rsidRPr="00F36D2E">
        <w:rPr>
          <w:b/>
          <w:szCs w:val="22"/>
          <w:u w:val="single"/>
        </w:rPr>
        <w:t>REMISE D'UNE COPIE DE SAUVEGARDE</w:t>
      </w:r>
    </w:p>
    <w:p w14:paraId="44639EB6" w14:textId="523DA1B7" w:rsidR="0087313A" w:rsidRPr="00F36D2E" w:rsidRDefault="0087313A" w:rsidP="00F36D2E">
      <w:pPr>
        <w:pStyle w:val="TEXTE"/>
        <w:rPr>
          <w:szCs w:val="22"/>
        </w:rPr>
      </w:pPr>
      <w:r w:rsidRPr="00F36D2E">
        <w:rPr>
          <w:szCs w:val="22"/>
        </w:rPr>
        <w:t>Le candidat dispose de la faculté d’envoyer une copie de sauvegarde de sa réponse par voie dématérialisée (Cf. annexe relative à la dématérialisation des procédures).</w:t>
      </w:r>
    </w:p>
    <w:p w14:paraId="0E3E8E0A" w14:textId="18E7A202" w:rsidR="0087313A" w:rsidRPr="00F36D2E" w:rsidRDefault="0087313A" w:rsidP="00F36D2E">
      <w:pPr>
        <w:pStyle w:val="TEXTE"/>
        <w:rPr>
          <w:szCs w:val="22"/>
        </w:rPr>
      </w:pPr>
      <w:r w:rsidRPr="00F36D2E">
        <w:rPr>
          <w:szCs w:val="22"/>
        </w:rPr>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10DBD566" w14:textId="77777777" w:rsidR="0087313A" w:rsidRPr="00F36D2E" w:rsidRDefault="0087313A" w:rsidP="00F36D2E">
      <w:pPr>
        <w:pStyle w:val="TEXTE"/>
        <w:rPr>
          <w:szCs w:val="22"/>
        </w:rPr>
      </w:pPr>
      <w:r w:rsidRPr="00F36D2E">
        <w:rPr>
          <w:szCs w:val="22"/>
        </w:rPr>
        <w:t>Adresse postale de réception de la copie de sauvegarde :</w:t>
      </w:r>
    </w:p>
    <w:p w14:paraId="2A07AAE4" w14:textId="77777777" w:rsidR="00880C8E" w:rsidRPr="00F36D2E" w:rsidRDefault="00880C8E" w:rsidP="00F36D2E">
      <w:pPr>
        <w:pStyle w:val="TEXTE"/>
        <w:jc w:val="center"/>
        <w:rPr>
          <w:szCs w:val="22"/>
        </w:rPr>
      </w:pPr>
      <w:r w:rsidRPr="00F36D2E">
        <w:rPr>
          <w:szCs w:val="22"/>
        </w:rPr>
        <w:t>CENTRE HOSPITALIER UNIVERSITAIRE DE MONTPELLIER</w:t>
      </w:r>
    </w:p>
    <w:p w14:paraId="0333BCDB" w14:textId="77777777" w:rsidR="00880C8E" w:rsidRPr="00F36D2E" w:rsidRDefault="00880C8E" w:rsidP="00F36D2E">
      <w:pPr>
        <w:pStyle w:val="TEXTE"/>
        <w:jc w:val="center"/>
        <w:rPr>
          <w:szCs w:val="22"/>
        </w:rPr>
      </w:pPr>
      <w:r w:rsidRPr="00F36D2E">
        <w:rPr>
          <w:szCs w:val="22"/>
        </w:rPr>
        <w:t>Direction des Achats et Approvisionnements</w:t>
      </w:r>
    </w:p>
    <w:p w14:paraId="72E0D0BB" w14:textId="36A8042C" w:rsidR="00880C8E" w:rsidRPr="00F36D2E" w:rsidRDefault="00880C8E" w:rsidP="00F36D2E">
      <w:pPr>
        <w:pStyle w:val="TEXTE"/>
        <w:jc w:val="center"/>
        <w:rPr>
          <w:szCs w:val="22"/>
        </w:rPr>
      </w:pPr>
      <w:r w:rsidRPr="00F36D2E">
        <w:rPr>
          <w:szCs w:val="22"/>
        </w:rPr>
        <w:t xml:space="preserve">Secteur </w:t>
      </w:r>
      <w:r w:rsidR="00F36D2E" w:rsidRPr="00F36D2E">
        <w:rPr>
          <w:szCs w:val="22"/>
        </w:rPr>
        <w:t>Achats généraux</w:t>
      </w:r>
    </w:p>
    <w:p w14:paraId="6C49C174" w14:textId="77777777" w:rsidR="00880C8E" w:rsidRPr="00F36D2E" w:rsidRDefault="00880C8E" w:rsidP="00F36D2E">
      <w:pPr>
        <w:pStyle w:val="TEXTE"/>
        <w:jc w:val="center"/>
        <w:rPr>
          <w:szCs w:val="22"/>
        </w:rPr>
      </w:pPr>
      <w:r w:rsidRPr="00F36D2E">
        <w:rPr>
          <w:szCs w:val="22"/>
        </w:rPr>
        <w:t>1 place Jean Baumel</w:t>
      </w:r>
    </w:p>
    <w:p w14:paraId="648F7021" w14:textId="77777777" w:rsidR="00880C8E" w:rsidRPr="00F36D2E" w:rsidRDefault="00880C8E" w:rsidP="00F36D2E">
      <w:pPr>
        <w:pStyle w:val="TEXTE"/>
        <w:jc w:val="center"/>
        <w:rPr>
          <w:szCs w:val="22"/>
        </w:rPr>
      </w:pPr>
      <w:r w:rsidRPr="00F36D2E">
        <w:rPr>
          <w:szCs w:val="22"/>
        </w:rPr>
        <w:t>Centre Bellevue</w:t>
      </w:r>
    </w:p>
    <w:p w14:paraId="6DCD9EE4" w14:textId="77777777" w:rsidR="00880C8E" w:rsidRPr="00F36D2E" w:rsidRDefault="00880C8E" w:rsidP="00F36D2E">
      <w:pPr>
        <w:pStyle w:val="TEXTE"/>
        <w:jc w:val="center"/>
        <w:rPr>
          <w:szCs w:val="22"/>
        </w:rPr>
      </w:pPr>
      <w:r w:rsidRPr="00F36D2E">
        <w:rPr>
          <w:szCs w:val="22"/>
        </w:rPr>
        <w:t>34295 Montpellier Cedex 5</w:t>
      </w:r>
    </w:p>
    <w:p w14:paraId="59FE003F" w14:textId="77777777" w:rsidR="0087313A" w:rsidRPr="007614D8" w:rsidRDefault="0087313A" w:rsidP="00F36D2E">
      <w:pPr>
        <w:pStyle w:val="Titre"/>
        <w:numPr>
          <w:ilvl w:val="0"/>
          <w:numId w:val="2"/>
        </w:numPr>
        <w:shd w:val="clear" w:color="auto" w:fill="C5E0B3" w:themeFill="accent6" w:themeFillTint="66"/>
        <w:spacing w:before="240"/>
        <w:rPr>
          <w:rFonts w:cstheme="majorHAnsi"/>
        </w:rPr>
      </w:pPr>
      <w:bookmarkStart w:id="55" w:name="_Toc58841451"/>
      <w:bookmarkStart w:id="56" w:name="_Toc191566856"/>
      <w:r w:rsidRPr="007614D8">
        <w:rPr>
          <w:rFonts w:cstheme="majorHAnsi"/>
        </w:rPr>
        <w:t>Vérification des conditions de participation des candidats</w:t>
      </w:r>
      <w:bookmarkEnd w:id="55"/>
      <w:bookmarkEnd w:id="56"/>
    </w:p>
    <w:p w14:paraId="7188BDC5" w14:textId="77777777" w:rsidR="0087313A" w:rsidRPr="00F36D2E" w:rsidRDefault="0087313A" w:rsidP="00F36D2E">
      <w:pPr>
        <w:pStyle w:val="TEXTE"/>
        <w:rPr>
          <w:szCs w:val="22"/>
        </w:rPr>
      </w:pPr>
      <w:r w:rsidRPr="00F36D2E">
        <w:rPr>
          <w:szCs w:val="22"/>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526115A" w14:textId="6FA9BCC6" w:rsidR="0087313A" w:rsidRPr="00F36D2E" w:rsidRDefault="0087313A" w:rsidP="00F36D2E">
      <w:pPr>
        <w:pStyle w:val="TEXTE"/>
        <w:rPr>
          <w:szCs w:val="22"/>
        </w:rPr>
      </w:pPr>
      <w:r w:rsidRPr="00F36D2E">
        <w:rPr>
          <w:szCs w:val="22"/>
        </w:rPr>
        <w:lastRenderedPageBreak/>
        <w:t>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6.</w:t>
      </w:r>
      <w:r w:rsidR="00F30722" w:rsidRPr="00F36D2E">
        <w:rPr>
          <w:szCs w:val="22"/>
        </w:rPr>
        <w:t>4</w:t>
      </w:r>
      <w:r w:rsidRPr="00F36D2E">
        <w:rPr>
          <w:szCs w:val="22"/>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07494D9" w14:textId="77777777" w:rsidR="0087313A" w:rsidRPr="00F36D2E" w:rsidRDefault="0087313A" w:rsidP="00F36D2E">
      <w:pPr>
        <w:pStyle w:val="TEXTE"/>
        <w:rPr>
          <w:szCs w:val="22"/>
        </w:rPr>
      </w:pPr>
      <w:r w:rsidRPr="00F36D2E">
        <w:rPr>
          <w:szCs w:val="22"/>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2F62C13C" w14:textId="77777777" w:rsidR="002D302E" w:rsidRPr="007B48E8" w:rsidRDefault="002D302E" w:rsidP="007B48E8">
      <w:pPr>
        <w:pStyle w:val="TEXTE"/>
        <w:rPr>
          <w:szCs w:val="22"/>
        </w:rPr>
      </w:pPr>
      <w:r w:rsidRPr="007B48E8">
        <w:rPr>
          <w:szCs w:val="22"/>
        </w:rPr>
        <w:t>En cas de cotraitance ou de sous-traitance, les candidatures seront vérifiées à partir de l'ensemble des capacités et qualités des membres du groupement, y compris celles des sous-traitants (sous réserve, dans ce dernier cas, de la remise par le candidat, en cas de sous-traitance annoncée dans son dossier de candidature, d’un acte de sous-traitance comme indiqué à l’article 6.4)</w:t>
      </w:r>
    </w:p>
    <w:p w14:paraId="151B45B5" w14:textId="77777777" w:rsidR="00D47A8E" w:rsidRDefault="00D47A8E">
      <w:pPr>
        <w:widowControl/>
        <w:autoSpaceDE/>
        <w:autoSpaceDN/>
        <w:adjustRightInd/>
        <w:spacing w:after="160" w:line="259" w:lineRule="auto"/>
        <w:rPr>
          <w:rFonts w:asciiTheme="majorHAnsi" w:hAnsiTheme="majorHAnsi" w:cstheme="majorHAnsi"/>
          <w:b/>
          <w:caps/>
          <w:sz w:val="28"/>
          <w:szCs w:val="28"/>
        </w:rPr>
      </w:pPr>
      <w:bookmarkStart w:id="57" w:name="_Toc58841452"/>
      <w:bookmarkStart w:id="58" w:name="_Toc191566857"/>
      <w:r>
        <w:rPr>
          <w:rFonts w:cstheme="majorHAnsi"/>
        </w:rPr>
        <w:br w:type="page"/>
      </w:r>
    </w:p>
    <w:p w14:paraId="2E3BAB8B" w14:textId="1998C71C" w:rsidR="0087313A" w:rsidRPr="007614D8" w:rsidRDefault="0087313A" w:rsidP="00F36D2E">
      <w:pPr>
        <w:pStyle w:val="Titre"/>
        <w:numPr>
          <w:ilvl w:val="0"/>
          <w:numId w:val="2"/>
        </w:numPr>
        <w:shd w:val="clear" w:color="auto" w:fill="C5E0B3" w:themeFill="accent6" w:themeFillTint="66"/>
        <w:spacing w:before="240"/>
        <w:rPr>
          <w:rFonts w:cstheme="majorHAnsi"/>
        </w:rPr>
      </w:pPr>
      <w:r w:rsidRPr="007614D8">
        <w:rPr>
          <w:rFonts w:cstheme="majorHAnsi"/>
        </w:rPr>
        <w:lastRenderedPageBreak/>
        <w:t>Examen, analyse et classement des offres</w:t>
      </w:r>
      <w:bookmarkEnd w:id="57"/>
      <w:bookmarkEnd w:id="58"/>
    </w:p>
    <w:p w14:paraId="627F0DBA" w14:textId="2F5783A3" w:rsidR="0087313A" w:rsidRDefault="0087313A" w:rsidP="00F36D2E">
      <w:pPr>
        <w:pStyle w:val="TEXTE"/>
        <w:rPr>
          <w:szCs w:val="22"/>
        </w:rPr>
      </w:pPr>
      <w:r w:rsidRPr="00F36D2E">
        <w:rPr>
          <w:szCs w:val="22"/>
        </w:rPr>
        <w:t xml:space="preserve">L’analyse des offres sera effectuée à partir des critères suivants pondérés : </w:t>
      </w:r>
    </w:p>
    <w:tbl>
      <w:tblPr>
        <w:tblStyle w:val="Grilledutableau"/>
        <w:tblW w:w="9923" w:type="dxa"/>
        <w:tblInd w:w="-289" w:type="dxa"/>
        <w:tblLook w:val="04A0" w:firstRow="1" w:lastRow="0" w:firstColumn="1" w:lastColumn="0" w:noHBand="0" w:noVBand="1"/>
      </w:tblPr>
      <w:tblGrid>
        <w:gridCol w:w="7931"/>
        <w:gridCol w:w="1992"/>
      </w:tblGrid>
      <w:tr w:rsidR="00F36D2E" w14:paraId="205C9003" w14:textId="77777777" w:rsidTr="00D47A8E">
        <w:trPr>
          <w:trHeight w:val="250"/>
        </w:trPr>
        <w:tc>
          <w:tcPr>
            <w:tcW w:w="7931" w:type="dxa"/>
          </w:tcPr>
          <w:p w14:paraId="23668A25" w14:textId="77777777" w:rsidR="00F36D2E" w:rsidRDefault="00F36D2E" w:rsidP="003F58F7">
            <w:pPr>
              <w:spacing w:before="120" w:after="120"/>
              <w:jc w:val="center"/>
              <w:rPr>
                <w:rFonts w:ascii="Calibri Light" w:hAnsi="Calibri Light" w:cs="Calibri Light"/>
                <w:b/>
                <w:sz w:val="24"/>
                <w:szCs w:val="22"/>
                <w:u w:val="single"/>
              </w:rPr>
            </w:pPr>
            <w:r w:rsidRPr="00010EE3">
              <w:rPr>
                <w:rFonts w:ascii="Calibri Light" w:hAnsi="Calibri Light" w:cs="Calibri Light"/>
                <w:b/>
                <w:bCs/>
                <w:sz w:val="22"/>
                <w:szCs w:val="22"/>
              </w:rPr>
              <w:t>CRITERES</w:t>
            </w:r>
          </w:p>
        </w:tc>
        <w:tc>
          <w:tcPr>
            <w:tcW w:w="1992" w:type="dxa"/>
            <w:vAlign w:val="center"/>
          </w:tcPr>
          <w:p w14:paraId="2FCE81F6" w14:textId="77777777" w:rsidR="00F36D2E" w:rsidRDefault="00F36D2E" w:rsidP="003F58F7">
            <w:pPr>
              <w:spacing w:before="120" w:after="120"/>
              <w:jc w:val="both"/>
              <w:rPr>
                <w:rFonts w:ascii="Calibri Light" w:hAnsi="Calibri Light" w:cs="Calibri Light"/>
                <w:b/>
                <w:sz w:val="24"/>
                <w:szCs w:val="22"/>
                <w:u w:val="single"/>
              </w:rPr>
            </w:pPr>
            <w:r w:rsidRPr="00010EE3">
              <w:rPr>
                <w:rFonts w:ascii="Calibri Light" w:hAnsi="Calibri Light" w:cs="Calibri Light"/>
                <w:b/>
                <w:bCs/>
                <w:sz w:val="22"/>
                <w:szCs w:val="22"/>
              </w:rPr>
              <w:t>PONDERATION</w:t>
            </w:r>
          </w:p>
        </w:tc>
      </w:tr>
      <w:tr w:rsidR="00F36D2E" w14:paraId="3F5C9CCD" w14:textId="77777777" w:rsidTr="00D47A8E">
        <w:tc>
          <w:tcPr>
            <w:tcW w:w="7931" w:type="dxa"/>
          </w:tcPr>
          <w:p w14:paraId="1A0D8E2C" w14:textId="77777777" w:rsidR="00F36D2E" w:rsidRPr="00D339EF" w:rsidRDefault="00F36D2E" w:rsidP="003F58F7">
            <w:pPr>
              <w:jc w:val="both"/>
              <w:rPr>
                <w:rFonts w:ascii="Calibri Light" w:hAnsi="Calibri Light" w:cs="Calibri Light"/>
                <w:b/>
                <w:bCs/>
                <w:szCs w:val="22"/>
                <w:u w:val="single"/>
              </w:rPr>
            </w:pPr>
            <w:r w:rsidRPr="00D339EF">
              <w:rPr>
                <w:rFonts w:ascii="Calibri Light" w:hAnsi="Calibri Light" w:cs="Calibri Light"/>
                <w:b/>
                <w:bCs/>
                <w:szCs w:val="22"/>
                <w:u w:val="single"/>
              </w:rPr>
              <w:t xml:space="preserve">1 – Prix </w:t>
            </w:r>
          </w:p>
          <w:p w14:paraId="1513E19D" w14:textId="77777777" w:rsidR="00F36D2E" w:rsidRPr="00010EE3" w:rsidRDefault="00F36D2E" w:rsidP="003F58F7">
            <w:pPr>
              <w:spacing w:before="120"/>
              <w:jc w:val="both"/>
              <w:rPr>
                <w:rFonts w:ascii="Calibri Light" w:hAnsi="Calibri Light" w:cs="Calibri Light"/>
              </w:rPr>
            </w:pPr>
            <w:r w:rsidRPr="00010EE3">
              <w:rPr>
                <w:rFonts w:ascii="Calibri Light" w:hAnsi="Calibri Light" w:cs="Calibri Light"/>
              </w:rPr>
              <w:t>Le Prix de la prestation sera jugé de la manière suivante :</w:t>
            </w:r>
          </w:p>
          <w:p w14:paraId="36C2FD48" w14:textId="77777777" w:rsidR="00F36D2E" w:rsidRPr="00680481" w:rsidRDefault="007D5E19" w:rsidP="003F58F7">
            <w:pPr>
              <w:spacing w:before="60"/>
              <w:jc w:val="center"/>
              <w:rPr>
                <w:rFonts w:ascii="Calibri Light" w:hAnsi="Calibri Light"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prix du DQE TTC le plus bas de tous les candidats</m:t>
                    </m:r>
                  </m:num>
                  <m:den>
                    <m:r>
                      <m:rPr>
                        <m:sty m:val="bi"/>
                      </m:rPr>
                      <w:rPr>
                        <w:rFonts w:ascii="Cambria Math" w:hAnsi="Cambria Math" w:cs="Calibri Light"/>
                        <w:color w:val="FF0000"/>
                        <w:sz w:val="14"/>
                        <w:szCs w:val="18"/>
                      </w:rPr>
                      <m:t>Total prix du DQE TTC proposé par le candidat</m:t>
                    </m:r>
                  </m:den>
                </m:f>
                <m:r>
                  <m:rPr>
                    <m:sty m:val="bi"/>
                  </m:rPr>
                  <w:rPr>
                    <w:rFonts w:ascii="Cambria Math" w:hAnsi="Cambria Math" w:cs="Calibri Light"/>
                    <w:color w:val="FF0000"/>
                    <w:sz w:val="14"/>
                    <w:szCs w:val="18"/>
                  </w:rPr>
                  <m:t>×le poids du sous critère</m:t>
                </m:r>
              </m:oMath>
            </m:oMathPara>
          </w:p>
          <w:p w14:paraId="717B844D" w14:textId="77777777" w:rsidR="00F36D2E" w:rsidRPr="00680481" w:rsidRDefault="00F36D2E" w:rsidP="003F58F7">
            <w:pPr>
              <w:spacing w:before="60"/>
              <w:jc w:val="both"/>
              <w:rPr>
                <w:rFonts w:ascii="Calibri Light" w:hAnsi="Calibri Light" w:cs="Calibri Light"/>
                <w:sz w:val="18"/>
              </w:rPr>
            </w:pPr>
          </w:p>
        </w:tc>
        <w:tc>
          <w:tcPr>
            <w:tcW w:w="1992" w:type="dxa"/>
          </w:tcPr>
          <w:p w14:paraId="2A8F7350" w14:textId="29728D4B" w:rsidR="00F36D2E" w:rsidRPr="00010EE3" w:rsidRDefault="003F58F7" w:rsidP="003F58F7">
            <w:pPr>
              <w:spacing w:before="120"/>
              <w:jc w:val="center"/>
              <w:rPr>
                <w:rFonts w:ascii="Calibri Light" w:hAnsi="Calibri Light" w:cs="Calibri Light"/>
                <w:i/>
              </w:rPr>
            </w:pPr>
            <w:r>
              <w:rPr>
                <w:rFonts w:ascii="Calibri Light" w:hAnsi="Calibri Light" w:cs="Calibri Light"/>
                <w:b/>
                <w:sz w:val="22"/>
                <w:szCs w:val="22"/>
              </w:rPr>
              <w:t>40</w:t>
            </w:r>
            <w:r w:rsidR="00F36D2E">
              <w:rPr>
                <w:rFonts w:ascii="Calibri Light" w:hAnsi="Calibri Light" w:cs="Calibri Light"/>
                <w:b/>
                <w:sz w:val="22"/>
                <w:szCs w:val="22"/>
              </w:rPr>
              <w:t>%</w:t>
            </w:r>
          </w:p>
          <w:p w14:paraId="5C4788EC" w14:textId="77777777" w:rsidR="00F36D2E" w:rsidRDefault="00F36D2E" w:rsidP="003F58F7">
            <w:pPr>
              <w:spacing w:before="120" w:after="120"/>
              <w:jc w:val="both"/>
              <w:rPr>
                <w:rFonts w:ascii="Calibri Light" w:hAnsi="Calibri Light" w:cs="Calibri Light"/>
                <w:b/>
                <w:sz w:val="24"/>
                <w:szCs w:val="22"/>
                <w:u w:val="single"/>
              </w:rPr>
            </w:pPr>
          </w:p>
        </w:tc>
      </w:tr>
      <w:tr w:rsidR="00F36D2E" w14:paraId="76BF5564" w14:textId="77777777" w:rsidTr="00D47A8E">
        <w:tc>
          <w:tcPr>
            <w:tcW w:w="7931" w:type="dxa"/>
          </w:tcPr>
          <w:p w14:paraId="5EF840DC" w14:textId="77777777" w:rsidR="00F36D2E" w:rsidRPr="00D339EF" w:rsidRDefault="00F36D2E" w:rsidP="003F58F7">
            <w:pPr>
              <w:jc w:val="both"/>
              <w:rPr>
                <w:rFonts w:ascii="Calibri Light" w:hAnsi="Calibri Light" w:cs="Calibri Light"/>
                <w:b/>
                <w:bCs/>
                <w:szCs w:val="22"/>
                <w:u w:val="single"/>
              </w:rPr>
            </w:pPr>
            <w:r w:rsidRPr="00D339EF">
              <w:rPr>
                <w:rFonts w:ascii="Calibri Light" w:hAnsi="Calibri Light" w:cs="Calibri Light"/>
                <w:b/>
                <w:bCs/>
                <w:szCs w:val="22"/>
                <w:u w:val="single"/>
              </w:rPr>
              <w:t>2 – Valeur technique de l’offre</w:t>
            </w:r>
          </w:p>
          <w:p w14:paraId="74DD1056" w14:textId="6944ED1D" w:rsidR="00F36D2E" w:rsidRPr="009A27AF" w:rsidRDefault="00F36D2E" w:rsidP="003F58F7">
            <w:pPr>
              <w:pStyle w:val="TEXTE"/>
              <w:rPr>
                <w:b/>
                <w:i/>
                <w:sz w:val="20"/>
              </w:rPr>
            </w:pPr>
            <w:r w:rsidRPr="009A27AF">
              <w:rPr>
                <w:b/>
                <w:i/>
                <w:sz w:val="20"/>
              </w:rPr>
              <w:t xml:space="preserve">Sous critère 1 : </w:t>
            </w:r>
            <w:r w:rsidR="005D48FA" w:rsidRPr="005D48FA">
              <w:rPr>
                <w:b/>
                <w:i/>
                <w:sz w:val="20"/>
              </w:rPr>
              <w:t>Qualité des matériaux proposés</w:t>
            </w:r>
          </w:p>
          <w:p w14:paraId="5FC899F8" w14:textId="301F7F6F" w:rsidR="00F36D2E" w:rsidRDefault="00F36D2E" w:rsidP="005D48FA">
            <w:pPr>
              <w:pStyle w:val="TEXTE"/>
              <w:rPr>
                <w:b/>
                <w:i/>
                <w:sz w:val="20"/>
              </w:rPr>
            </w:pPr>
            <w:r w:rsidRPr="009A27AF">
              <w:rPr>
                <w:b/>
                <w:i/>
                <w:sz w:val="20"/>
              </w:rPr>
              <w:t xml:space="preserve">Sous critère 2 : </w:t>
            </w:r>
            <w:r w:rsidR="005D48FA" w:rsidRPr="005D48FA">
              <w:rPr>
                <w:b/>
                <w:i/>
                <w:sz w:val="20"/>
              </w:rPr>
              <w:t>Moyens huma</w:t>
            </w:r>
            <w:r w:rsidR="005D48FA">
              <w:rPr>
                <w:b/>
                <w:i/>
                <w:sz w:val="20"/>
              </w:rPr>
              <w:t xml:space="preserve">ins et techniques mis en œuvre </w:t>
            </w:r>
            <w:r w:rsidR="005D48FA" w:rsidRPr="005D48FA">
              <w:rPr>
                <w:b/>
                <w:i/>
                <w:sz w:val="20"/>
              </w:rPr>
              <w:t>pour exécuter la prestation</w:t>
            </w:r>
          </w:p>
          <w:p w14:paraId="2DC79A22" w14:textId="77777777" w:rsidR="00F36D2E" w:rsidRPr="00D339EF" w:rsidRDefault="00F36D2E" w:rsidP="003F58F7">
            <w:pPr>
              <w:pStyle w:val="TEXTE"/>
              <w:rPr>
                <w:sz w:val="20"/>
              </w:rPr>
            </w:pPr>
            <w:r w:rsidRPr="00D339EF">
              <w:rPr>
                <w:sz w:val="20"/>
              </w:rPr>
              <w:t xml:space="preserve">Le critère 2 se décompose </w:t>
            </w:r>
            <w:r w:rsidRPr="0051509A">
              <w:rPr>
                <w:sz w:val="20"/>
              </w:rPr>
              <w:t xml:space="preserve">en </w:t>
            </w:r>
            <w:r>
              <w:rPr>
                <w:sz w:val="20"/>
              </w:rPr>
              <w:t>2</w:t>
            </w:r>
            <w:r w:rsidRPr="00D339EF">
              <w:rPr>
                <w:sz w:val="20"/>
              </w:rPr>
              <w:t xml:space="preserve"> sous critères : une note sur 5 sera attribuée aux candidats pour chaque sous critère : </w:t>
            </w:r>
          </w:p>
          <w:p w14:paraId="5D70D86D" w14:textId="77777777" w:rsidR="00F36D2E" w:rsidRPr="00D339EF" w:rsidRDefault="00F36D2E" w:rsidP="003F58F7">
            <w:pPr>
              <w:pStyle w:val="TEXTE"/>
              <w:rPr>
                <w:sz w:val="20"/>
              </w:rPr>
            </w:pPr>
            <w:r w:rsidRPr="00D339EF">
              <w:rPr>
                <w:sz w:val="20"/>
              </w:rPr>
              <w:t xml:space="preserve">1 : Insuffisant </w:t>
            </w:r>
            <w:r>
              <w:rPr>
                <w:sz w:val="20"/>
              </w:rPr>
              <w:t xml:space="preserve">                          </w:t>
            </w:r>
            <w:r w:rsidRPr="00D339EF">
              <w:rPr>
                <w:sz w:val="20"/>
              </w:rPr>
              <w:t xml:space="preserve">4 : Satisfaisant </w:t>
            </w:r>
          </w:p>
          <w:p w14:paraId="4D2BB1C7" w14:textId="77777777" w:rsidR="00F36D2E" w:rsidRPr="00D339EF" w:rsidRDefault="00F36D2E" w:rsidP="003F58F7">
            <w:pPr>
              <w:pStyle w:val="TEXTE"/>
              <w:rPr>
                <w:sz w:val="20"/>
              </w:rPr>
            </w:pPr>
            <w:r w:rsidRPr="00D339EF">
              <w:rPr>
                <w:sz w:val="20"/>
              </w:rPr>
              <w:t xml:space="preserve">2: Peu satisfaisant </w:t>
            </w:r>
            <w:r>
              <w:rPr>
                <w:sz w:val="20"/>
              </w:rPr>
              <w:t xml:space="preserve">                  </w:t>
            </w:r>
            <w:r w:rsidRPr="00D339EF">
              <w:rPr>
                <w:sz w:val="20"/>
              </w:rPr>
              <w:t xml:space="preserve">5 : Très Satisfaisant </w:t>
            </w:r>
          </w:p>
          <w:p w14:paraId="204FF384" w14:textId="77777777" w:rsidR="00F36D2E" w:rsidRPr="00D339EF" w:rsidRDefault="00F36D2E" w:rsidP="003F58F7">
            <w:pPr>
              <w:pStyle w:val="TEXTE"/>
              <w:rPr>
                <w:sz w:val="20"/>
              </w:rPr>
            </w:pPr>
            <w:r w:rsidRPr="00D339EF">
              <w:rPr>
                <w:sz w:val="20"/>
              </w:rPr>
              <w:t xml:space="preserve">3: Acceptable </w:t>
            </w:r>
          </w:p>
          <w:p w14:paraId="363DC8B9" w14:textId="77777777" w:rsidR="00F36D2E" w:rsidRPr="00D339EF" w:rsidRDefault="00F36D2E" w:rsidP="003F58F7">
            <w:pPr>
              <w:pStyle w:val="TEXTE"/>
              <w:rPr>
                <w:sz w:val="20"/>
                <w:u w:val="single"/>
              </w:rPr>
            </w:pPr>
            <w:r w:rsidRPr="00D339EF">
              <w:rPr>
                <w:sz w:val="20"/>
                <w:u w:val="single"/>
              </w:rPr>
              <w:t xml:space="preserve">Notation : </w:t>
            </w:r>
          </w:p>
          <w:p w14:paraId="7B4A3CC4" w14:textId="77777777" w:rsidR="00F36D2E" w:rsidRPr="00D339EF" w:rsidRDefault="00F36D2E" w:rsidP="003F58F7">
            <w:pPr>
              <w:pStyle w:val="TEXTE"/>
              <w:rPr>
                <w:sz w:val="20"/>
              </w:rPr>
            </w:pPr>
            <w:r w:rsidRPr="00D339EF">
              <w:rPr>
                <w:sz w:val="20"/>
              </w:rPr>
              <w:t xml:space="preserve">Les notes des sous critères sont attribuées et pondérées de la façon suivante : </w:t>
            </w:r>
          </w:p>
          <w:p w14:paraId="6A0A2A0E" w14:textId="62684EF4" w:rsidR="00F36D2E" w:rsidRPr="00D339EF" w:rsidRDefault="007D5E19" w:rsidP="003F58F7">
            <w:pPr>
              <w:pStyle w:val="TEXTE"/>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obtenue par le candidat</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sous critère</m:t>
                </m:r>
              </m:oMath>
            </m:oMathPara>
          </w:p>
          <w:p w14:paraId="22FC48DC" w14:textId="77777777" w:rsidR="00F36D2E" w:rsidRDefault="00F36D2E" w:rsidP="003F58F7">
            <w:pPr>
              <w:pStyle w:val="TEXTE"/>
              <w:rPr>
                <w:sz w:val="20"/>
              </w:rPr>
            </w:pPr>
            <w:r w:rsidRPr="00D339EF">
              <w:rPr>
                <w:sz w:val="20"/>
              </w:rPr>
              <w:t xml:space="preserve">La note finale du critère 2 est attribuée et pondérée de la façon suivante : </w:t>
            </w:r>
          </w:p>
          <w:p w14:paraId="4383D75E" w14:textId="7744E39C" w:rsidR="00F36D2E" w:rsidRPr="00D339EF" w:rsidRDefault="007D5E19" w:rsidP="003F58F7">
            <w:pPr>
              <w:pStyle w:val="TEXTE"/>
              <w:rPr>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critère</m:t>
                </m:r>
              </m:oMath>
            </m:oMathPara>
          </w:p>
          <w:p w14:paraId="33EA1AE0" w14:textId="77777777" w:rsidR="00F36D2E" w:rsidRPr="00D339EF" w:rsidRDefault="00F36D2E" w:rsidP="003F58F7">
            <w:pPr>
              <w:pStyle w:val="TEXTE"/>
              <w:rPr>
                <w:b/>
                <w:color w:val="FF0000"/>
                <w:sz w:val="20"/>
              </w:rPr>
            </w:pPr>
          </w:p>
        </w:tc>
        <w:tc>
          <w:tcPr>
            <w:tcW w:w="1992" w:type="dxa"/>
          </w:tcPr>
          <w:p w14:paraId="3715C22A" w14:textId="72B34E79" w:rsidR="00F36D2E" w:rsidRDefault="003F58F7" w:rsidP="003F58F7">
            <w:pPr>
              <w:jc w:val="center"/>
              <w:rPr>
                <w:rFonts w:ascii="Calibri Light" w:hAnsi="Calibri Light" w:cs="Calibri Light"/>
                <w:b/>
                <w:sz w:val="22"/>
                <w:szCs w:val="22"/>
              </w:rPr>
            </w:pPr>
            <w:r>
              <w:rPr>
                <w:rFonts w:ascii="Calibri Light" w:hAnsi="Calibri Light" w:cs="Calibri Light"/>
                <w:b/>
                <w:sz w:val="22"/>
                <w:szCs w:val="22"/>
              </w:rPr>
              <w:t>30</w:t>
            </w:r>
            <w:r w:rsidR="00F36D2E" w:rsidRPr="00C247D6">
              <w:rPr>
                <w:rFonts w:ascii="Calibri Light" w:hAnsi="Calibri Light" w:cs="Calibri Light"/>
                <w:b/>
                <w:sz w:val="22"/>
                <w:szCs w:val="22"/>
              </w:rPr>
              <w:t>%</w:t>
            </w:r>
          </w:p>
          <w:p w14:paraId="58C6A756" w14:textId="7DCD47F2" w:rsidR="00F36D2E" w:rsidRPr="00010EE3" w:rsidRDefault="00D47A8E" w:rsidP="003F58F7">
            <w:pPr>
              <w:spacing w:before="120"/>
              <w:jc w:val="center"/>
              <w:rPr>
                <w:rFonts w:ascii="Calibri Light" w:hAnsi="Calibri Light" w:cs="Calibri Light"/>
                <w:i/>
              </w:rPr>
            </w:pPr>
            <w:r>
              <w:rPr>
                <w:rFonts w:ascii="Calibri Light" w:hAnsi="Calibri Light" w:cs="Calibri Light"/>
                <w:i/>
              </w:rPr>
              <w:t>5</w:t>
            </w:r>
            <w:r w:rsidR="00F36D2E">
              <w:rPr>
                <w:rFonts w:ascii="Calibri Light" w:hAnsi="Calibri Light" w:cs="Calibri Light"/>
                <w:i/>
              </w:rPr>
              <w:t>0%</w:t>
            </w:r>
          </w:p>
          <w:p w14:paraId="580E8587" w14:textId="5D5284CA" w:rsidR="00F36D2E" w:rsidRDefault="00D47A8E" w:rsidP="003F58F7">
            <w:pPr>
              <w:spacing w:before="120"/>
              <w:jc w:val="center"/>
              <w:rPr>
                <w:rFonts w:ascii="Calibri Light" w:hAnsi="Calibri Light" w:cs="Calibri Light"/>
                <w:i/>
              </w:rPr>
            </w:pPr>
            <w:r>
              <w:rPr>
                <w:rFonts w:ascii="Calibri Light" w:hAnsi="Calibri Light" w:cs="Calibri Light"/>
                <w:i/>
              </w:rPr>
              <w:t>5</w:t>
            </w:r>
            <w:r w:rsidR="00F36D2E">
              <w:rPr>
                <w:rFonts w:ascii="Calibri Light" w:hAnsi="Calibri Light" w:cs="Calibri Light"/>
                <w:i/>
              </w:rPr>
              <w:t>0%</w:t>
            </w:r>
          </w:p>
          <w:p w14:paraId="40256C7A" w14:textId="77777777" w:rsidR="00F36D2E" w:rsidRDefault="00F36D2E" w:rsidP="003F58F7">
            <w:pPr>
              <w:jc w:val="center"/>
              <w:rPr>
                <w:rFonts w:ascii="Calibri Light" w:hAnsi="Calibri Light" w:cs="Calibri Light"/>
                <w:b/>
                <w:sz w:val="24"/>
                <w:szCs w:val="22"/>
                <w:u w:val="single"/>
              </w:rPr>
            </w:pPr>
          </w:p>
        </w:tc>
      </w:tr>
      <w:tr w:rsidR="003F58F7" w14:paraId="52ED9926" w14:textId="77777777" w:rsidTr="00D47A8E">
        <w:tc>
          <w:tcPr>
            <w:tcW w:w="7931" w:type="dxa"/>
          </w:tcPr>
          <w:p w14:paraId="5936110F" w14:textId="4D49181F" w:rsidR="003F58F7" w:rsidRDefault="00D47A8E" w:rsidP="005D48FA">
            <w:pPr>
              <w:jc w:val="both"/>
              <w:rPr>
                <w:rFonts w:ascii="Calibri Light" w:hAnsi="Calibri Light" w:cs="Calibri Light"/>
                <w:b/>
                <w:bCs/>
                <w:szCs w:val="22"/>
                <w:u w:val="single"/>
              </w:rPr>
            </w:pPr>
            <w:r>
              <w:rPr>
                <w:rFonts w:ascii="Calibri Light" w:hAnsi="Calibri Light" w:cs="Calibri Light"/>
                <w:b/>
                <w:bCs/>
                <w:szCs w:val="22"/>
                <w:u w:val="single"/>
              </w:rPr>
              <w:t>3- Organisation</w:t>
            </w:r>
          </w:p>
          <w:p w14:paraId="7F4C36F0" w14:textId="0DBC4F70" w:rsidR="003F58F7" w:rsidRPr="009A27AF" w:rsidRDefault="003F58F7" w:rsidP="003F58F7">
            <w:pPr>
              <w:pStyle w:val="TEXTE"/>
              <w:rPr>
                <w:b/>
                <w:i/>
                <w:sz w:val="20"/>
              </w:rPr>
            </w:pPr>
            <w:r w:rsidRPr="009A27AF">
              <w:rPr>
                <w:b/>
                <w:i/>
                <w:sz w:val="20"/>
              </w:rPr>
              <w:t xml:space="preserve">Sous critère 1 : </w:t>
            </w:r>
            <w:r w:rsidR="00D47A8E" w:rsidRPr="00D47A8E">
              <w:rPr>
                <w:b/>
                <w:i/>
                <w:sz w:val="20"/>
              </w:rPr>
              <w:t>Processus d’intervention</w:t>
            </w:r>
          </w:p>
          <w:p w14:paraId="3D0961A4" w14:textId="7D6642AB" w:rsidR="003F58F7" w:rsidRDefault="003F58F7" w:rsidP="003F58F7">
            <w:pPr>
              <w:pStyle w:val="TEXTE"/>
              <w:rPr>
                <w:b/>
                <w:i/>
                <w:sz w:val="20"/>
              </w:rPr>
            </w:pPr>
            <w:r w:rsidRPr="009A27AF">
              <w:rPr>
                <w:b/>
                <w:i/>
                <w:sz w:val="20"/>
              </w:rPr>
              <w:t xml:space="preserve">Sous critère 2 : </w:t>
            </w:r>
            <w:r w:rsidR="00D47A8E">
              <w:rPr>
                <w:b/>
                <w:i/>
                <w:sz w:val="20"/>
              </w:rPr>
              <w:t>Délais</w:t>
            </w:r>
          </w:p>
          <w:p w14:paraId="0F2F30C3" w14:textId="426D26C5" w:rsidR="003F58F7" w:rsidRPr="00D339EF" w:rsidRDefault="003F58F7" w:rsidP="003F58F7">
            <w:pPr>
              <w:pStyle w:val="TEXTE"/>
              <w:rPr>
                <w:sz w:val="20"/>
              </w:rPr>
            </w:pPr>
            <w:r>
              <w:rPr>
                <w:sz w:val="20"/>
              </w:rPr>
              <w:t>Le critère 3</w:t>
            </w:r>
            <w:r w:rsidRPr="00D339EF">
              <w:rPr>
                <w:sz w:val="20"/>
              </w:rPr>
              <w:t xml:space="preserve"> se décompose </w:t>
            </w:r>
            <w:r w:rsidRPr="0051509A">
              <w:rPr>
                <w:sz w:val="20"/>
              </w:rPr>
              <w:t xml:space="preserve">en </w:t>
            </w:r>
            <w:r>
              <w:rPr>
                <w:sz w:val="20"/>
              </w:rPr>
              <w:t>2</w:t>
            </w:r>
            <w:r w:rsidRPr="00D339EF">
              <w:rPr>
                <w:sz w:val="20"/>
              </w:rPr>
              <w:t xml:space="preserve"> sous critères : une note sur 5 sera attribuée aux candidats pour chaque sous critère : </w:t>
            </w:r>
          </w:p>
          <w:p w14:paraId="206E6ED3" w14:textId="77777777" w:rsidR="003F58F7" w:rsidRPr="00D339EF" w:rsidRDefault="003F58F7" w:rsidP="003F58F7">
            <w:pPr>
              <w:pStyle w:val="TEXTE"/>
              <w:rPr>
                <w:sz w:val="20"/>
              </w:rPr>
            </w:pPr>
            <w:r w:rsidRPr="00D339EF">
              <w:rPr>
                <w:sz w:val="20"/>
              </w:rPr>
              <w:t xml:space="preserve">1 : Insuffisant </w:t>
            </w:r>
            <w:r>
              <w:rPr>
                <w:sz w:val="20"/>
              </w:rPr>
              <w:t xml:space="preserve">                          </w:t>
            </w:r>
            <w:r w:rsidRPr="00D339EF">
              <w:rPr>
                <w:sz w:val="20"/>
              </w:rPr>
              <w:t xml:space="preserve">4 : Satisfaisant </w:t>
            </w:r>
          </w:p>
          <w:p w14:paraId="479E6127" w14:textId="77777777" w:rsidR="003F58F7" w:rsidRPr="00D339EF" w:rsidRDefault="003F58F7" w:rsidP="003F58F7">
            <w:pPr>
              <w:pStyle w:val="TEXTE"/>
              <w:rPr>
                <w:sz w:val="20"/>
              </w:rPr>
            </w:pPr>
            <w:r w:rsidRPr="00D339EF">
              <w:rPr>
                <w:sz w:val="20"/>
              </w:rPr>
              <w:t xml:space="preserve">2: Peu satisfaisant </w:t>
            </w:r>
            <w:r>
              <w:rPr>
                <w:sz w:val="20"/>
              </w:rPr>
              <w:t xml:space="preserve">                  </w:t>
            </w:r>
            <w:r w:rsidRPr="00D339EF">
              <w:rPr>
                <w:sz w:val="20"/>
              </w:rPr>
              <w:t xml:space="preserve">5 : Très Satisfaisant </w:t>
            </w:r>
          </w:p>
          <w:p w14:paraId="22020078" w14:textId="77777777" w:rsidR="003F58F7" w:rsidRPr="00D339EF" w:rsidRDefault="003F58F7" w:rsidP="003F58F7">
            <w:pPr>
              <w:pStyle w:val="TEXTE"/>
              <w:rPr>
                <w:sz w:val="20"/>
              </w:rPr>
            </w:pPr>
            <w:r w:rsidRPr="00D339EF">
              <w:rPr>
                <w:sz w:val="20"/>
              </w:rPr>
              <w:t xml:space="preserve">3: Acceptable </w:t>
            </w:r>
          </w:p>
          <w:p w14:paraId="41D8B344" w14:textId="77777777" w:rsidR="003F58F7" w:rsidRPr="00D339EF" w:rsidRDefault="003F58F7" w:rsidP="003F58F7">
            <w:pPr>
              <w:pStyle w:val="TEXTE"/>
              <w:rPr>
                <w:sz w:val="20"/>
                <w:u w:val="single"/>
              </w:rPr>
            </w:pPr>
            <w:r w:rsidRPr="00D339EF">
              <w:rPr>
                <w:sz w:val="20"/>
                <w:u w:val="single"/>
              </w:rPr>
              <w:t xml:space="preserve">Notation : </w:t>
            </w:r>
          </w:p>
          <w:p w14:paraId="31620FF8" w14:textId="77777777" w:rsidR="003F58F7" w:rsidRPr="00D339EF" w:rsidRDefault="003F58F7" w:rsidP="003F58F7">
            <w:pPr>
              <w:pStyle w:val="TEXTE"/>
              <w:rPr>
                <w:sz w:val="20"/>
              </w:rPr>
            </w:pPr>
            <w:r w:rsidRPr="00D339EF">
              <w:rPr>
                <w:sz w:val="20"/>
              </w:rPr>
              <w:t xml:space="preserve">Les notes des sous critères sont attribuées et pondérées de la façon suivante : </w:t>
            </w:r>
          </w:p>
          <w:p w14:paraId="1A0B75E3" w14:textId="5757C15F" w:rsidR="003F58F7" w:rsidRPr="00D339EF" w:rsidRDefault="007D5E19" w:rsidP="003F58F7">
            <w:pPr>
              <w:pStyle w:val="TEXTE"/>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obtenue par le candidat</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sous critère</m:t>
                </m:r>
              </m:oMath>
            </m:oMathPara>
          </w:p>
          <w:p w14:paraId="44B6424F" w14:textId="51F1D531" w:rsidR="003F58F7" w:rsidRDefault="003F58F7" w:rsidP="003F58F7">
            <w:pPr>
              <w:pStyle w:val="TEXTE"/>
              <w:rPr>
                <w:sz w:val="20"/>
              </w:rPr>
            </w:pPr>
            <w:r w:rsidRPr="00D339EF">
              <w:rPr>
                <w:sz w:val="20"/>
              </w:rPr>
              <w:t xml:space="preserve">La note finale du critère </w:t>
            </w:r>
            <w:r w:rsidR="00CD1978">
              <w:rPr>
                <w:sz w:val="20"/>
              </w:rPr>
              <w:t>3</w:t>
            </w:r>
            <w:r w:rsidRPr="00D339EF">
              <w:rPr>
                <w:sz w:val="20"/>
              </w:rPr>
              <w:t xml:space="preserve"> est attribuée et pondérée de la façon suivante : </w:t>
            </w:r>
          </w:p>
          <w:p w14:paraId="06B2F2FF" w14:textId="69EB7956" w:rsidR="003F58F7" w:rsidRPr="00D47A8E" w:rsidRDefault="007D5E19" w:rsidP="003F58F7">
            <w:pPr>
              <w:pStyle w:val="TEXTE"/>
              <w:rPr>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critère</m:t>
                </m:r>
              </m:oMath>
            </m:oMathPara>
          </w:p>
          <w:p w14:paraId="035E6A9F" w14:textId="684869A2" w:rsidR="003F58F7" w:rsidRDefault="003F58F7" w:rsidP="005D48FA">
            <w:pPr>
              <w:jc w:val="both"/>
              <w:rPr>
                <w:rFonts w:ascii="Calibri Light" w:hAnsi="Calibri Light" w:cs="Calibri Light"/>
                <w:b/>
                <w:bCs/>
                <w:szCs w:val="22"/>
                <w:u w:val="single"/>
              </w:rPr>
            </w:pPr>
          </w:p>
        </w:tc>
        <w:tc>
          <w:tcPr>
            <w:tcW w:w="1992" w:type="dxa"/>
          </w:tcPr>
          <w:p w14:paraId="5F359969" w14:textId="6FEE5CD0" w:rsidR="003F58F7" w:rsidRDefault="00D47A8E" w:rsidP="003F58F7">
            <w:pPr>
              <w:jc w:val="center"/>
              <w:rPr>
                <w:rFonts w:ascii="Calibri Light" w:hAnsi="Calibri Light" w:cs="Calibri Light"/>
                <w:b/>
                <w:sz w:val="22"/>
                <w:szCs w:val="22"/>
              </w:rPr>
            </w:pPr>
            <w:r>
              <w:rPr>
                <w:rFonts w:ascii="Calibri Light" w:hAnsi="Calibri Light" w:cs="Calibri Light"/>
                <w:b/>
                <w:sz w:val="22"/>
                <w:szCs w:val="22"/>
              </w:rPr>
              <w:t>3</w:t>
            </w:r>
            <w:r w:rsidR="003F58F7">
              <w:rPr>
                <w:rFonts w:ascii="Calibri Light" w:hAnsi="Calibri Light" w:cs="Calibri Light"/>
                <w:b/>
                <w:sz w:val="22"/>
                <w:szCs w:val="22"/>
              </w:rPr>
              <w:t>0%</w:t>
            </w:r>
          </w:p>
          <w:p w14:paraId="002226E0" w14:textId="52529713" w:rsidR="002D3E4E" w:rsidRPr="002D3E4E" w:rsidRDefault="00D47A8E" w:rsidP="003F58F7">
            <w:pPr>
              <w:jc w:val="center"/>
              <w:rPr>
                <w:rFonts w:ascii="Calibri Light" w:hAnsi="Calibri Light" w:cs="Calibri Light"/>
                <w:i/>
                <w:sz w:val="22"/>
                <w:szCs w:val="22"/>
              </w:rPr>
            </w:pPr>
            <w:r>
              <w:rPr>
                <w:rFonts w:ascii="Calibri Light" w:hAnsi="Calibri Light" w:cs="Calibri Light"/>
                <w:i/>
                <w:sz w:val="22"/>
                <w:szCs w:val="22"/>
              </w:rPr>
              <w:t>6</w:t>
            </w:r>
            <w:r w:rsidR="002D3E4E" w:rsidRPr="002D3E4E">
              <w:rPr>
                <w:rFonts w:ascii="Calibri Light" w:hAnsi="Calibri Light" w:cs="Calibri Light"/>
                <w:i/>
                <w:sz w:val="22"/>
                <w:szCs w:val="22"/>
              </w:rPr>
              <w:t>0%</w:t>
            </w:r>
          </w:p>
          <w:p w14:paraId="582D0A36" w14:textId="13A6C317" w:rsidR="002D3E4E" w:rsidRDefault="00D47A8E" w:rsidP="003F58F7">
            <w:pPr>
              <w:jc w:val="center"/>
              <w:rPr>
                <w:rFonts w:ascii="Calibri Light" w:hAnsi="Calibri Light" w:cs="Calibri Light"/>
                <w:b/>
                <w:sz w:val="22"/>
                <w:szCs w:val="22"/>
              </w:rPr>
            </w:pPr>
            <w:r>
              <w:rPr>
                <w:rFonts w:ascii="Calibri Light" w:hAnsi="Calibri Light" w:cs="Calibri Light"/>
                <w:i/>
                <w:sz w:val="22"/>
                <w:szCs w:val="22"/>
              </w:rPr>
              <w:t>4</w:t>
            </w:r>
            <w:r w:rsidR="002D3E4E" w:rsidRPr="002D3E4E">
              <w:rPr>
                <w:rFonts w:ascii="Calibri Light" w:hAnsi="Calibri Light" w:cs="Calibri Light"/>
                <w:i/>
                <w:sz w:val="22"/>
                <w:szCs w:val="22"/>
              </w:rPr>
              <w:t>0%</w:t>
            </w:r>
          </w:p>
        </w:tc>
      </w:tr>
    </w:tbl>
    <w:p w14:paraId="50AEBD56" w14:textId="5BD1AA7E" w:rsidR="00F36D2E" w:rsidRDefault="00CD1978" w:rsidP="00F36D2E">
      <w:pPr>
        <w:pStyle w:val="TEXTE"/>
      </w:pPr>
      <w:r>
        <w:t>La</w:t>
      </w:r>
      <w:r w:rsidR="00F36D2E" w:rsidRPr="005B1C4D">
        <w:t xml:space="preserve"> note finale correspondant à </w:t>
      </w:r>
      <w:r w:rsidR="00F36D2E" w:rsidRPr="005B1C4D">
        <w:rPr>
          <w:b/>
          <w:color w:val="FF0000"/>
        </w:rPr>
        <w:t>la somme des notes obtenues par critère</w:t>
      </w:r>
      <w:r w:rsidR="00F36D2E" w:rsidRPr="005B1C4D">
        <w:t xml:space="preserve">. </w:t>
      </w:r>
    </w:p>
    <w:p w14:paraId="1C2FD025" w14:textId="77777777" w:rsidR="0087313A" w:rsidRPr="00E70697" w:rsidRDefault="0087313A" w:rsidP="00E70697">
      <w:pPr>
        <w:pStyle w:val="TEXTE"/>
        <w:rPr>
          <w:szCs w:val="22"/>
        </w:rPr>
      </w:pPr>
      <w:r w:rsidRPr="00E70697">
        <w:rPr>
          <w:szCs w:val="22"/>
        </w:rPr>
        <w:t>Les candidats seront classés par ordre décroissant de la note finale. Le candidat qui aura obtenu la note la plus élevée sera classé en premier.</w:t>
      </w:r>
    </w:p>
    <w:p w14:paraId="32E0603D" w14:textId="77777777" w:rsidR="0087313A" w:rsidRPr="007614D8" w:rsidRDefault="0087313A" w:rsidP="00E70697">
      <w:pPr>
        <w:pStyle w:val="Titre"/>
        <w:numPr>
          <w:ilvl w:val="0"/>
          <w:numId w:val="2"/>
        </w:numPr>
        <w:shd w:val="clear" w:color="auto" w:fill="C5E0B3" w:themeFill="accent6" w:themeFillTint="66"/>
        <w:spacing w:before="240"/>
        <w:rPr>
          <w:rFonts w:cstheme="majorHAnsi"/>
        </w:rPr>
      </w:pPr>
      <w:bookmarkStart w:id="59" w:name="_Toc58841453"/>
      <w:bookmarkStart w:id="60" w:name="_Toc191566858"/>
      <w:r w:rsidRPr="007614D8">
        <w:rPr>
          <w:rFonts w:cstheme="majorHAnsi"/>
        </w:rPr>
        <w:lastRenderedPageBreak/>
        <w:t>Variantes</w:t>
      </w:r>
      <w:bookmarkEnd w:id="59"/>
      <w:bookmarkEnd w:id="60"/>
    </w:p>
    <w:p w14:paraId="64D8CDBD" w14:textId="143E3457" w:rsidR="006F712E" w:rsidRPr="00E70697" w:rsidRDefault="00E70697" w:rsidP="00E70697">
      <w:pPr>
        <w:pStyle w:val="TEXTE"/>
        <w:rPr>
          <w:szCs w:val="22"/>
        </w:rPr>
      </w:pPr>
      <w:r w:rsidRPr="00E70697">
        <w:rPr>
          <w:szCs w:val="22"/>
        </w:rPr>
        <w:t>Sans objet.</w:t>
      </w:r>
    </w:p>
    <w:p w14:paraId="3AE095FC" w14:textId="77777777" w:rsidR="0087313A" w:rsidRPr="007614D8" w:rsidRDefault="0087313A" w:rsidP="00E70697">
      <w:pPr>
        <w:pStyle w:val="Titre"/>
        <w:numPr>
          <w:ilvl w:val="0"/>
          <w:numId w:val="2"/>
        </w:numPr>
        <w:shd w:val="clear" w:color="auto" w:fill="C5E0B3" w:themeFill="accent6" w:themeFillTint="66"/>
        <w:spacing w:before="240"/>
        <w:rPr>
          <w:rFonts w:cstheme="majorHAnsi"/>
        </w:rPr>
      </w:pPr>
      <w:bookmarkStart w:id="61" w:name="_Toc453056650"/>
      <w:bookmarkStart w:id="62" w:name="_Toc3985919"/>
      <w:bookmarkStart w:id="63" w:name="_Toc191566859"/>
      <w:r w:rsidRPr="007614D8">
        <w:rPr>
          <w:rFonts w:cstheme="majorHAnsi"/>
        </w:rPr>
        <w:t>Négociation</w:t>
      </w:r>
      <w:bookmarkEnd w:id="61"/>
      <w:bookmarkEnd w:id="62"/>
      <w:bookmarkEnd w:id="63"/>
    </w:p>
    <w:p w14:paraId="17076FFB" w14:textId="619D2E40" w:rsidR="0087313A" w:rsidRPr="00DA075D" w:rsidRDefault="0087313A" w:rsidP="00DA075D">
      <w:pPr>
        <w:pStyle w:val="TEXTE"/>
        <w:rPr>
          <w:szCs w:val="22"/>
        </w:rPr>
      </w:pPr>
      <w:r w:rsidRPr="00DA075D">
        <w:rPr>
          <w:szCs w:val="22"/>
        </w:rPr>
        <w:t>L’ach</w:t>
      </w:r>
      <w:r w:rsidR="00DA075D" w:rsidRPr="00DA075D">
        <w:rPr>
          <w:szCs w:val="22"/>
        </w:rPr>
        <w:t>eteur engagera des négociations a</w:t>
      </w:r>
      <w:r w:rsidR="00D95846" w:rsidRPr="00DA075D">
        <w:rPr>
          <w:szCs w:val="22"/>
        </w:rPr>
        <w:t>vec</w:t>
      </w:r>
      <w:r w:rsidRPr="00DA075D">
        <w:rPr>
          <w:szCs w:val="22"/>
        </w:rPr>
        <w:t xml:space="preserve"> les candidats qui auront remis une offre dans les délais impartis (y compris une offre irrégulière ou inacceptable</w:t>
      </w:r>
      <w:r w:rsidR="00DA075D" w:rsidRPr="00DA075D">
        <w:rPr>
          <w:szCs w:val="22"/>
        </w:rPr>
        <w:t>)</w:t>
      </w:r>
    </w:p>
    <w:p w14:paraId="4B588917" w14:textId="1182DABA" w:rsidR="0087313A" w:rsidRPr="00DA075D" w:rsidRDefault="0087313A" w:rsidP="00DA075D">
      <w:pPr>
        <w:pStyle w:val="TEXTE"/>
        <w:rPr>
          <w:szCs w:val="22"/>
        </w:rPr>
      </w:pPr>
      <w:r w:rsidRPr="00DA075D">
        <w:rPr>
          <w:szCs w:val="22"/>
        </w:rPr>
        <w:t>Toutefois, En tant que procédure adaptée, l’acheteur se réserve la po</w:t>
      </w:r>
      <w:r w:rsidR="00DA075D" w:rsidRPr="00DA075D">
        <w:rPr>
          <w:szCs w:val="22"/>
        </w:rPr>
        <w:t xml:space="preserve">ssibilité de ne pas engager de </w:t>
      </w:r>
      <w:r w:rsidRPr="00DA075D">
        <w:rPr>
          <w:szCs w:val="22"/>
        </w:rPr>
        <w:t>négociations conformément à l’article R.2123-5 du code de la commande publique.</w:t>
      </w:r>
    </w:p>
    <w:p w14:paraId="2AC27965" w14:textId="63FE8D20" w:rsidR="0087313A" w:rsidRPr="008C3E0D" w:rsidRDefault="0087313A" w:rsidP="00DA075D">
      <w:pPr>
        <w:pStyle w:val="TEXTE"/>
        <w:rPr>
          <w:szCs w:val="22"/>
        </w:rPr>
      </w:pPr>
      <w:r w:rsidRPr="00DA075D">
        <w:rPr>
          <w:szCs w:val="22"/>
        </w:rPr>
        <w:t xml:space="preserve">La négociation portera sur tout objet utile à l’acheteur, sans pouvoir modifier de manière substantielle </w:t>
      </w:r>
      <w:r w:rsidRPr="008C3E0D">
        <w:rPr>
          <w:szCs w:val="22"/>
        </w:rPr>
        <w:t>les conditions initiales du marché public</w:t>
      </w:r>
    </w:p>
    <w:p w14:paraId="611CED4C" w14:textId="79BBE860" w:rsidR="0087313A" w:rsidRPr="008C3E0D" w:rsidRDefault="0087313A" w:rsidP="00DA075D">
      <w:pPr>
        <w:pStyle w:val="TEXTE"/>
        <w:rPr>
          <w:szCs w:val="22"/>
        </w:rPr>
      </w:pPr>
      <w:r w:rsidRPr="008C3E0D">
        <w:rPr>
          <w:szCs w:val="22"/>
        </w:rPr>
        <w:t xml:space="preserve">Les candidats sont informés que la négociation peut être menée sous forme d'entretiens ou via la plate-forme </w:t>
      </w:r>
      <w:hyperlink w:history="1">
        <w:r w:rsidRPr="008C3E0D">
          <w:rPr>
            <w:szCs w:val="22"/>
          </w:rPr>
          <w:t xml:space="preserve">https://www.marches-publics.gouv.fr </w:t>
        </w:r>
      </w:hyperlink>
      <w:r w:rsidRPr="008C3E0D">
        <w:rPr>
          <w:szCs w:val="22"/>
        </w:rPr>
        <w:t>.</w:t>
      </w:r>
    </w:p>
    <w:p w14:paraId="7D582107" w14:textId="72B671E1" w:rsidR="0087313A" w:rsidRPr="00DA075D" w:rsidRDefault="00DA075D" w:rsidP="00DA075D">
      <w:pPr>
        <w:pStyle w:val="TEXTE"/>
        <w:rPr>
          <w:szCs w:val="22"/>
        </w:rPr>
      </w:pPr>
      <w:r w:rsidRPr="008C3E0D">
        <w:rPr>
          <w:szCs w:val="22"/>
        </w:rPr>
        <w:t xml:space="preserve">Les </w:t>
      </w:r>
      <w:r w:rsidR="0087313A" w:rsidRPr="008C3E0D">
        <w:rPr>
          <w:szCs w:val="22"/>
        </w:rPr>
        <w:t>candidats seront informés de la date, de l'heure</w:t>
      </w:r>
      <w:r w:rsidR="0087313A" w:rsidRPr="00DA075D">
        <w:rPr>
          <w:szCs w:val="22"/>
        </w:rPr>
        <w:t xml:space="preserve"> et du lieu des entretiens par écrit (courrier adressé via la plate-forme </w:t>
      </w:r>
      <w:hyperlink w:history="1">
        <w:r w:rsidR="0087313A" w:rsidRPr="00DA075D">
          <w:rPr>
            <w:szCs w:val="22"/>
          </w:rPr>
          <w:t xml:space="preserve">https://www.marches-publics.gouv.fr </w:t>
        </w:r>
      </w:hyperlink>
      <w:r w:rsidR="0087313A" w:rsidRPr="00DA075D">
        <w:rPr>
          <w:szCs w:val="22"/>
        </w:rPr>
        <w:t>).</w:t>
      </w:r>
    </w:p>
    <w:p w14:paraId="38F8004E" w14:textId="745B20C4" w:rsidR="0087313A" w:rsidRPr="00DA075D" w:rsidRDefault="0087313A" w:rsidP="00DA075D">
      <w:pPr>
        <w:pStyle w:val="TEXTE"/>
        <w:rPr>
          <w:szCs w:val="22"/>
        </w:rPr>
      </w:pPr>
      <w:r w:rsidRPr="00DA075D">
        <w:rPr>
          <w:szCs w:val="22"/>
        </w:rPr>
        <w:t xml:space="preserve">Chaque candidat sera représenté par </w:t>
      </w:r>
      <w:r w:rsidR="00DA075D" w:rsidRPr="00DA075D">
        <w:rPr>
          <w:szCs w:val="22"/>
        </w:rPr>
        <w:t>2</w:t>
      </w:r>
      <w:r w:rsidRPr="00DA075D">
        <w:rPr>
          <w:szCs w:val="22"/>
        </w:rPr>
        <w:t xml:space="preserve"> personnes au plus dont une personne habilitée à engager la société. </w:t>
      </w:r>
    </w:p>
    <w:p w14:paraId="1D30866E" w14:textId="77777777" w:rsidR="0087313A" w:rsidRPr="00DA075D" w:rsidRDefault="0087313A" w:rsidP="00DA075D">
      <w:pPr>
        <w:pStyle w:val="TEXTE"/>
        <w:rPr>
          <w:szCs w:val="22"/>
        </w:rPr>
      </w:pPr>
      <w:r w:rsidRPr="00DA075D">
        <w:rPr>
          <w:szCs w:val="22"/>
        </w:rPr>
        <w:t xml:space="preserve">Les dates et heures limites de remise des offres modifiées suite à négociation seront confirmées par écrit de l’acheteur via la plate-forme </w:t>
      </w:r>
      <w:hyperlink w:history="1">
        <w:r w:rsidRPr="00DA075D">
          <w:rPr>
            <w:szCs w:val="22"/>
          </w:rPr>
          <w:t xml:space="preserve">https://www.marches-publics.gouv.fr </w:t>
        </w:r>
      </w:hyperlink>
      <w:r w:rsidRPr="00DA075D">
        <w:rPr>
          <w:szCs w:val="22"/>
        </w:rPr>
        <w:t xml:space="preserve">Les candidats devront renvoyer leur  offre dans les délais impartis sur ce même support. </w:t>
      </w:r>
    </w:p>
    <w:p w14:paraId="69A1F87C" w14:textId="4FC27BCD" w:rsidR="0087313A" w:rsidRPr="00DA075D" w:rsidRDefault="0087313A" w:rsidP="00DA075D">
      <w:pPr>
        <w:pStyle w:val="TEXTE"/>
        <w:rPr>
          <w:szCs w:val="22"/>
        </w:rPr>
      </w:pPr>
      <w:r w:rsidRPr="00DA075D">
        <w:rPr>
          <w:szCs w:val="22"/>
        </w:rPr>
        <w:t xml:space="preserve">Les nouvelles offres seront alors analysées conformément à l'article </w:t>
      </w:r>
      <w:r w:rsidR="00DA075D" w:rsidRPr="00DA075D">
        <w:rPr>
          <w:szCs w:val="22"/>
        </w:rPr>
        <w:t>8</w:t>
      </w:r>
      <w:r w:rsidRPr="00DA075D">
        <w:rPr>
          <w:szCs w:val="22"/>
        </w:rPr>
        <w:t xml:space="preserve"> du règlement de la consultation.</w:t>
      </w:r>
    </w:p>
    <w:p w14:paraId="2E426C58" w14:textId="188C45E3" w:rsidR="0087313A" w:rsidRPr="00DA075D" w:rsidRDefault="00DA075D" w:rsidP="00DA075D">
      <w:pPr>
        <w:pStyle w:val="TEXTE"/>
        <w:rPr>
          <w:szCs w:val="22"/>
        </w:rPr>
      </w:pPr>
      <w:r w:rsidRPr="00DA075D">
        <w:rPr>
          <w:szCs w:val="22"/>
        </w:rPr>
        <w:t>L</w:t>
      </w:r>
      <w:r w:rsidR="0087313A" w:rsidRPr="00DA075D">
        <w:rPr>
          <w:szCs w:val="22"/>
        </w:rPr>
        <w:t xml:space="preserve">es dates et heures limites de remise des nouvelles offres suite à négociation seront confirmées par écrit de l’acheteur via la plate-forme </w:t>
      </w:r>
      <w:hyperlink w:history="1">
        <w:r w:rsidR="0087313A" w:rsidRPr="00DA075D">
          <w:rPr>
            <w:szCs w:val="22"/>
          </w:rPr>
          <w:t xml:space="preserve">https://www.marches-publics.gouv.fr </w:t>
        </w:r>
      </w:hyperlink>
      <w:r w:rsidR="0087313A" w:rsidRPr="00DA075D">
        <w:rPr>
          <w:szCs w:val="22"/>
        </w:rPr>
        <w:t xml:space="preserve">. Les candidats devront renvoyer </w:t>
      </w:r>
      <w:r w:rsidRPr="00DA075D">
        <w:rPr>
          <w:szCs w:val="22"/>
        </w:rPr>
        <w:t>leur offre</w:t>
      </w:r>
      <w:r w:rsidR="0087313A" w:rsidRPr="00DA075D">
        <w:rPr>
          <w:szCs w:val="22"/>
        </w:rPr>
        <w:t xml:space="preserve"> dans les délais impartis sur ce même support. </w:t>
      </w:r>
    </w:p>
    <w:p w14:paraId="454327FC" w14:textId="262EEC69" w:rsidR="0087313A" w:rsidRPr="00DA075D" w:rsidRDefault="0087313A" w:rsidP="00DA075D">
      <w:pPr>
        <w:pStyle w:val="TEXTE"/>
        <w:rPr>
          <w:szCs w:val="22"/>
        </w:rPr>
      </w:pPr>
      <w:r w:rsidRPr="00DA075D">
        <w:rPr>
          <w:szCs w:val="22"/>
        </w:rPr>
        <w:t xml:space="preserve">Les nouvelles offres seront alors analysées conformément à l'article </w:t>
      </w:r>
      <w:r w:rsidR="00DA075D" w:rsidRPr="00DA075D">
        <w:rPr>
          <w:szCs w:val="22"/>
        </w:rPr>
        <w:t xml:space="preserve">8 </w:t>
      </w:r>
      <w:r w:rsidRPr="00DA075D">
        <w:rPr>
          <w:szCs w:val="22"/>
        </w:rPr>
        <w:t>du règlement de la consultation.</w:t>
      </w:r>
    </w:p>
    <w:p w14:paraId="3C61DB58" w14:textId="77777777" w:rsidR="0087313A" w:rsidRPr="007614D8" w:rsidRDefault="0087313A" w:rsidP="0087313A">
      <w:pPr>
        <w:jc w:val="both"/>
        <w:rPr>
          <w:rFonts w:asciiTheme="majorHAnsi" w:hAnsiTheme="majorHAnsi" w:cstheme="majorHAnsi"/>
          <w:color w:val="000000"/>
          <w:highlight w:val="darkCyan"/>
        </w:rPr>
      </w:pPr>
    </w:p>
    <w:p w14:paraId="5BFF9FF1" w14:textId="77777777" w:rsidR="0087313A" w:rsidRPr="00DA075D" w:rsidRDefault="0087313A" w:rsidP="00DA075D">
      <w:pPr>
        <w:pStyle w:val="TEXTE"/>
        <w:rPr>
          <w:szCs w:val="22"/>
        </w:rPr>
      </w:pPr>
      <w:r w:rsidRPr="00DA075D">
        <w:rPr>
          <w:szCs w:val="22"/>
        </w:rPr>
        <w:t xml:space="preserve">Le pouvoir adjudicateur n’impose pas la signature de l’offre finale lors de son dépôt, seul le candidat classé en 1° position sera tenu de la signer. </w:t>
      </w:r>
    </w:p>
    <w:p w14:paraId="78A7C0D5" w14:textId="77777777" w:rsidR="0087313A" w:rsidRPr="00DA075D" w:rsidRDefault="0087313A" w:rsidP="00DA075D">
      <w:pPr>
        <w:pStyle w:val="TEXTE"/>
        <w:rPr>
          <w:szCs w:val="22"/>
        </w:rPr>
      </w:pPr>
      <w:r w:rsidRPr="00DA075D">
        <w:rPr>
          <w:szCs w:val="22"/>
        </w:rPr>
        <w:t xml:space="preserve">Toutefois, afin de permettre un traitement plus rapide des formalités d’attribution du marché, les candidats sont vivement invités à fournir un acte d’engagement signé électroniquement lors de la remise de l’offre finale. </w:t>
      </w:r>
    </w:p>
    <w:p w14:paraId="569D94E0" w14:textId="3A5F4664" w:rsidR="0087313A" w:rsidRPr="00DA075D" w:rsidRDefault="0087313A" w:rsidP="00DA075D">
      <w:pPr>
        <w:pStyle w:val="TEXTE"/>
        <w:rPr>
          <w:szCs w:val="22"/>
        </w:rPr>
      </w:pPr>
      <w:r w:rsidRPr="00DA075D">
        <w:rPr>
          <w:noProof/>
          <w:szCs w:val="22"/>
        </w:rPr>
        <w:drawing>
          <wp:inline distT="0" distB="0" distL="0" distR="0" wp14:anchorId="0ADC4650" wp14:editId="3F823338">
            <wp:extent cx="352425" cy="266700"/>
            <wp:effectExtent l="0" t="0" r="9525" b="0"/>
            <wp:docPr id="1" name="Image 1"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noFill/>
                    <a:ln>
                      <a:noFill/>
                    </a:ln>
                  </pic:spPr>
                </pic:pic>
              </a:graphicData>
            </a:graphic>
          </wp:inline>
        </w:drawing>
      </w:r>
      <w:r w:rsidRPr="00DA075D">
        <w:rPr>
          <w:szCs w:val="22"/>
        </w:rPr>
        <w:t xml:space="preserve"> A l’issue de la procédure de passation, le candidat auquel il est envisagé d’attribuer le marché, qui n’aurait pas déposé un acte d’engagement signé électroniquement, sera invité à régulariser son offre en signant électroniquement, </w:t>
      </w:r>
      <w:r w:rsidR="00DA075D">
        <w:rPr>
          <w:szCs w:val="22"/>
        </w:rPr>
        <w:t>sous 15</w:t>
      </w:r>
      <w:r w:rsidRPr="00DA075D">
        <w:rPr>
          <w:szCs w:val="22"/>
        </w:rPr>
        <w:t xml:space="preserve"> jours maximum, son acte d’engagement de manière électronique. A défaut, le marché ne pourra pas lui être attribué et ce dernier sera attribué au candidat dont l’offre a été classée en seconde position</w:t>
      </w:r>
    </w:p>
    <w:p w14:paraId="23DD2D48" w14:textId="77777777" w:rsidR="0087313A" w:rsidRPr="00DA075D" w:rsidRDefault="0087313A" w:rsidP="00DA075D">
      <w:pPr>
        <w:pStyle w:val="TEXTE"/>
        <w:rPr>
          <w:szCs w:val="22"/>
        </w:rPr>
      </w:pPr>
      <w:r w:rsidRPr="00DA075D">
        <w:rPr>
          <w:szCs w:val="22"/>
        </w:rPr>
        <w:t>Aucune offre finale ne pourra être transmise par mail sous peine d’irrégularité de l’offre.</w:t>
      </w:r>
    </w:p>
    <w:p w14:paraId="76140B66" w14:textId="77777777" w:rsidR="0087313A" w:rsidRPr="00DA075D" w:rsidRDefault="0087313A" w:rsidP="00DA075D">
      <w:pPr>
        <w:pStyle w:val="TEXTE"/>
        <w:rPr>
          <w:szCs w:val="22"/>
        </w:rPr>
      </w:pPr>
      <w:r w:rsidRPr="00DA075D">
        <w:rPr>
          <w:szCs w:val="22"/>
        </w:rPr>
        <w:t>Il est précisé aux candidats que l’absence de nouvelle offre suite à la négociation conduira le pouvoir adjudicateur à prendre en considération la première offre déposée.</w:t>
      </w:r>
    </w:p>
    <w:p w14:paraId="5C9EEE47" w14:textId="77777777" w:rsidR="0087313A" w:rsidRPr="007614D8" w:rsidRDefault="0087313A" w:rsidP="00E70697">
      <w:pPr>
        <w:pStyle w:val="Titre"/>
        <w:numPr>
          <w:ilvl w:val="0"/>
          <w:numId w:val="2"/>
        </w:numPr>
        <w:shd w:val="clear" w:color="auto" w:fill="C5E0B3" w:themeFill="accent6" w:themeFillTint="66"/>
        <w:spacing w:before="240"/>
        <w:rPr>
          <w:rFonts w:cstheme="majorHAnsi"/>
        </w:rPr>
      </w:pPr>
      <w:bookmarkStart w:id="64" w:name="_Toc58841456"/>
      <w:bookmarkStart w:id="65" w:name="_Toc191566860"/>
      <w:r w:rsidRPr="007614D8">
        <w:rPr>
          <w:rFonts w:cstheme="majorHAnsi"/>
        </w:rPr>
        <w:t>Attribution du marché public</w:t>
      </w:r>
      <w:bookmarkEnd w:id="64"/>
      <w:bookmarkEnd w:id="65"/>
      <w:r w:rsidRPr="007614D8">
        <w:rPr>
          <w:rFonts w:cstheme="majorHAnsi"/>
        </w:rPr>
        <w:t xml:space="preserve"> </w:t>
      </w:r>
    </w:p>
    <w:p w14:paraId="0F4764B3" w14:textId="51436798" w:rsidR="0087313A" w:rsidRPr="00E70697" w:rsidRDefault="0087313A" w:rsidP="00E70697">
      <w:pPr>
        <w:pStyle w:val="TEXTE"/>
      </w:pPr>
      <w:r w:rsidRPr="00E70697">
        <w:t xml:space="preserve">Conformément aux articles L2141-2 et 3, R2143-7 à 10 et R 2144-4 du code la commande publique, le candidat auquel il est envisagé d'attribuer le marché public devra transmettre les éléments et </w:t>
      </w:r>
      <w:r w:rsidRPr="00E70697">
        <w:lastRenderedPageBreak/>
        <w:t>attestations qui justifient qu’il ne relève pas d’un motif d’exclusion de la procédure de passation du marché.</w:t>
      </w:r>
    </w:p>
    <w:p w14:paraId="3B6505B9" w14:textId="77777777" w:rsidR="0087313A" w:rsidRPr="00E70697" w:rsidRDefault="0087313A" w:rsidP="00E70697">
      <w:pPr>
        <w:pStyle w:val="TEXTE"/>
      </w:pPr>
      <w:r w:rsidRPr="00E70697">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2D996CE4" w14:textId="77777777" w:rsidR="0087313A" w:rsidRPr="00E70697" w:rsidRDefault="0087313A" w:rsidP="00E70697">
      <w:pPr>
        <w:pStyle w:val="TEXTE"/>
      </w:pPr>
      <w:r w:rsidRPr="00E70697">
        <w:t>Celui-ci se trouve sur la page d’accueil de la plateforme PLACE :</w:t>
      </w:r>
    </w:p>
    <w:p w14:paraId="71F322C5" w14:textId="77777777" w:rsidR="0087313A" w:rsidRPr="00E70697" w:rsidRDefault="0087313A" w:rsidP="00E70697">
      <w:pPr>
        <w:pStyle w:val="TEXTE"/>
      </w:pPr>
      <w:r w:rsidRPr="00E70697">
        <w:t>https://www.marches-publics.gouv.fr/?page=entreprise.AccueilEntreprise</w:t>
      </w:r>
    </w:p>
    <w:p w14:paraId="1789C566" w14:textId="77777777" w:rsidR="0087313A" w:rsidRPr="00E70697" w:rsidRDefault="0087313A" w:rsidP="00E70697">
      <w:pPr>
        <w:pStyle w:val="TEXTE"/>
      </w:pPr>
      <w:r w:rsidRPr="00E70697">
        <w:t>Il n’est pas nécessaire de déposer également ces certificats dans l’offre : ils seront accessibles, à la condition que le moyen d’accès au coffre-fort ait été précisé dans l’offre.</w:t>
      </w:r>
    </w:p>
    <w:p w14:paraId="4775F5E8" w14:textId="3CEAE331" w:rsidR="0087313A" w:rsidRPr="00E70697" w:rsidRDefault="0087313A" w:rsidP="00E70697">
      <w:pPr>
        <w:pStyle w:val="TEXTE"/>
      </w:pPr>
      <w:r w:rsidRPr="00E70697">
        <w:t>Les certifi</w:t>
      </w:r>
      <w:r w:rsidR="00227B31" w:rsidRPr="00E70697">
        <w:t>cats concernés sont les suivant</w:t>
      </w:r>
      <w:r w:rsidRPr="00E70697">
        <w:t>s :</w:t>
      </w:r>
    </w:p>
    <w:p w14:paraId="1367A4F8" w14:textId="77777777" w:rsidR="0087313A" w:rsidRPr="00E70697" w:rsidRDefault="0087313A" w:rsidP="00E70697">
      <w:pPr>
        <w:pStyle w:val="TEXTE"/>
        <w:numPr>
          <w:ilvl w:val="0"/>
          <w:numId w:val="19"/>
        </w:numPr>
      </w:pPr>
      <w:r w:rsidRPr="00E70697">
        <w:t>L’impôt sur le revenu, les sociétés et la taxe sur la valeur ajoutée ;</w:t>
      </w:r>
    </w:p>
    <w:p w14:paraId="0A306FDA" w14:textId="77777777" w:rsidR="0087313A" w:rsidRPr="00E70697" w:rsidRDefault="0087313A" w:rsidP="00E70697">
      <w:pPr>
        <w:pStyle w:val="TEXTE"/>
        <w:numPr>
          <w:ilvl w:val="0"/>
          <w:numId w:val="19"/>
        </w:numPr>
      </w:pPr>
      <w:r w:rsidRPr="00E70697">
        <w:t>Les déclarations sociales et de paiement des cotisations et contributions de sécurité sociale, délivré par l’agence centrale des organismes de sécurité sociale ;</w:t>
      </w:r>
    </w:p>
    <w:p w14:paraId="7F3FA2AF" w14:textId="77777777" w:rsidR="0087313A" w:rsidRPr="00E70697" w:rsidRDefault="0087313A" w:rsidP="00E70697">
      <w:pPr>
        <w:pStyle w:val="TEXTE"/>
        <w:numPr>
          <w:ilvl w:val="0"/>
          <w:numId w:val="19"/>
        </w:numPr>
      </w:pPr>
      <w:r w:rsidRPr="00E70697">
        <w:t>Les déclarations sociales et de paiement des cotisations et contributions de sécurité sociale, délivré par la mutuelle sociale agricole ;</w:t>
      </w:r>
    </w:p>
    <w:p w14:paraId="1CCEC8F8" w14:textId="77777777" w:rsidR="0087313A" w:rsidRPr="007614D8" w:rsidRDefault="0087313A" w:rsidP="00E70697">
      <w:pPr>
        <w:pStyle w:val="TEXTE"/>
      </w:pPr>
      <w:r w:rsidRPr="007614D8">
        <w:t xml:space="preserve">Conformément à l’article D8254-2 du code du travail, la liste nominative des salariés étrangers soumis à l'autorisation de travail prévue à l'article </w:t>
      </w:r>
      <w:hyperlink r:id="rId16" w:history="1">
        <w:r w:rsidRPr="007614D8">
          <w:t>L. 5221-2</w:t>
        </w:r>
      </w:hyperlink>
      <w:r w:rsidRPr="007614D8">
        <w:t>(2) employés par le titulaire devra être transmise à la notification du marché.</w:t>
      </w:r>
    </w:p>
    <w:p w14:paraId="2FD78C15" w14:textId="77777777" w:rsidR="00E70697" w:rsidRDefault="0087313A" w:rsidP="00E70697">
      <w:pPr>
        <w:pStyle w:val="TEXTE"/>
      </w:pPr>
      <w:r w:rsidRPr="007614D8">
        <w:t>Cette liste doit préciser pour chaque salarié :</w:t>
      </w:r>
    </w:p>
    <w:p w14:paraId="7DAB3532" w14:textId="77777777" w:rsidR="00E70697" w:rsidRDefault="0087313A" w:rsidP="00E70697">
      <w:pPr>
        <w:pStyle w:val="TEXTE"/>
      </w:pPr>
      <w:r w:rsidRPr="007614D8">
        <w:t xml:space="preserve">1° Sa date d'embauche ; </w:t>
      </w:r>
    </w:p>
    <w:p w14:paraId="31AA4DBC" w14:textId="77777777" w:rsidR="00E70697" w:rsidRDefault="0087313A" w:rsidP="00E70697">
      <w:pPr>
        <w:pStyle w:val="TEXTE"/>
      </w:pPr>
      <w:r w:rsidRPr="007614D8">
        <w:t xml:space="preserve">2° Sa nationalité ; </w:t>
      </w:r>
    </w:p>
    <w:p w14:paraId="661C00A9" w14:textId="225B45EC" w:rsidR="0087313A" w:rsidRPr="007614D8" w:rsidRDefault="0087313A" w:rsidP="00E70697">
      <w:pPr>
        <w:pStyle w:val="TEXTE"/>
      </w:pPr>
      <w:r w:rsidRPr="007614D8">
        <w:t>3° Le type et le numéro d'ordre du titre valant autor</w:t>
      </w:r>
      <w:r w:rsidR="00E70697">
        <w:t>isation de travail</w:t>
      </w:r>
    </w:p>
    <w:p w14:paraId="5B524EE0" w14:textId="77777777" w:rsidR="0087313A" w:rsidRPr="007614D8" w:rsidRDefault="0087313A" w:rsidP="00E70697">
      <w:pPr>
        <w:pStyle w:val="TEXTE"/>
      </w:pPr>
      <w:r w:rsidRPr="007614D8">
        <w:t>En outre, le soumissionnaire auquel il est envisagé d'attribuer le marché n'est pas tenu de fournir les justificatifs et moyens de preuve déjà transmis à l'acheteur dans le cadre d'une précédente consultation et qui demeurent valables.</w:t>
      </w:r>
    </w:p>
    <w:p w14:paraId="0A0315E5" w14:textId="4EE339B2" w:rsidR="0087313A" w:rsidRPr="007614D8" w:rsidRDefault="0087313A" w:rsidP="00E70697">
      <w:pPr>
        <w:pStyle w:val="TEXTE"/>
      </w:pPr>
      <w:r w:rsidRPr="007614D8">
        <w:t>Dans ce cas, il indique, dans sa candidature ou son offre, les documents concernés ainsi que la référence de la ou des consultation(s) pour la ou lesquelles les d</w:t>
      </w:r>
      <w:r w:rsidR="00E70697">
        <w:t>ocuments ont déjà été transmis.</w:t>
      </w:r>
    </w:p>
    <w:p w14:paraId="336BA8F7" w14:textId="77777777" w:rsidR="0087313A" w:rsidRPr="007614D8" w:rsidRDefault="0087313A" w:rsidP="00E70697">
      <w:pPr>
        <w:pStyle w:val="TEXTE"/>
      </w:pPr>
      <w:r w:rsidRPr="007614D8">
        <w:t>En cas d'absence de certificats valides, l'acheteur en demande communication au soumissionnaire dans le courrier l'informant que son offre est susceptible d'être retenue.</w:t>
      </w:r>
    </w:p>
    <w:p w14:paraId="443DDD1A" w14:textId="74592E67" w:rsidR="0087313A" w:rsidRDefault="0087313A" w:rsidP="00E70697">
      <w:pPr>
        <w:pStyle w:val="TEXTE"/>
      </w:pPr>
      <w:r w:rsidRPr="00E70697">
        <w:t>Le soumissionnaire établi à l'étranger produit des certificats établis par les administrations et organismes du pays d'origine.</w:t>
      </w:r>
    </w:p>
    <w:p w14:paraId="11C3D8DD" w14:textId="77777777" w:rsidR="0087313A" w:rsidRPr="007614D8" w:rsidRDefault="0087313A" w:rsidP="00E70697">
      <w:pPr>
        <w:pStyle w:val="Titre"/>
        <w:numPr>
          <w:ilvl w:val="0"/>
          <w:numId w:val="2"/>
        </w:numPr>
        <w:shd w:val="clear" w:color="auto" w:fill="C5E0B3" w:themeFill="accent6" w:themeFillTint="66"/>
        <w:spacing w:before="240"/>
        <w:rPr>
          <w:rFonts w:cstheme="majorHAnsi"/>
        </w:rPr>
      </w:pPr>
      <w:bookmarkStart w:id="66" w:name="_Toc58841457"/>
      <w:bookmarkStart w:id="67" w:name="_Toc191566861"/>
      <w:r w:rsidRPr="007614D8">
        <w:rPr>
          <w:rFonts w:cstheme="majorHAnsi"/>
        </w:rPr>
        <w:t>Notification du marché public</w:t>
      </w:r>
      <w:bookmarkEnd w:id="66"/>
      <w:bookmarkEnd w:id="67"/>
      <w:r w:rsidRPr="007614D8">
        <w:rPr>
          <w:rFonts w:cstheme="majorHAnsi"/>
        </w:rPr>
        <w:t xml:space="preserve"> </w:t>
      </w:r>
    </w:p>
    <w:p w14:paraId="7C7B6831" w14:textId="77777777" w:rsidR="0087313A" w:rsidRPr="007614D8" w:rsidRDefault="0087313A" w:rsidP="00E70697">
      <w:pPr>
        <w:pStyle w:val="TEXTE"/>
      </w:pPr>
      <w:r w:rsidRPr="007614D8">
        <w:t xml:space="preserve">La notification consiste en  l’envoi d’une copie de l’accord cadre au  titulaire via la plateforme électronique </w:t>
      </w:r>
      <w:hyperlink w:history="1">
        <w:r w:rsidRPr="007614D8">
          <w:rPr>
            <w:rStyle w:val="Lienhypertexte"/>
            <w:b/>
          </w:rPr>
          <w:t xml:space="preserve">https://www.marches-publics.gouv.fr </w:t>
        </w:r>
      </w:hyperlink>
      <w:r w:rsidRPr="007614D8">
        <w:rPr>
          <w:rStyle w:val="Lienhypertexte"/>
        </w:rPr>
        <w:t xml:space="preserve">. </w:t>
      </w:r>
    </w:p>
    <w:p w14:paraId="31DC3791" w14:textId="77777777" w:rsidR="007D5E19" w:rsidRDefault="007D5E19">
      <w:pPr>
        <w:widowControl/>
        <w:autoSpaceDE/>
        <w:autoSpaceDN/>
        <w:adjustRightInd/>
        <w:spacing w:after="160" w:line="259" w:lineRule="auto"/>
        <w:rPr>
          <w:rFonts w:asciiTheme="majorHAnsi" w:hAnsiTheme="majorHAnsi" w:cstheme="majorHAnsi"/>
          <w:b/>
          <w:caps/>
          <w:sz w:val="28"/>
          <w:szCs w:val="28"/>
        </w:rPr>
      </w:pPr>
      <w:bookmarkStart w:id="68" w:name="_Toc58841458"/>
      <w:bookmarkStart w:id="69" w:name="_Toc191566862"/>
      <w:r>
        <w:rPr>
          <w:rFonts w:cstheme="majorHAnsi"/>
        </w:rPr>
        <w:br w:type="page"/>
      </w:r>
    </w:p>
    <w:p w14:paraId="6916421F" w14:textId="574CA17E" w:rsidR="0087313A" w:rsidRPr="007614D8" w:rsidRDefault="0087313A" w:rsidP="00E70697">
      <w:pPr>
        <w:pStyle w:val="Titre"/>
        <w:numPr>
          <w:ilvl w:val="0"/>
          <w:numId w:val="2"/>
        </w:numPr>
        <w:shd w:val="clear" w:color="auto" w:fill="C5E0B3" w:themeFill="accent6" w:themeFillTint="66"/>
        <w:spacing w:before="240"/>
        <w:rPr>
          <w:rFonts w:cstheme="majorHAnsi"/>
        </w:rPr>
      </w:pPr>
      <w:r w:rsidRPr="007614D8">
        <w:rPr>
          <w:rFonts w:cstheme="majorHAnsi"/>
        </w:rPr>
        <w:lastRenderedPageBreak/>
        <w:t>recours contentieux</w:t>
      </w:r>
      <w:bookmarkEnd w:id="68"/>
      <w:bookmarkEnd w:id="69"/>
      <w:r w:rsidRPr="007614D8">
        <w:rPr>
          <w:rFonts w:cstheme="majorHAnsi"/>
        </w:rPr>
        <w:t xml:space="preserve"> </w:t>
      </w:r>
    </w:p>
    <w:p w14:paraId="3DB24FFB" w14:textId="03A8753E" w:rsidR="0087313A" w:rsidRPr="007614D8" w:rsidRDefault="00E70697" w:rsidP="00AA77D8">
      <w:pPr>
        <w:pStyle w:val="Titre1"/>
      </w:pPr>
      <w:bookmarkStart w:id="70" w:name="_Toc58841459"/>
      <w:bookmarkStart w:id="71" w:name="_Toc191566863"/>
      <w:r>
        <w:t xml:space="preserve">11.1 </w:t>
      </w:r>
      <w:r w:rsidR="0087313A" w:rsidRPr="007614D8">
        <w:t>Instances chargées des procédures de recours contentieux</w:t>
      </w:r>
      <w:bookmarkEnd w:id="70"/>
      <w:bookmarkEnd w:id="71"/>
    </w:p>
    <w:p w14:paraId="00969766" w14:textId="77777777" w:rsidR="0087313A" w:rsidRPr="00E70697" w:rsidRDefault="0087313A" w:rsidP="00E70697">
      <w:pPr>
        <w:pStyle w:val="TEXTE"/>
        <w:jc w:val="center"/>
        <w:rPr>
          <w:b/>
        </w:rPr>
      </w:pPr>
      <w:r w:rsidRPr="00E70697">
        <w:rPr>
          <w:b/>
        </w:rPr>
        <w:t>Tribunal administratif de Montpellier</w:t>
      </w:r>
    </w:p>
    <w:p w14:paraId="2C3AD595" w14:textId="77777777" w:rsidR="0087313A" w:rsidRPr="00E70697" w:rsidRDefault="0087313A" w:rsidP="00E70697">
      <w:pPr>
        <w:pStyle w:val="TEXTE"/>
        <w:jc w:val="center"/>
      </w:pPr>
      <w:r w:rsidRPr="00E70697">
        <w:t>6 rue Pitot</w:t>
      </w:r>
    </w:p>
    <w:p w14:paraId="68209171" w14:textId="77777777" w:rsidR="0087313A" w:rsidRPr="00E70697" w:rsidRDefault="0087313A" w:rsidP="00E70697">
      <w:pPr>
        <w:pStyle w:val="TEXTE"/>
        <w:jc w:val="center"/>
      </w:pPr>
      <w:r w:rsidRPr="00E70697">
        <w:t>34063 MONTPELLIER CEDEX 02</w:t>
      </w:r>
    </w:p>
    <w:p w14:paraId="44787900" w14:textId="77777777" w:rsidR="0087313A" w:rsidRPr="00E70697" w:rsidRDefault="0087313A" w:rsidP="00E70697">
      <w:pPr>
        <w:pStyle w:val="TEXTE"/>
        <w:jc w:val="center"/>
        <w:rPr>
          <w:rFonts w:eastAsia="Arial Unicode MS"/>
        </w:rPr>
      </w:pPr>
      <w:r w:rsidRPr="00E70697">
        <w:rPr>
          <w:rFonts w:eastAsia="Arial Unicode MS"/>
        </w:rPr>
        <w:t>Tel : 04 67 54 81 00</w:t>
      </w:r>
    </w:p>
    <w:p w14:paraId="5CC6C82B" w14:textId="77777777" w:rsidR="0087313A" w:rsidRPr="00E70697" w:rsidRDefault="0087313A" w:rsidP="00E70697">
      <w:pPr>
        <w:pStyle w:val="TEXTE"/>
        <w:jc w:val="center"/>
      </w:pPr>
      <w:r w:rsidRPr="00E70697">
        <w:rPr>
          <w:rFonts w:eastAsia="Arial Unicode MS"/>
        </w:rPr>
        <w:t>Fax : 04 67 54 74 10</w:t>
      </w:r>
    </w:p>
    <w:p w14:paraId="238FDE6A" w14:textId="77777777" w:rsidR="0087313A" w:rsidRPr="00E70697" w:rsidRDefault="0087313A" w:rsidP="00E70697">
      <w:pPr>
        <w:pStyle w:val="TEXTE"/>
        <w:rPr>
          <w:rFonts w:eastAsia="Arial Unicode MS"/>
        </w:rPr>
      </w:pPr>
      <w:r w:rsidRPr="00E70697">
        <w:rPr>
          <w:rFonts w:eastAsia="Arial Unicode MS"/>
        </w:rPr>
        <w:t>Toute demande d'informations sur les voies et délais de recours doit être formée auprès de la présente juridiction.</w:t>
      </w:r>
    </w:p>
    <w:p w14:paraId="7C50CD62" w14:textId="404A5C54" w:rsidR="0087313A" w:rsidRPr="007614D8" w:rsidRDefault="00E70697" w:rsidP="00AA77D8">
      <w:pPr>
        <w:pStyle w:val="Titre1"/>
      </w:pPr>
      <w:bookmarkStart w:id="72" w:name="_Toc58841460"/>
      <w:bookmarkStart w:id="73" w:name="_Toc191566864"/>
      <w:r>
        <w:t xml:space="preserve">11.2 </w:t>
      </w:r>
      <w:r w:rsidR="0087313A" w:rsidRPr="007614D8">
        <w:t>Introduction des recours contentieux</w:t>
      </w:r>
      <w:bookmarkEnd w:id="72"/>
      <w:bookmarkEnd w:id="73"/>
    </w:p>
    <w:p w14:paraId="42C81D92" w14:textId="77777777" w:rsidR="0087313A" w:rsidRPr="00E70697" w:rsidRDefault="0087313A" w:rsidP="00E70697">
      <w:pPr>
        <w:pStyle w:val="TEXTE"/>
      </w:pPr>
      <w:r w:rsidRPr="00E70697">
        <w:t>Un référé précontractuel peut intervenir pendant toute la phase de passation, de la publication de l'avis d'appel public à la concurrence jusqu'à la signature du marché public (article L 551-1 du code de justice administrative).</w:t>
      </w:r>
    </w:p>
    <w:p w14:paraId="6D51C785" w14:textId="77777777" w:rsidR="0087313A" w:rsidRPr="00E70697" w:rsidRDefault="0087313A" w:rsidP="00E70697">
      <w:pPr>
        <w:pStyle w:val="TEXTE"/>
      </w:pPr>
      <w:r w:rsidRPr="00E70697">
        <w:t>Un référé contractuel peut être formé à partir de la signature du marché public, dans un délai au plus égal à six mois (article L 551-13 du code de justice administrative).</w:t>
      </w:r>
    </w:p>
    <w:p w14:paraId="06F31BFF" w14:textId="77777777" w:rsidR="0087313A" w:rsidRPr="00E70697" w:rsidRDefault="0087313A" w:rsidP="00E70697">
      <w:pPr>
        <w:pStyle w:val="TEXTE"/>
      </w:pPr>
      <w:r w:rsidRPr="00E70697">
        <w:t xml:space="preserve">Un référé suspension,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542212AE" w14:textId="0D261EB8" w:rsidR="00962E3D" w:rsidRPr="00E70697" w:rsidRDefault="0087313A" w:rsidP="00E70697">
      <w:pPr>
        <w:pStyle w:val="TEXTE"/>
      </w:pPr>
      <w:r w:rsidRPr="00E70697">
        <w:t xml:space="preserve">Un recours pour excès de pouvoir peut être formé dans les 2 mois de la notification d’une déclaration sans </w:t>
      </w:r>
      <w:r w:rsidR="00236A05" w:rsidRPr="00E70697">
        <w:t>suite.</w:t>
      </w:r>
    </w:p>
    <w:sectPr w:rsidR="00962E3D" w:rsidRPr="00E70697" w:rsidSect="00491F56">
      <w:footerReference w:type="default" r:id="rId17"/>
      <w:pgSz w:w="11906" w:h="16838"/>
      <w:pgMar w:top="1418" w:right="1418" w:bottom="1418"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02EBF" w14:textId="77777777" w:rsidR="002D302E" w:rsidRDefault="002D302E" w:rsidP="0087313A">
      <w:r>
        <w:separator/>
      </w:r>
    </w:p>
  </w:endnote>
  <w:endnote w:type="continuationSeparator" w:id="0">
    <w:p w14:paraId="37763892" w14:textId="77777777" w:rsidR="002D302E" w:rsidRDefault="002D302E"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0A0DE" w14:textId="611F7D7D" w:rsidR="002D302E" w:rsidRPr="00AA77D8" w:rsidRDefault="002D302E" w:rsidP="00962E3D">
    <w:pPr>
      <w:shd w:val="clear" w:color="auto" w:fill="C5E0B3"/>
      <w:spacing w:line="259" w:lineRule="auto"/>
      <w:ind w:left="-851" w:right="-851"/>
      <w:jc w:val="center"/>
      <w:rPr>
        <w:rFonts w:asciiTheme="majorHAnsi" w:hAnsiTheme="majorHAnsi" w:cstheme="majorHAnsi"/>
        <w:b/>
        <w:sz w:val="16"/>
        <w:szCs w:val="16"/>
      </w:rPr>
    </w:pPr>
    <w:r w:rsidRPr="00AA77D8">
      <w:rPr>
        <w:rFonts w:asciiTheme="majorHAnsi" w:eastAsia="Arial" w:hAnsiTheme="majorHAnsi" w:cstheme="majorHAnsi"/>
        <w:b/>
        <w:sz w:val="16"/>
        <w:szCs w:val="16"/>
      </w:rPr>
      <w:t>AFFAIRE 25A0072 - FABRICATION ET REPARATION EN SELLERIE</w:t>
    </w:r>
  </w:p>
  <w:p w14:paraId="5AC82B87" w14:textId="610B1C36" w:rsidR="002D302E" w:rsidRPr="00AA77D8" w:rsidRDefault="002D302E">
    <w:pPr>
      <w:pStyle w:val="Pieddepage"/>
      <w:widowControl/>
      <w:tabs>
        <w:tab w:val="clear" w:pos="9071"/>
        <w:tab w:val="right" w:pos="9072"/>
      </w:tabs>
      <w:jc w:val="center"/>
      <w:rPr>
        <w:rStyle w:val="Numrodepage"/>
        <w:rFonts w:asciiTheme="majorHAnsi" w:hAnsiTheme="majorHAnsi" w:cstheme="majorHAnsi"/>
        <w:sz w:val="16"/>
      </w:rPr>
    </w:pPr>
    <w:r w:rsidRPr="00AA77D8">
      <w:rPr>
        <w:rStyle w:val="Numrodepage"/>
        <w:rFonts w:asciiTheme="majorHAnsi" w:hAnsiTheme="majorHAnsi" w:cstheme="majorHAnsi"/>
        <w:sz w:val="16"/>
        <w:szCs w:val="16"/>
      </w:rPr>
      <w:t xml:space="preserve">Page </w:t>
    </w:r>
    <w:r w:rsidRPr="00AA77D8">
      <w:rPr>
        <w:rStyle w:val="Numrodepage"/>
        <w:rFonts w:asciiTheme="majorHAnsi" w:hAnsiTheme="majorHAnsi" w:cstheme="majorHAnsi"/>
        <w:sz w:val="16"/>
      </w:rPr>
      <w:fldChar w:fldCharType="begin"/>
    </w:r>
    <w:r w:rsidRPr="00AA77D8">
      <w:rPr>
        <w:rStyle w:val="Numrodepage"/>
        <w:rFonts w:asciiTheme="majorHAnsi" w:hAnsiTheme="majorHAnsi" w:cstheme="majorHAnsi"/>
        <w:sz w:val="16"/>
      </w:rPr>
      <w:instrText xml:space="preserve"> PAGE </w:instrText>
    </w:r>
    <w:r w:rsidRPr="00AA77D8">
      <w:rPr>
        <w:rStyle w:val="Numrodepage"/>
        <w:rFonts w:asciiTheme="majorHAnsi" w:hAnsiTheme="majorHAnsi" w:cstheme="majorHAnsi"/>
        <w:sz w:val="16"/>
      </w:rPr>
      <w:fldChar w:fldCharType="separate"/>
    </w:r>
    <w:r w:rsidR="007D5E19">
      <w:rPr>
        <w:rStyle w:val="Numrodepage"/>
        <w:rFonts w:asciiTheme="majorHAnsi" w:hAnsiTheme="majorHAnsi" w:cstheme="majorHAnsi"/>
        <w:noProof/>
        <w:sz w:val="16"/>
      </w:rPr>
      <w:t>1</w:t>
    </w:r>
    <w:r w:rsidRPr="00AA77D8">
      <w:rPr>
        <w:rStyle w:val="Numrodepage"/>
        <w:rFonts w:asciiTheme="majorHAnsi" w:hAnsiTheme="majorHAnsi" w:cstheme="majorHAnsi"/>
        <w:sz w:val="16"/>
      </w:rPr>
      <w:fldChar w:fldCharType="end"/>
    </w:r>
    <w:r w:rsidRPr="00AA77D8">
      <w:rPr>
        <w:rStyle w:val="Numrodepage"/>
        <w:rFonts w:asciiTheme="majorHAnsi" w:hAnsiTheme="majorHAnsi" w:cstheme="majorHAnsi"/>
        <w:sz w:val="16"/>
      </w:rPr>
      <w:t>/</w:t>
    </w:r>
    <w:r w:rsidRPr="00AA77D8">
      <w:rPr>
        <w:rStyle w:val="Numrodepage"/>
        <w:rFonts w:asciiTheme="majorHAnsi" w:hAnsiTheme="majorHAnsi" w:cstheme="majorHAnsi"/>
        <w:sz w:val="16"/>
      </w:rPr>
      <w:fldChar w:fldCharType="begin"/>
    </w:r>
    <w:r w:rsidRPr="00AA77D8">
      <w:rPr>
        <w:rStyle w:val="Numrodepage"/>
        <w:rFonts w:asciiTheme="majorHAnsi" w:hAnsiTheme="majorHAnsi" w:cstheme="majorHAnsi"/>
        <w:sz w:val="16"/>
      </w:rPr>
      <w:instrText xml:space="preserve"> NUMPAGES </w:instrText>
    </w:r>
    <w:r w:rsidRPr="00AA77D8">
      <w:rPr>
        <w:rStyle w:val="Numrodepage"/>
        <w:rFonts w:asciiTheme="majorHAnsi" w:hAnsiTheme="majorHAnsi" w:cstheme="majorHAnsi"/>
        <w:sz w:val="16"/>
      </w:rPr>
      <w:fldChar w:fldCharType="separate"/>
    </w:r>
    <w:r w:rsidR="007D5E19">
      <w:rPr>
        <w:rStyle w:val="Numrodepage"/>
        <w:rFonts w:asciiTheme="majorHAnsi" w:hAnsiTheme="majorHAnsi" w:cstheme="majorHAnsi"/>
        <w:noProof/>
        <w:sz w:val="16"/>
      </w:rPr>
      <w:t>13</w:t>
    </w:r>
    <w:r w:rsidRPr="00AA77D8">
      <w:rPr>
        <w:rStyle w:val="Numrodepage"/>
        <w:rFonts w:asciiTheme="majorHAnsi" w:hAnsiTheme="majorHAnsi" w:cstheme="majorHAnsi"/>
        <w:sz w:val="16"/>
      </w:rPr>
      <w:fldChar w:fldCharType="end"/>
    </w:r>
  </w:p>
  <w:p w14:paraId="4C3AD3CD" w14:textId="7987A1E2" w:rsidR="002D302E" w:rsidRPr="00AA77D8" w:rsidRDefault="002D302E">
    <w:pPr>
      <w:pStyle w:val="Pieddepage"/>
      <w:widowControl/>
      <w:tabs>
        <w:tab w:val="clear" w:pos="9071"/>
        <w:tab w:val="right" w:pos="9072"/>
      </w:tabs>
      <w:jc w:val="center"/>
      <w:rPr>
        <w:rStyle w:val="Numrodepage"/>
        <w:rFonts w:asciiTheme="majorHAnsi" w:hAnsiTheme="majorHAnsi" w:cstheme="majorHAnsi"/>
        <w:sz w:val="16"/>
        <w:szCs w:val="16"/>
      </w:rPr>
    </w:pPr>
    <w:r w:rsidRPr="00AA77D8">
      <w:rPr>
        <w:rStyle w:val="Numrodepage"/>
        <w:rFonts w:asciiTheme="majorHAnsi" w:hAnsiTheme="majorHAnsi" w:cstheme="majorHAnsi"/>
        <w:sz w:val="16"/>
      </w:rPr>
      <w:t>REGLEMENT DE LA CONSULTATION -SJ 22/01/2025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00B4" w14:textId="77777777" w:rsidR="002D302E" w:rsidRDefault="002D302E" w:rsidP="0087313A">
      <w:r>
        <w:separator/>
      </w:r>
    </w:p>
  </w:footnote>
  <w:footnote w:type="continuationSeparator" w:id="0">
    <w:p w14:paraId="3FA61C73" w14:textId="77777777" w:rsidR="002D302E" w:rsidRDefault="002D302E"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549663F"/>
    <w:multiLevelType w:val="hybridMultilevel"/>
    <w:tmpl w:val="9E7C780C"/>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8D3979"/>
    <w:multiLevelType w:val="hybridMultilevel"/>
    <w:tmpl w:val="3820B4D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6E1483"/>
    <w:multiLevelType w:val="hybridMultilevel"/>
    <w:tmpl w:val="8AA8F588"/>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1"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80449D"/>
    <w:multiLevelType w:val="multilevel"/>
    <w:tmpl w:val="A502CD44"/>
    <w:lvl w:ilvl="0">
      <w:start w:val="1"/>
      <w:numFmt w:val="decimal"/>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3" w15:restartNumberingAfterBreak="0">
    <w:nsid w:val="66F506CF"/>
    <w:multiLevelType w:val="hybridMultilevel"/>
    <w:tmpl w:val="C456918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B03094"/>
    <w:multiLevelType w:val="hybridMultilevel"/>
    <w:tmpl w:val="9AA43578"/>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7C7591"/>
    <w:multiLevelType w:val="hybridMultilevel"/>
    <w:tmpl w:val="1C2ACAD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7FA36D13"/>
    <w:multiLevelType w:val="hybridMultilevel"/>
    <w:tmpl w:val="81EE2B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2"/>
  </w:num>
  <w:num w:numId="3">
    <w:abstractNumId w:val="10"/>
  </w:num>
  <w:num w:numId="4">
    <w:abstractNumId w:val="11"/>
  </w:num>
  <w:num w:numId="5">
    <w:abstractNumId w:val="5"/>
  </w:num>
  <w:num w:numId="6">
    <w:abstractNumId w:val="16"/>
  </w:num>
  <w:num w:numId="7">
    <w:abstractNumId w:val="1"/>
  </w:num>
  <w:num w:numId="8">
    <w:abstractNumId w:val="0"/>
  </w:num>
  <w:num w:numId="9">
    <w:abstractNumId w:val="9"/>
  </w:num>
  <w:num w:numId="10">
    <w:abstractNumId w:val="4"/>
  </w:num>
  <w:num w:numId="11">
    <w:abstractNumId w:val="17"/>
  </w:num>
  <w:num w:numId="12">
    <w:abstractNumId w:val="7"/>
  </w:num>
  <w:num w:numId="13">
    <w:abstractNumId w:val="15"/>
  </w:num>
  <w:num w:numId="14">
    <w:abstractNumId w:val="1"/>
  </w:num>
  <w:num w:numId="15">
    <w:abstractNumId w:val="14"/>
  </w:num>
  <w:num w:numId="16">
    <w:abstractNumId w:val="18"/>
  </w:num>
  <w:num w:numId="17">
    <w:abstractNumId w:val="2"/>
  </w:num>
  <w:num w:numId="18">
    <w:abstractNumId w:val="8"/>
  </w:num>
  <w:num w:numId="19">
    <w:abstractNumId w:val="6"/>
  </w:num>
  <w:num w:numId="2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3160A"/>
    <w:rsid w:val="0004587D"/>
    <w:rsid w:val="00047010"/>
    <w:rsid w:val="00063E6A"/>
    <w:rsid w:val="00077825"/>
    <w:rsid w:val="000911B0"/>
    <w:rsid w:val="00095532"/>
    <w:rsid w:val="000D4F4A"/>
    <w:rsid w:val="000D5293"/>
    <w:rsid w:val="000F5D35"/>
    <w:rsid w:val="000F6550"/>
    <w:rsid w:val="001349B3"/>
    <w:rsid w:val="00150565"/>
    <w:rsid w:val="00184F93"/>
    <w:rsid w:val="001B5242"/>
    <w:rsid w:val="001B79E7"/>
    <w:rsid w:val="001C6E27"/>
    <w:rsid w:val="001D3455"/>
    <w:rsid w:val="00227B31"/>
    <w:rsid w:val="00236A05"/>
    <w:rsid w:val="00286E88"/>
    <w:rsid w:val="002A04BC"/>
    <w:rsid w:val="002D302E"/>
    <w:rsid w:val="002D3E4E"/>
    <w:rsid w:val="002E28D6"/>
    <w:rsid w:val="00306436"/>
    <w:rsid w:val="00310E81"/>
    <w:rsid w:val="003705F6"/>
    <w:rsid w:val="00377AEC"/>
    <w:rsid w:val="003B608E"/>
    <w:rsid w:val="003F58F7"/>
    <w:rsid w:val="00414547"/>
    <w:rsid w:val="00491F56"/>
    <w:rsid w:val="0049548B"/>
    <w:rsid w:val="004D6A1E"/>
    <w:rsid w:val="004E7A78"/>
    <w:rsid w:val="00570F7F"/>
    <w:rsid w:val="00572E1D"/>
    <w:rsid w:val="005915FD"/>
    <w:rsid w:val="00591E0B"/>
    <w:rsid w:val="005D48FA"/>
    <w:rsid w:val="00645D4E"/>
    <w:rsid w:val="00681068"/>
    <w:rsid w:val="006856BA"/>
    <w:rsid w:val="00685E37"/>
    <w:rsid w:val="00687B4F"/>
    <w:rsid w:val="00691BC1"/>
    <w:rsid w:val="00693AF2"/>
    <w:rsid w:val="006D4B71"/>
    <w:rsid w:val="006F69A2"/>
    <w:rsid w:val="006F712E"/>
    <w:rsid w:val="0073094B"/>
    <w:rsid w:val="00734DA3"/>
    <w:rsid w:val="007614D8"/>
    <w:rsid w:val="007925AC"/>
    <w:rsid w:val="007B48E8"/>
    <w:rsid w:val="007B503C"/>
    <w:rsid w:val="007B6B3C"/>
    <w:rsid w:val="007D5E19"/>
    <w:rsid w:val="007E151C"/>
    <w:rsid w:val="00815325"/>
    <w:rsid w:val="0084542B"/>
    <w:rsid w:val="0087313A"/>
    <w:rsid w:val="00880C8E"/>
    <w:rsid w:val="0088750B"/>
    <w:rsid w:val="008912EB"/>
    <w:rsid w:val="008A72F8"/>
    <w:rsid w:val="008C3E0D"/>
    <w:rsid w:val="008D47FF"/>
    <w:rsid w:val="008F38D1"/>
    <w:rsid w:val="009178E6"/>
    <w:rsid w:val="009236E3"/>
    <w:rsid w:val="00962E3D"/>
    <w:rsid w:val="009637F6"/>
    <w:rsid w:val="00965AB3"/>
    <w:rsid w:val="00973DC0"/>
    <w:rsid w:val="009B34C9"/>
    <w:rsid w:val="009C669F"/>
    <w:rsid w:val="009F1EB1"/>
    <w:rsid w:val="00A10C2E"/>
    <w:rsid w:val="00A32B80"/>
    <w:rsid w:val="00A32F53"/>
    <w:rsid w:val="00A422BB"/>
    <w:rsid w:val="00A46094"/>
    <w:rsid w:val="00A5060D"/>
    <w:rsid w:val="00A62620"/>
    <w:rsid w:val="00A7090E"/>
    <w:rsid w:val="00A85F3F"/>
    <w:rsid w:val="00AA77D8"/>
    <w:rsid w:val="00AB31A9"/>
    <w:rsid w:val="00AC2844"/>
    <w:rsid w:val="00AD097C"/>
    <w:rsid w:val="00B24F21"/>
    <w:rsid w:val="00B45161"/>
    <w:rsid w:val="00B473CD"/>
    <w:rsid w:val="00B807F6"/>
    <w:rsid w:val="00BB2117"/>
    <w:rsid w:val="00BB4D4A"/>
    <w:rsid w:val="00BF6AAD"/>
    <w:rsid w:val="00C406A0"/>
    <w:rsid w:val="00C43E22"/>
    <w:rsid w:val="00C5191F"/>
    <w:rsid w:val="00CD1978"/>
    <w:rsid w:val="00D233DC"/>
    <w:rsid w:val="00D46107"/>
    <w:rsid w:val="00D47A8E"/>
    <w:rsid w:val="00D720AE"/>
    <w:rsid w:val="00D84AE3"/>
    <w:rsid w:val="00D95846"/>
    <w:rsid w:val="00DA075D"/>
    <w:rsid w:val="00DC7867"/>
    <w:rsid w:val="00E13503"/>
    <w:rsid w:val="00E140C0"/>
    <w:rsid w:val="00E270E8"/>
    <w:rsid w:val="00E70697"/>
    <w:rsid w:val="00E73079"/>
    <w:rsid w:val="00E9462B"/>
    <w:rsid w:val="00EB2207"/>
    <w:rsid w:val="00EC614E"/>
    <w:rsid w:val="00EE5B5A"/>
    <w:rsid w:val="00F15235"/>
    <w:rsid w:val="00F20F6D"/>
    <w:rsid w:val="00F22797"/>
    <w:rsid w:val="00F30722"/>
    <w:rsid w:val="00F36D2E"/>
    <w:rsid w:val="00F5745D"/>
    <w:rsid w:val="00F66B4C"/>
    <w:rsid w:val="00F805A8"/>
    <w:rsid w:val="00FC6911"/>
    <w:rsid w:val="00FD4A10"/>
    <w:rsid w:val="00FD4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8E4FB6E"/>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8F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aliases w:val="TITRE 2"/>
    <w:basedOn w:val="Normal"/>
    <w:next w:val="Normal"/>
    <w:link w:val="Titre1Car"/>
    <w:autoRedefine/>
    <w:qFormat/>
    <w:rsid w:val="00AA77D8"/>
    <w:pPr>
      <w:keepNext/>
      <w:tabs>
        <w:tab w:val="num" w:pos="1134"/>
      </w:tabs>
      <w:spacing w:before="120"/>
      <w:ind w:left="1191" w:hanging="57"/>
      <w:outlineLvl w:val="0"/>
    </w:pPr>
    <w:rPr>
      <w:rFonts w:asciiTheme="majorHAnsi" w:eastAsia="Arial Unicode MS" w:hAnsiTheme="majorHAnsi" w:cstheme="majorHAnsi"/>
      <w:b/>
      <w:bCs/>
      <w:sz w:val="24"/>
      <w:u w:val="single"/>
    </w:rPr>
  </w:style>
  <w:style w:type="paragraph" w:styleId="Titre2">
    <w:name w:val="heading 2"/>
    <w:aliases w:val="SOUS ARTICLE"/>
    <w:basedOn w:val="Normal"/>
    <w:next w:val="Normal"/>
    <w:link w:val="Titre2Car"/>
    <w:autoRedefine/>
    <w:uiPriority w:val="9"/>
    <w:qFormat/>
    <w:rsid w:val="00F66B4C"/>
    <w:pPr>
      <w:keepNext/>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1"/>
    <w:basedOn w:val="Normal"/>
    <w:next w:val="Normal"/>
    <w:link w:val="TitreCar"/>
    <w:autoRedefine/>
    <w:qFormat/>
    <w:rsid w:val="00AA77D8"/>
    <w:pPr>
      <w:pBdr>
        <w:top w:val="single" w:sz="4" w:space="1" w:color="auto"/>
        <w:left w:val="single" w:sz="4" w:space="4" w:color="auto"/>
        <w:bottom w:val="single" w:sz="4" w:space="1" w:color="auto"/>
        <w:right w:val="single" w:sz="4" w:space="4" w:color="auto"/>
      </w:pBdr>
      <w:shd w:val="clear" w:color="auto" w:fill="DEEAF6" w:themeFill="accent1" w:themeFillTint="33"/>
    </w:pPr>
    <w:rPr>
      <w:rFonts w:asciiTheme="majorHAnsi" w:hAnsiTheme="majorHAnsi"/>
      <w:b/>
      <w:caps/>
      <w:sz w:val="28"/>
      <w:szCs w:val="28"/>
    </w:rPr>
  </w:style>
  <w:style w:type="character" w:customStyle="1" w:styleId="TitreCar">
    <w:name w:val="Titre Car"/>
    <w:aliases w:val="TITRE 1 Car"/>
    <w:basedOn w:val="Policepardfaut"/>
    <w:link w:val="Titre"/>
    <w:rsid w:val="00AA77D8"/>
    <w:rPr>
      <w:rFonts w:asciiTheme="majorHAnsi" w:hAnsiTheme="majorHAnsi" w:cs="Arial"/>
      <w:b/>
      <w:caps/>
      <w:sz w:val="28"/>
      <w:szCs w:val="28"/>
      <w:shd w:val="clear" w:color="auto" w:fill="DEEAF6" w:themeFill="accent1" w:themeFillTint="33"/>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aliases w:val="TITRE 2 Car"/>
    <w:basedOn w:val="Policepardfaut"/>
    <w:link w:val="Titre1"/>
    <w:rsid w:val="00AA77D8"/>
    <w:rPr>
      <w:rFonts w:asciiTheme="majorHAnsi" w:eastAsia="Arial Unicode MS" w:hAnsiTheme="majorHAnsi" w:cstheme="majorHAnsi"/>
      <w:b/>
      <w:bCs/>
      <w:sz w:val="24"/>
      <w:szCs w:val="20"/>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880C8E"/>
    <w:rPr>
      <w:rFonts w:ascii="Arial" w:hAnsi="Arial" w:cs="Arial"/>
      <w:sz w:val="18"/>
      <w:szCs w:val="18"/>
      <w:lang w:eastAsia="fr-FR"/>
    </w:rPr>
  </w:style>
  <w:style w:type="paragraph" w:customStyle="1" w:styleId="TEXTE">
    <w:name w:val="TEXTE"/>
    <w:basedOn w:val="RedTxt"/>
    <w:qFormat/>
    <w:rsid w:val="00491F56"/>
    <w:pPr>
      <w:keepLines w:val="0"/>
      <w:tabs>
        <w:tab w:val="left" w:pos="9070"/>
      </w:tabs>
      <w:spacing w:before="120"/>
      <w:jc w:val="both"/>
    </w:pPr>
    <w:rPr>
      <w:rFonts w:asciiTheme="majorHAnsi" w:hAnsiTheme="majorHAnsi" w:cstheme="majorHAns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094938">
      <w:bodyDiv w:val="1"/>
      <w:marLeft w:val="0"/>
      <w:marRight w:val="0"/>
      <w:marTop w:val="0"/>
      <w:marBottom w:val="0"/>
      <w:divBdr>
        <w:top w:val="none" w:sz="0" w:space="0" w:color="auto"/>
        <w:left w:val="none" w:sz="0" w:space="0" w:color="auto"/>
        <w:bottom w:val="none" w:sz="0" w:space="0" w:color="auto"/>
        <w:right w:val="none" w:sz="0" w:space="0" w:color="auto"/>
      </w:divBdr>
    </w:div>
    <w:div w:id="127810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721908&amp;orgAcronyme=x7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732&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3B8C3-1090-4AE1-9D76-9EA241FA7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B64B7-721A-4358-B64D-E684F8E4907A}">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F802D816-9618-49D6-B642-87A1D674FDDC}">
  <ds:schemaRefs>
    <ds:schemaRef ds:uri="http://schemas.microsoft.com/sharepoint/v3/contenttype/forms"/>
  </ds:schemaRefs>
</ds:datastoreItem>
</file>

<file path=customXml/itemProps4.xml><?xml version="1.0" encoding="utf-8"?>
<ds:datastoreItem xmlns:ds="http://schemas.openxmlformats.org/officeDocument/2006/customXml" ds:itemID="{38F769F6-6C1D-43F9-87FB-F5008B9A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4731</Words>
  <Characters>26023</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2</cp:revision>
  <dcterms:created xsi:type="dcterms:W3CDTF">2025-03-26T13:47:00Z</dcterms:created>
  <dcterms:modified xsi:type="dcterms:W3CDTF">2025-03-26T13:47:00Z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