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3C839333" w14:textId="77777777" w:rsidR="000118B5" w:rsidRPr="00D860A5" w:rsidRDefault="2D113B91" w:rsidP="2D113B91">
            <w:pPr>
              <w:jc w:val="center"/>
              <w:rPr>
                <w:b/>
                <w:bCs/>
                <w:color w:val="000000" w:themeColor="text2"/>
              </w:rPr>
            </w:pPr>
            <w:r w:rsidRPr="00D860A5">
              <w:rPr>
                <w:b/>
                <w:bCs/>
                <w:color w:val="000000" w:themeColor="text2"/>
              </w:rPr>
              <w:t>Etablissement Français du Sang</w:t>
            </w:r>
          </w:p>
          <w:p w14:paraId="1EB2EE96" w14:textId="77777777" w:rsidR="000118B5" w:rsidRPr="00D860A5" w:rsidRDefault="2D113B91" w:rsidP="2D113B91">
            <w:pPr>
              <w:jc w:val="center"/>
              <w:rPr>
                <w:rFonts w:cs="Arial"/>
                <w:b/>
                <w:bCs/>
                <w:color w:val="000000" w:themeColor="text2"/>
              </w:rPr>
            </w:pPr>
            <w:r w:rsidRPr="00D860A5">
              <w:rPr>
                <w:color w:val="000000" w:themeColor="text2"/>
              </w:rPr>
              <w:t>20 avenue du Stade de France 93218 La Plaine Saint Denis</w:t>
            </w:r>
          </w:p>
          <w:p w14:paraId="41CDEA81" w14:textId="77777777" w:rsidR="0005386A" w:rsidRPr="00D860A5" w:rsidRDefault="0005386A" w:rsidP="00806D55">
            <w:pPr>
              <w:rPr>
                <w:rFonts w:cs="Arial"/>
                <w:color w:val="000000" w:themeColor="text2"/>
              </w:rPr>
            </w:pPr>
          </w:p>
          <w:p w14:paraId="2AD5F0DA" w14:textId="77777777" w:rsidR="00D860A5" w:rsidRPr="00282A41" w:rsidRDefault="00D860A5" w:rsidP="00D860A5">
            <w:pPr>
              <w:spacing w:before="60" w:line="264" w:lineRule="auto"/>
              <w:jc w:val="center"/>
              <w:rPr>
                <w:rFonts w:cs="Arial"/>
                <w:b/>
                <w:color w:val="000000" w:themeColor="text2"/>
                <w:sz w:val="44"/>
              </w:rPr>
            </w:pPr>
            <w:r w:rsidRPr="00282A41">
              <w:rPr>
                <w:rFonts w:cs="Arial"/>
                <w:b/>
                <w:color w:val="000000" w:themeColor="text2"/>
                <w:sz w:val="44"/>
              </w:rPr>
              <w:t>Prestation d’indexation des médias de la Direction nationale de la communication de l’Établissement Français du Sang</w:t>
            </w:r>
          </w:p>
          <w:p w14:paraId="41CDEA82" w14:textId="6B3351CC" w:rsidR="0005386A" w:rsidRPr="00D860A5" w:rsidRDefault="2D113B91" w:rsidP="2D113B91">
            <w:pPr>
              <w:jc w:val="center"/>
              <w:rPr>
                <w:rFonts w:cs="Arial"/>
                <w:b/>
                <w:bCs/>
                <w:caps/>
                <w:color w:val="000000" w:themeColor="text2"/>
              </w:rPr>
            </w:pPr>
            <w:r w:rsidRPr="00D860A5">
              <w:rPr>
                <w:rFonts w:cs="Arial"/>
                <w:b/>
                <w:bCs/>
                <w:caps/>
                <w:color w:val="000000" w:themeColor="text2"/>
              </w:rPr>
              <w:t xml:space="preserve"> </w:t>
            </w:r>
          </w:p>
          <w:p w14:paraId="41CDEA83" w14:textId="77777777" w:rsidR="0005386A" w:rsidRPr="00D860A5" w:rsidRDefault="0005386A" w:rsidP="00806D55">
            <w:pPr>
              <w:jc w:val="center"/>
              <w:rPr>
                <w:rFonts w:cs="Arial"/>
                <w:color w:val="000000" w:themeColor="text2"/>
              </w:rPr>
            </w:pPr>
          </w:p>
          <w:p w14:paraId="6EA856AD" w14:textId="34112F43" w:rsidR="00BE7B48" w:rsidRDefault="00D860A5" w:rsidP="2D113B91">
            <w:pPr>
              <w:jc w:val="center"/>
              <w:rPr>
                <w:rFonts w:cs="Arial"/>
                <w:b/>
                <w:bCs/>
              </w:rPr>
            </w:pPr>
            <w:r w:rsidRPr="00D860A5">
              <w:rPr>
                <w:b/>
                <w:bCs/>
                <w:color w:val="000000" w:themeColor="text2"/>
              </w:rPr>
              <w:t xml:space="preserve">Marché public de </w:t>
            </w:r>
            <w:r w:rsidR="2D113B91" w:rsidRPr="00D860A5">
              <w:rPr>
                <w:b/>
                <w:bCs/>
                <w:color w:val="000000" w:themeColor="text2"/>
              </w:rPr>
              <w:t>services</w:t>
            </w:r>
            <w:r w:rsidR="00D644E5">
              <w:br/>
            </w:r>
            <w:r w:rsidR="2D113B91" w:rsidRPr="2D113B91">
              <w:rPr>
                <w:rFonts w:cs="Arial"/>
                <w:b/>
                <w:bCs/>
              </w:rPr>
              <w:t>Procédure adaptée</w:t>
            </w:r>
            <w:r w:rsidR="00D644E5">
              <w:br/>
            </w:r>
            <w:r w:rsidR="2D113B91" w:rsidRPr="2D113B91">
              <w:rPr>
                <w:rFonts w:cs="Arial"/>
                <w:b/>
                <w:bCs/>
                <w:lang w:eastAsia="fr-FR"/>
              </w:rPr>
              <w:t>(Articles L.2123-1, R.2123-1 et R.2123-4 à R.2123-7 du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4D17183E" w:rsidR="00293F87" w:rsidRDefault="2D113B91" w:rsidP="2D113B91">
      <w:pPr>
        <w:rPr>
          <w:rFonts w:cs="Arial"/>
          <w:b/>
          <w:bCs/>
          <w:sz w:val="24"/>
          <w:szCs w:val="24"/>
        </w:rPr>
      </w:pPr>
      <w:r w:rsidRPr="2D113B91">
        <w:rPr>
          <w:rFonts w:cs="Arial"/>
          <w:b/>
          <w:bCs/>
          <w:sz w:val="24"/>
          <w:szCs w:val="24"/>
        </w:rPr>
        <w:t xml:space="preserve">Référence de la consultation / TBA : </w:t>
      </w:r>
      <w:r w:rsidR="00201184">
        <w:rPr>
          <w:rFonts w:cs="Arial"/>
          <w:b/>
          <w:bCs/>
          <w:sz w:val="24"/>
          <w:szCs w:val="24"/>
        </w:rPr>
        <w:t>SC3123</w:t>
      </w:r>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224EE8D0" w14:textId="720ED056" w:rsidR="00524226"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190784018" w:history="1">
        <w:r w:rsidR="00524226" w:rsidRPr="00C5770E">
          <w:rPr>
            <w:rStyle w:val="Lienhypertexte"/>
            <w14:scene3d>
              <w14:camera w14:prst="orthographicFront"/>
              <w14:lightRig w14:rig="threePt" w14:dir="t">
                <w14:rot w14:lat="0" w14:lon="0" w14:rev="0"/>
              </w14:lightRig>
            </w14:scene3d>
          </w:rPr>
          <w:t>PARTIE 1 -</w:t>
        </w:r>
        <w:r w:rsidR="00524226" w:rsidRPr="00C5770E">
          <w:rPr>
            <w:rStyle w:val="Lienhypertexte"/>
          </w:rPr>
          <w:t xml:space="preserve"> CLAUSES DE PRESENTATION GENERALE ET TECHNIQUES</w:t>
        </w:r>
        <w:r w:rsidR="00524226">
          <w:rPr>
            <w:webHidden/>
          </w:rPr>
          <w:tab/>
        </w:r>
        <w:r w:rsidR="00524226">
          <w:rPr>
            <w:webHidden/>
          </w:rPr>
          <w:fldChar w:fldCharType="begin"/>
        </w:r>
        <w:r w:rsidR="00524226">
          <w:rPr>
            <w:webHidden/>
          </w:rPr>
          <w:instrText xml:space="preserve"> PAGEREF _Toc190784018 \h </w:instrText>
        </w:r>
        <w:r w:rsidR="00524226">
          <w:rPr>
            <w:webHidden/>
          </w:rPr>
        </w:r>
        <w:r w:rsidR="00524226">
          <w:rPr>
            <w:webHidden/>
          </w:rPr>
          <w:fldChar w:fldCharType="separate"/>
        </w:r>
        <w:r w:rsidR="00B97DC9">
          <w:rPr>
            <w:webHidden/>
          </w:rPr>
          <w:t>4</w:t>
        </w:r>
        <w:r w:rsidR="00524226">
          <w:rPr>
            <w:webHidden/>
          </w:rPr>
          <w:fldChar w:fldCharType="end"/>
        </w:r>
      </w:hyperlink>
    </w:p>
    <w:p w14:paraId="48463B0B" w14:textId="56D8B96D" w:rsidR="00524226" w:rsidRDefault="00B97DC9">
      <w:pPr>
        <w:pStyle w:val="TM2"/>
        <w:rPr>
          <w:rFonts w:asciiTheme="minorHAnsi" w:eastAsiaTheme="minorEastAsia" w:hAnsiTheme="minorHAnsi" w:cstheme="minorBidi"/>
          <w:b w:val="0"/>
          <w:color w:val="auto"/>
          <w:sz w:val="22"/>
          <w:szCs w:val="22"/>
          <w:lang w:eastAsia="fr-FR"/>
        </w:rPr>
      </w:pPr>
      <w:hyperlink w:anchor="_Toc190784019" w:history="1">
        <w:r w:rsidR="00524226" w:rsidRPr="00C5770E">
          <w:rPr>
            <w:rStyle w:val="Lienhypertexte"/>
          </w:rPr>
          <w:t>1.1. Description de l’EFS</w:t>
        </w:r>
        <w:r w:rsidR="00524226">
          <w:rPr>
            <w:webHidden/>
          </w:rPr>
          <w:tab/>
        </w:r>
        <w:r w:rsidR="00524226">
          <w:rPr>
            <w:webHidden/>
          </w:rPr>
          <w:fldChar w:fldCharType="begin"/>
        </w:r>
        <w:r w:rsidR="00524226">
          <w:rPr>
            <w:webHidden/>
          </w:rPr>
          <w:instrText xml:space="preserve"> PAGEREF _Toc190784019 \h </w:instrText>
        </w:r>
        <w:r w:rsidR="00524226">
          <w:rPr>
            <w:webHidden/>
          </w:rPr>
        </w:r>
        <w:r w:rsidR="00524226">
          <w:rPr>
            <w:webHidden/>
          </w:rPr>
          <w:fldChar w:fldCharType="separate"/>
        </w:r>
        <w:r>
          <w:rPr>
            <w:webHidden/>
          </w:rPr>
          <w:t>4</w:t>
        </w:r>
        <w:r w:rsidR="00524226">
          <w:rPr>
            <w:webHidden/>
          </w:rPr>
          <w:fldChar w:fldCharType="end"/>
        </w:r>
      </w:hyperlink>
    </w:p>
    <w:p w14:paraId="4953F9C6" w14:textId="04136FF9"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0" w:history="1">
        <w:r w:rsidR="00524226" w:rsidRPr="00C5770E">
          <w:rPr>
            <w:rStyle w:val="Lienhypertexte"/>
            <w:rFonts w:cstheme="minorHAnsi"/>
          </w:rPr>
          <w:t>1.1.1.</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Missions</w:t>
        </w:r>
        <w:r w:rsidR="00524226">
          <w:rPr>
            <w:webHidden/>
          </w:rPr>
          <w:tab/>
        </w:r>
        <w:r w:rsidR="00524226">
          <w:rPr>
            <w:webHidden/>
          </w:rPr>
          <w:fldChar w:fldCharType="begin"/>
        </w:r>
        <w:r w:rsidR="00524226">
          <w:rPr>
            <w:webHidden/>
          </w:rPr>
          <w:instrText xml:space="preserve"> PAGEREF _Toc190784020 \h </w:instrText>
        </w:r>
        <w:r w:rsidR="00524226">
          <w:rPr>
            <w:webHidden/>
          </w:rPr>
        </w:r>
        <w:r w:rsidR="00524226">
          <w:rPr>
            <w:webHidden/>
          </w:rPr>
          <w:fldChar w:fldCharType="separate"/>
        </w:r>
        <w:r>
          <w:rPr>
            <w:webHidden/>
          </w:rPr>
          <w:t>4</w:t>
        </w:r>
        <w:r w:rsidR="00524226">
          <w:rPr>
            <w:webHidden/>
          </w:rPr>
          <w:fldChar w:fldCharType="end"/>
        </w:r>
      </w:hyperlink>
    </w:p>
    <w:p w14:paraId="35A20689" w14:textId="448A5170"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1" w:history="1">
        <w:r w:rsidR="00524226" w:rsidRPr="00C5770E">
          <w:rPr>
            <w:rStyle w:val="Lienhypertexte"/>
            <w:rFonts w:cstheme="minorHAnsi"/>
          </w:rPr>
          <w:t>1.1.2.</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Organisation</w:t>
        </w:r>
        <w:r w:rsidR="00524226">
          <w:rPr>
            <w:webHidden/>
          </w:rPr>
          <w:tab/>
        </w:r>
        <w:r w:rsidR="00524226">
          <w:rPr>
            <w:webHidden/>
          </w:rPr>
          <w:fldChar w:fldCharType="begin"/>
        </w:r>
        <w:r w:rsidR="00524226">
          <w:rPr>
            <w:webHidden/>
          </w:rPr>
          <w:instrText xml:space="preserve"> PAGEREF _Toc190784021 \h </w:instrText>
        </w:r>
        <w:r w:rsidR="00524226">
          <w:rPr>
            <w:webHidden/>
          </w:rPr>
        </w:r>
        <w:r w:rsidR="00524226">
          <w:rPr>
            <w:webHidden/>
          </w:rPr>
          <w:fldChar w:fldCharType="separate"/>
        </w:r>
        <w:r>
          <w:rPr>
            <w:webHidden/>
          </w:rPr>
          <w:t>4</w:t>
        </w:r>
        <w:r w:rsidR="00524226">
          <w:rPr>
            <w:webHidden/>
          </w:rPr>
          <w:fldChar w:fldCharType="end"/>
        </w:r>
      </w:hyperlink>
    </w:p>
    <w:p w14:paraId="23E174F0" w14:textId="38B37B94"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2" w:history="1">
        <w:r w:rsidR="00524226" w:rsidRPr="00C5770E">
          <w:rPr>
            <w:rStyle w:val="Lienhypertexte"/>
            <w:rFonts w:cstheme="minorHAnsi"/>
          </w:rPr>
          <w:t>1.1.3.</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Valeurs de l’EFS</w:t>
        </w:r>
        <w:r w:rsidR="00524226">
          <w:rPr>
            <w:webHidden/>
          </w:rPr>
          <w:tab/>
        </w:r>
        <w:r w:rsidR="00524226">
          <w:rPr>
            <w:webHidden/>
          </w:rPr>
          <w:fldChar w:fldCharType="begin"/>
        </w:r>
        <w:r w:rsidR="00524226">
          <w:rPr>
            <w:webHidden/>
          </w:rPr>
          <w:instrText xml:space="preserve"> PAGEREF _Toc190784022 \h </w:instrText>
        </w:r>
        <w:r w:rsidR="00524226">
          <w:rPr>
            <w:webHidden/>
          </w:rPr>
        </w:r>
        <w:r w:rsidR="00524226">
          <w:rPr>
            <w:webHidden/>
          </w:rPr>
          <w:fldChar w:fldCharType="separate"/>
        </w:r>
        <w:r>
          <w:rPr>
            <w:webHidden/>
          </w:rPr>
          <w:t>4</w:t>
        </w:r>
        <w:r w:rsidR="00524226">
          <w:rPr>
            <w:webHidden/>
          </w:rPr>
          <w:fldChar w:fldCharType="end"/>
        </w:r>
      </w:hyperlink>
    </w:p>
    <w:p w14:paraId="1B4FD363" w14:textId="730D07B9"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3" w:history="1">
        <w:r w:rsidR="00524226" w:rsidRPr="00C5770E">
          <w:rPr>
            <w:rStyle w:val="Lienhypertexte"/>
            <w:rFonts w:cstheme="minorHAnsi"/>
          </w:rPr>
          <w:t>1.1.4.</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Chiffres clés</w:t>
        </w:r>
        <w:r w:rsidR="00524226">
          <w:rPr>
            <w:webHidden/>
          </w:rPr>
          <w:tab/>
        </w:r>
        <w:r w:rsidR="00524226">
          <w:rPr>
            <w:webHidden/>
          </w:rPr>
          <w:fldChar w:fldCharType="begin"/>
        </w:r>
        <w:r w:rsidR="00524226">
          <w:rPr>
            <w:webHidden/>
          </w:rPr>
          <w:instrText xml:space="preserve"> PAGEREF _Toc190784023 \h </w:instrText>
        </w:r>
        <w:r w:rsidR="00524226">
          <w:rPr>
            <w:webHidden/>
          </w:rPr>
        </w:r>
        <w:r w:rsidR="00524226">
          <w:rPr>
            <w:webHidden/>
          </w:rPr>
          <w:fldChar w:fldCharType="separate"/>
        </w:r>
        <w:r>
          <w:rPr>
            <w:webHidden/>
          </w:rPr>
          <w:t>5</w:t>
        </w:r>
        <w:r w:rsidR="00524226">
          <w:rPr>
            <w:webHidden/>
          </w:rPr>
          <w:fldChar w:fldCharType="end"/>
        </w:r>
      </w:hyperlink>
    </w:p>
    <w:p w14:paraId="606D3948" w14:textId="2F02D611"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4" w:history="1">
        <w:r w:rsidR="00524226" w:rsidRPr="00C5770E">
          <w:rPr>
            <w:rStyle w:val="Lienhypertexte"/>
            <w:rFonts w:cstheme="minorHAnsi"/>
          </w:rPr>
          <w:t>1.1.5.</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La mission première de l’EFS : les activités de transfusion sanguine</w:t>
        </w:r>
        <w:r w:rsidR="00524226">
          <w:rPr>
            <w:webHidden/>
          </w:rPr>
          <w:tab/>
        </w:r>
        <w:r w:rsidR="00524226">
          <w:rPr>
            <w:webHidden/>
          </w:rPr>
          <w:fldChar w:fldCharType="begin"/>
        </w:r>
        <w:r w:rsidR="00524226">
          <w:rPr>
            <w:webHidden/>
          </w:rPr>
          <w:instrText xml:space="preserve"> PAGEREF _Toc190784024 \h </w:instrText>
        </w:r>
        <w:r w:rsidR="00524226">
          <w:rPr>
            <w:webHidden/>
          </w:rPr>
        </w:r>
        <w:r w:rsidR="00524226">
          <w:rPr>
            <w:webHidden/>
          </w:rPr>
          <w:fldChar w:fldCharType="separate"/>
        </w:r>
        <w:r>
          <w:rPr>
            <w:webHidden/>
          </w:rPr>
          <w:t>5</w:t>
        </w:r>
        <w:r w:rsidR="00524226">
          <w:rPr>
            <w:webHidden/>
          </w:rPr>
          <w:fldChar w:fldCharType="end"/>
        </w:r>
      </w:hyperlink>
    </w:p>
    <w:p w14:paraId="593B6176" w14:textId="639723E8" w:rsidR="00524226" w:rsidRDefault="00B97DC9">
      <w:pPr>
        <w:pStyle w:val="TM2"/>
        <w:tabs>
          <w:tab w:val="left" w:pos="1200"/>
        </w:tabs>
        <w:rPr>
          <w:rFonts w:asciiTheme="minorHAnsi" w:eastAsiaTheme="minorEastAsia" w:hAnsiTheme="minorHAnsi" w:cstheme="minorBidi"/>
          <w:b w:val="0"/>
          <w:color w:val="auto"/>
          <w:sz w:val="22"/>
          <w:szCs w:val="22"/>
          <w:lang w:eastAsia="fr-FR"/>
        </w:rPr>
      </w:pPr>
      <w:hyperlink w:anchor="_Toc190784025" w:history="1">
        <w:r w:rsidR="00524226" w:rsidRPr="00C5770E">
          <w:rPr>
            <w:rStyle w:val="Lienhypertexte"/>
            <w:rFonts w:cstheme="minorHAnsi"/>
          </w:rPr>
          <w:t>1.1.6.</w:t>
        </w:r>
        <w:r w:rsidR="00524226">
          <w:rPr>
            <w:rFonts w:asciiTheme="minorHAnsi" w:eastAsiaTheme="minorEastAsia" w:hAnsiTheme="minorHAnsi" w:cstheme="minorBidi"/>
            <w:b w:val="0"/>
            <w:color w:val="auto"/>
            <w:sz w:val="22"/>
            <w:szCs w:val="22"/>
            <w:lang w:eastAsia="fr-FR"/>
          </w:rPr>
          <w:tab/>
        </w:r>
        <w:r w:rsidR="00524226" w:rsidRPr="00C5770E">
          <w:rPr>
            <w:rStyle w:val="Lienhypertexte"/>
            <w:rFonts w:cstheme="minorHAnsi"/>
          </w:rPr>
          <w:t>Les autres activités de l’EFS dites « activités annexes »</w:t>
        </w:r>
        <w:r w:rsidR="00524226">
          <w:rPr>
            <w:webHidden/>
          </w:rPr>
          <w:tab/>
        </w:r>
        <w:r w:rsidR="00524226">
          <w:rPr>
            <w:webHidden/>
          </w:rPr>
          <w:fldChar w:fldCharType="begin"/>
        </w:r>
        <w:r w:rsidR="00524226">
          <w:rPr>
            <w:webHidden/>
          </w:rPr>
          <w:instrText xml:space="preserve"> PAGEREF _Toc190784025 \h </w:instrText>
        </w:r>
        <w:r w:rsidR="00524226">
          <w:rPr>
            <w:webHidden/>
          </w:rPr>
        </w:r>
        <w:r w:rsidR="00524226">
          <w:rPr>
            <w:webHidden/>
          </w:rPr>
          <w:fldChar w:fldCharType="separate"/>
        </w:r>
        <w:r>
          <w:rPr>
            <w:webHidden/>
          </w:rPr>
          <w:t>6</w:t>
        </w:r>
        <w:r w:rsidR="00524226">
          <w:rPr>
            <w:webHidden/>
          </w:rPr>
          <w:fldChar w:fldCharType="end"/>
        </w:r>
      </w:hyperlink>
    </w:p>
    <w:p w14:paraId="5616D1B2" w14:textId="75DC782C" w:rsidR="00524226" w:rsidRDefault="00B97DC9">
      <w:pPr>
        <w:pStyle w:val="TM2"/>
        <w:rPr>
          <w:rFonts w:asciiTheme="minorHAnsi" w:eastAsiaTheme="minorEastAsia" w:hAnsiTheme="minorHAnsi" w:cstheme="minorBidi"/>
          <w:b w:val="0"/>
          <w:color w:val="auto"/>
          <w:sz w:val="22"/>
          <w:szCs w:val="22"/>
          <w:lang w:eastAsia="fr-FR"/>
        </w:rPr>
      </w:pPr>
      <w:hyperlink w:anchor="_Toc190784026" w:history="1">
        <w:r w:rsidR="00524226" w:rsidRPr="00C5770E">
          <w:rPr>
            <w:rStyle w:val="Lienhypertexte"/>
          </w:rPr>
          <w:t>1.2. Exigences réglementaires</w:t>
        </w:r>
        <w:r w:rsidR="00524226">
          <w:rPr>
            <w:webHidden/>
          </w:rPr>
          <w:tab/>
        </w:r>
        <w:r w:rsidR="00524226">
          <w:rPr>
            <w:webHidden/>
          </w:rPr>
          <w:fldChar w:fldCharType="begin"/>
        </w:r>
        <w:r w:rsidR="00524226">
          <w:rPr>
            <w:webHidden/>
          </w:rPr>
          <w:instrText xml:space="preserve"> PAGEREF _Toc190784026 \h </w:instrText>
        </w:r>
        <w:r w:rsidR="00524226">
          <w:rPr>
            <w:webHidden/>
          </w:rPr>
        </w:r>
        <w:r w:rsidR="00524226">
          <w:rPr>
            <w:webHidden/>
          </w:rPr>
          <w:fldChar w:fldCharType="separate"/>
        </w:r>
        <w:r>
          <w:rPr>
            <w:webHidden/>
          </w:rPr>
          <w:t>6</w:t>
        </w:r>
        <w:r w:rsidR="00524226">
          <w:rPr>
            <w:webHidden/>
          </w:rPr>
          <w:fldChar w:fldCharType="end"/>
        </w:r>
      </w:hyperlink>
    </w:p>
    <w:p w14:paraId="44776DBC" w14:textId="309F9152" w:rsidR="00524226" w:rsidRDefault="00B97DC9">
      <w:pPr>
        <w:pStyle w:val="TM2"/>
        <w:rPr>
          <w:rFonts w:asciiTheme="minorHAnsi" w:eastAsiaTheme="minorEastAsia" w:hAnsiTheme="minorHAnsi" w:cstheme="minorBidi"/>
          <w:b w:val="0"/>
          <w:color w:val="auto"/>
          <w:sz w:val="22"/>
          <w:szCs w:val="22"/>
          <w:lang w:eastAsia="fr-FR"/>
        </w:rPr>
      </w:pPr>
      <w:hyperlink w:anchor="_Toc190784027" w:history="1">
        <w:r w:rsidR="00524226" w:rsidRPr="00C5770E">
          <w:rPr>
            <w:rStyle w:val="Lienhypertexte"/>
          </w:rPr>
          <w:t>1.3. Description des Services</w:t>
        </w:r>
        <w:r w:rsidR="00524226">
          <w:rPr>
            <w:webHidden/>
          </w:rPr>
          <w:tab/>
        </w:r>
        <w:r w:rsidR="00524226">
          <w:rPr>
            <w:webHidden/>
          </w:rPr>
          <w:fldChar w:fldCharType="begin"/>
        </w:r>
        <w:r w:rsidR="00524226">
          <w:rPr>
            <w:webHidden/>
          </w:rPr>
          <w:instrText xml:space="preserve"> PAGEREF _Toc190784027 \h </w:instrText>
        </w:r>
        <w:r w:rsidR="00524226">
          <w:rPr>
            <w:webHidden/>
          </w:rPr>
        </w:r>
        <w:r w:rsidR="00524226">
          <w:rPr>
            <w:webHidden/>
          </w:rPr>
          <w:fldChar w:fldCharType="separate"/>
        </w:r>
        <w:r>
          <w:rPr>
            <w:webHidden/>
          </w:rPr>
          <w:t>6</w:t>
        </w:r>
        <w:r w:rsidR="00524226">
          <w:rPr>
            <w:webHidden/>
          </w:rPr>
          <w:fldChar w:fldCharType="end"/>
        </w:r>
      </w:hyperlink>
    </w:p>
    <w:p w14:paraId="34B9977F" w14:textId="5750335C" w:rsidR="00524226" w:rsidRDefault="00B97DC9">
      <w:pPr>
        <w:pStyle w:val="TM2"/>
        <w:rPr>
          <w:rFonts w:asciiTheme="minorHAnsi" w:eastAsiaTheme="minorEastAsia" w:hAnsiTheme="minorHAnsi" w:cstheme="minorBidi"/>
          <w:b w:val="0"/>
          <w:color w:val="auto"/>
          <w:sz w:val="22"/>
          <w:szCs w:val="22"/>
          <w:lang w:eastAsia="fr-FR"/>
        </w:rPr>
      </w:pPr>
      <w:hyperlink w:anchor="_Toc190784028" w:history="1">
        <w:r w:rsidR="00524226" w:rsidRPr="00C5770E">
          <w:rPr>
            <w:rStyle w:val="Lienhypertexte"/>
          </w:rPr>
          <w:t>1.4. Suivi de l’exécution des prestations</w:t>
        </w:r>
        <w:r w:rsidR="00524226">
          <w:rPr>
            <w:webHidden/>
          </w:rPr>
          <w:tab/>
        </w:r>
        <w:r w:rsidR="00524226">
          <w:rPr>
            <w:webHidden/>
          </w:rPr>
          <w:fldChar w:fldCharType="begin"/>
        </w:r>
        <w:r w:rsidR="00524226">
          <w:rPr>
            <w:webHidden/>
          </w:rPr>
          <w:instrText xml:space="preserve"> PAGEREF _Toc190784028 \h </w:instrText>
        </w:r>
        <w:r w:rsidR="00524226">
          <w:rPr>
            <w:webHidden/>
          </w:rPr>
        </w:r>
        <w:r w:rsidR="00524226">
          <w:rPr>
            <w:webHidden/>
          </w:rPr>
          <w:fldChar w:fldCharType="separate"/>
        </w:r>
        <w:r>
          <w:rPr>
            <w:webHidden/>
          </w:rPr>
          <w:t>7</w:t>
        </w:r>
        <w:r w:rsidR="00524226">
          <w:rPr>
            <w:webHidden/>
          </w:rPr>
          <w:fldChar w:fldCharType="end"/>
        </w:r>
      </w:hyperlink>
    </w:p>
    <w:p w14:paraId="4EF5A094" w14:textId="3A2D4BA6" w:rsidR="00524226" w:rsidRDefault="00B97DC9">
      <w:pPr>
        <w:pStyle w:val="TM2"/>
        <w:rPr>
          <w:rFonts w:asciiTheme="minorHAnsi" w:eastAsiaTheme="minorEastAsia" w:hAnsiTheme="minorHAnsi" w:cstheme="minorBidi"/>
          <w:b w:val="0"/>
          <w:color w:val="auto"/>
          <w:sz w:val="22"/>
          <w:szCs w:val="22"/>
          <w:lang w:eastAsia="fr-FR"/>
        </w:rPr>
      </w:pPr>
      <w:hyperlink w:anchor="_Toc190784029" w:history="1">
        <w:r w:rsidR="00524226" w:rsidRPr="00C5770E">
          <w:rPr>
            <w:rStyle w:val="Lienhypertexte"/>
          </w:rPr>
          <w:t>1.5. Modalités d’exécution technique des prestations</w:t>
        </w:r>
        <w:r w:rsidR="00524226">
          <w:rPr>
            <w:webHidden/>
          </w:rPr>
          <w:tab/>
        </w:r>
        <w:r w:rsidR="00524226">
          <w:rPr>
            <w:webHidden/>
          </w:rPr>
          <w:fldChar w:fldCharType="begin"/>
        </w:r>
        <w:r w:rsidR="00524226">
          <w:rPr>
            <w:webHidden/>
          </w:rPr>
          <w:instrText xml:space="preserve"> PAGEREF _Toc190784029 \h </w:instrText>
        </w:r>
        <w:r w:rsidR="00524226">
          <w:rPr>
            <w:webHidden/>
          </w:rPr>
        </w:r>
        <w:r w:rsidR="00524226">
          <w:rPr>
            <w:webHidden/>
          </w:rPr>
          <w:fldChar w:fldCharType="separate"/>
        </w:r>
        <w:r>
          <w:rPr>
            <w:webHidden/>
          </w:rPr>
          <w:t>8</w:t>
        </w:r>
        <w:r w:rsidR="00524226">
          <w:rPr>
            <w:webHidden/>
          </w:rPr>
          <w:fldChar w:fldCharType="end"/>
        </w:r>
      </w:hyperlink>
    </w:p>
    <w:p w14:paraId="401E2582" w14:textId="22CAE3B4" w:rsidR="00524226" w:rsidRDefault="00B97DC9">
      <w:pPr>
        <w:pStyle w:val="TM2"/>
        <w:rPr>
          <w:rFonts w:asciiTheme="minorHAnsi" w:eastAsiaTheme="minorEastAsia" w:hAnsiTheme="minorHAnsi" w:cstheme="minorBidi"/>
          <w:b w:val="0"/>
          <w:color w:val="auto"/>
          <w:sz w:val="22"/>
          <w:szCs w:val="22"/>
          <w:lang w:eastAsia="fr-FR"/>
        </w:rPr>
      </w:pPr>
      <w:hyperlink w:anchor="_Toc190784030" w:history="1">
        <w:r w:rsidR="00524226" w:rsidRPr="00C5770E">
          <w:rPr>
            <w:rStyle w:val="Lienhypertexte"/>
          </w:rPr>
          <w:t>1.6. Conduite des prestations par une personne nommément désignée</w:t>
        </w:r>
        <w:r w:rsidR="00524226">
          <w:rPr>
            <w:webHidden/>
          </w:rPr>
          <w:tab/>
        </w:r>
        <w:r w:rsidR="00524226">
          <w:rPr>
            <w:webHidden/>
          </w:rPr>
          <w:fldChar w:fldCharType="begin"/>
        </w:r>
        <w:r w:rsidR="00524226">
          <w:rPr>
            <w:webHidden/>
          </w:rPr>
          <w:instrText xml:space="preserve"> PAGEREF _Toc190784030 \h </w:instrText>
        </w:r>
        <w:r w:rsidR="00524226">
          <w:rPr>
            <w:webHidden/>
          </w:rPr>
        </w:r>
        <w:r w:rsidR="00524226">
          <w:rPr>
            <w:webHidden/>
          </w:rPr>
          <w:fldChar w:fldCharType="separate"/>
        </w:r>
        <w:r>
          <w:rPr>
            <w:webHidden/>
          </w:rPr>
          <w:t>9</w:t>
        </w:r>
        <w:r w:rsidR="00524226">
          <w:rPr>
            <w:webHidden/>
          </w:rPr>
          <w:fldChar w:fldCharType="end"/>
        </w:r>
      </w:hyperlink>
    </w:p>
    <w:p w14:paraId="5F91BA9A" w14:textId="5778257D" w:rsidR="00524226" w:rsidRDefault="00B97DC9">
      <w:pPr>
        <w:pStyle w:val="TM1"/>
        <w:rPr>
          <w:rFonts w:asciiTheme="minorHAnsi" w:eastAsiaTheme="minorEastAsia" w:hAnsiTheme="minorHAnsi" w:cstheme="minorBidi"/>
          <w:color w:val="auto"/>
          <w:sz w:val="22"/>
          <w:szCs w:val="22"/>
          <w:lang w:eastAsia="fr-FR"/>
        </w:rPr>
      </w:pPr>
      <w:hyperlink w:anchor="_Toc190784031" w:history="1">
        <w:r w:rsidR="00524226" w:rsidRPr="00C5770E">
          <w:rPr>
            <w:rStyle w:val="Lienhypertexte"/>
            <w:rFonts w:eastAsia="ArialNarrow" w:cs="Arial"/>
            <w14:scene3d>
              <w14:camera w14:prst="orthographicFront"/>
              <w14:lightRig w14:rig="threePt" w14:dir="t">
                <w14:rot w14:lat="0" w14:lon="0" w14:rev="0"/>
              </w14:lightRig>
            </w14:scene3d>
          </w:rPr>
          <w:t>PARTIE 2 -</w:t>
        </w:r>
        <w:r w:rsidR="00524226" w:rsidRPr="00C5770E">
          <w:rPr>
            <w:rStyle w:val="Lienhypertexte"/>
          </w:rPr>
          <w:t xml:space="preserve"> DISPOSITIONS ADMINISTRATIVES</w:t>
        </w:r>
        <w:r w:rsidR="00524226">
          <w:rPr>
            <w:webHidden/>
          </w:rPr>
          <w:tab/>
        </w:r>
        <w:r w:rsidR="00524226">
          <w:rPr>
            <w:webHidden/>
          </w:rPr>
          <w:fldChar w:fldCharType="begin"/>
        </w:r>
        <w:r w:rsidR="00524226">
          <w:rPr>
            <w:webHidden/>
          </w:rPr>
          <w:instrText xml:space="preserve"> PAGEREF _Toc190784031 \h </w:instrText>
        </w:r>
        <w:r w:rsidR="00524226">
          <w:rPr>
            <w:webHidden/>
          </w:rPr>
        </w:r>
        <w:r w:rsidR="00524226">
          <w:rPr>
            <w:webHidden/>
          </w:rPr>
          <w:fldChar w:fldCharType="separate"/>
        </w:r>
        <w:r>
          <w:rPr>
            <w:webHidden/>
          </w:rPr>
          <w:t>11</w:t>
        </w:r>
        <w:r w:rsidR="00524226">
          <w:rPr>
            <w:webHidden/>
          </w:rPr>
          <w:fldChar w:fldCharType="end"/>
        </w:r>
      </w:hyperlink>
    </w:p>
    <w:p w14:paraId="74B07FA2" w14:textId="20C3DD64" w:rsidR="00524226" w:rsidRDefault="00B97DC9">
      <w:pPr>
        <w:pStyle w:val="TM2"/>
        <w:rPr>
          <w:rFonts w:asciiTheme="minorHAnsi" w:eastAsiaTheme="minorEastAsia" w:hAnsiTheme="minorHAnsi" w:cstheme="minorBidi"/>
          <w:b w:val="0"/>
          <w:color w:val="auto"/>
          <w:sz w:val="22"/>
          <w:szCs w:val="22"/>
          <w:lang w:eastAsia="fr-FR"/>
        </w:rPr>
      </w:pPr>
      <w:hyperlink w:anchor="_Toc190784032" w:history="1">
        <w:r w:rsidR="00524226" w:rsidRPr="00C5770E">
          <w:rPr>
            <w:rStyle w:val="Lienhypertexte"/>
          </w:rPr>
          <w:t>2.1. Objet du marché public</w:t>
        </w:r>
        <w:r w:rsidR="00524226">
          <w:rPr>
            <w:webHidden/>
          </w:rPr>
          <w:tab/>
        </w:r>
        <w:r w:rsidR="00524226">
          <w:rPr>
            <w:webHidden/>
          </w:rPr>
          <w:fldChar w:fldCharType="begin"/>
        </w:r>
        <w:r w:rsidR="00524226">
          <w:rPr>
            <w:webHidden/>
          </w:rPr>
          <w:instrText xml:space="preserve"> PAGEREF _Toc190784032 \h </w:instrText>
        </w:r>
        <w:r w:rsidR="00524226">
          <w:rPr>
            <w:webHidden/>
          </w:rPr>
        </w:r>
        <w:r w:rsidR="00524226">
          <w:rPr>
            <w:webHidden/>
          </w:rPr>
          <w:fldChar w:fldCharType="separate"/>
        </w:r>
        <w:r>
          <w:rPr>
            <w:webHidden/>
          </w:rPr>
          <w:t>11</w:t>
        </w:r>
        <w:r w:rsidR="00524226">
          <w:rPr>
            <w:webHidden/>
          </w:rPr>
          <w:fldChar w:fldCharType="end"/>
        </w:r>
      </w:hyperlink>
    </w:p>
    <w:p w14:paraId="321D53F4" w14:textId="4936B0B6" w:rsidR="00524226" w:rsidRDefault="00B97DC9">
      <w:pPr>
        <w:pStyle w:val="TM2"/>
        <w:rPr>
          <w:rFonts w:asciiTheme="minorHAnsi" w:eastAsiaTheme="minorEastAsia" w:hAnsiTheme="minorHAnsi" w:cstheme="minorBidi"/>
          <w:b w:val="0"/>
          <w:color w:val="auto"/>
          <w:sz w:val="22"/>
          <w:szCs w:val="22"/>
          <w:lang w:eastAsia="fr-FR"/>
        </w:rPr>
      </w:pPr>
      <w:hyperlink w:anchor="_Toc190784033" w:history="1">
        <w:r w:rsidR="00524226" w:rsidRPr="00C5770E">
          <w:rPr>
            <w:rStyle w:val="Lienhypertexte"/>
          </w:rPr>
          <w:t>2.2. Procédure de passation</w:t>
        </w:r>
        <w:r w:rsidR="00524226">
          <w:rPr>
            <w:webHidden/>
          </w:rPr>
          <w:tab/>
        </w:r>
        <w:r w:rsidR="00524226">
          <w:rPr>
            <w:webHidden/>
          </w:rPr>
          <w:fldChar w:fldCharType="begin"/>
        </w:r>
        <w:r w:rsidR="00524226">
          <w:rPr>
            <w:webHidden/>
          </w:rPr>
          <w:instrText xml:space="preserve"> PAGEREF _Toc190784033 \h </w:instrText>
        </w:r>
        <w:r w:rsidR="00524226">
          <w:rPr>
            <w:webHidden/>
          </w:rPr>
        </w:r>
        <w:r w:rsidR="00524226">
          <w:rPr>
            <w:webHidden/>
          </w:rPr>
          <w:fldChar w:fldCharType="separate"/>
        </w:r>
        <w:r>
          <w:rPr>
            <w:webHidden/>
          </w:rPr>
          <w:t>11</w:t>
        </w:r>
        <w:r w:rsidR="00524226">
          <w:rPr>
            <w:webHidden/>
          </w:rPr>
          <w:fldChar w:fldCharType="end"/>
        </w:r>
      </w:hyperlink>
    </w:p>
    <w:p w14:paraId="2A2A72E9" w14:textId="1A86ACEF" w:rsidR="00524226" w:rsidRDefault="00B97DC9">
      <w:pPr>
        <w:pStyle w:val="TM2"/>
        <w:rPr>
          <w:rFonts w:asciiTheme="minorHAnsi" w:eastAsiaTheme="minorEastAsia" w:hAnsiTheme="minorHAnsi" w:cstheme="minorBidi"/>
          <w:b w:val="0"/>
          <w:color w:val="auto"/>
          <w:sz w:val="22"/>
          <w:szCs w:val="22"/>
          <w:lang w:eastAsia="fr-FR"/>
        </w:rPr>
      </w:pPr>
      <w:hyperlink w:anchor="_Toc190784034" w:history="1">
        <w:r w:rsidR="00524226" w:rsidRPr="00C5770E">
          <w:rPr>
            <w:rStyle w:val="Lienhypertexte"/>
          </w:rPr>
          <w:t>2.3. Marché sans publicité ni mise en concurrence préalables pour la réalisation de prestations similaires</w:t>
        </w:r>
        <w:r w:rsidR="00524226">
          <w:rPr>
            <w:webHidden/>
          </w:rPr>
          <w:tab/>
        </w:r>
        <w:r w:rsidR="00524226">
          <w:rPr>
            <w:webHidden/>
          </w:rPr>
          <w:fldChar w:fldCharType="begin"/>
        </w:r>
        <w:r w:rsidR="00524226">
          <w:rPr>
            <w:webHidden/>
          </w:rPr>
          <w:instrText xml:space="preserve"> PAGEREF _Toc190784034 \h </w:instrText>
        </w:r>
        <w:r w:rsidR="00524226">
          <w:rPr>
            <w:webHidden/>
          </w:rPr>
        </w:r>
        <w:r w:rsidR="00524226">
          <w:rPr>
            <w:webHidden/>
          </w:rPr>
          <w:fldChar w:fldCharType="separate"/>
        </w:r>
        <w:r>
          <w:rPr>
            <w:webHidden/>
          </w:rPr>
          <w:t>11</w:t>
        </w:r>
        <w:r w:rsidR="00524226">
          <w:rPr>
            <w:webHidden/>
          </w:rPr>
          <w:fldChar w:fldCharType="end"/>
        </w:r>
      </w:hyperlink>
    </w:p>
    <w:p w14:paraId="3987221F" w14:textId="484DAA80" w:rsidR="00524226" w:rsidRDefault="00B97DC9">
      <w:pPr>
        <w:pStyle w:val="TM2"/>
        <w:rPr>
          <w:rFonts w:asciiTheme="minorHAnsi" w:eastAsiaTheme="minorEastAsia" w:hAnsiTheme="minorHAnsi" w:cstheme="minorBidi"/>
          <w:b w:val="0"/>
          <w:color w:val="auto"/>
          <w:sz w:val="22"/>
          <w:szCs w:val="22"/>
          <w:lang w:eastAsia="fr-FR"/>
        </w:rPr>
      </w:pPr>
      <w:hyperlink w:anchor="_Toc190784035" w:history="1">
        <w:r w:rsidR="00524226" w:rsidRPr="00C5770E">
          <w:rPr>
            <w:rStyle w:val="Lienhypertexte"/>
          </w:rPr>
          <w:t>2.4. Allotissement</w:t>
        </w:r>
        <w:r w:rsidR="00524226">
          <w:rPr>
            <w:webHidden/>
          </w:rPr>
          <w:tab/>
        </w:r>
        <w:r w:rsidR="00524226">
          <w:rPr>
            <w:webHidden/>
          </w:rPr>
          <w:fldChar w:fldCharType="begin"/>
        </w:r>
        <w:r w:rsidR="00524226">
          <w:rPr>
            <w:webHidden/>
          </w:rPr>
          <w:instrText xml:space="preserve"> PAGEREF _Toc190784035 \h </w:instrText>
        </w:r>
        <w:r w:rsidR="00524226">
          <w:rPr>
            <w:webHidden/>
          </w:rPr>
        </w:r>
        <w:r w:rsidR="00524226">
          <w:rPr>
            <w:webHidden/>
          </w:rPr>
          <w:fldChar w:fldCharType="separate"/>
        </w:r>
        <w:r>
          <w:rPr>
            <w:webHidden/>
          </w:rPr>
          <w:t>11</w:t>
        </w:r>
        <w:r w:rsidR="00524226">
          <w:rPr>
            <w:webHidden/>
          </w:rPr>
          <w:fldChar w:fldCharType="end"/>
        </w:r>
      </w:hyperlink>
    </w:p>
    <w:p w14:paraId="1034D210" w14:textId="29607228" w:rsidR="00524226" w:rsidRDefault="00B97DC9">
      <w:pPr>
        <w:pStyle w:val="TM2"/>
        <w:rPr>
          <w:rFonts w:asciiTheme="minorHAnsi" w:eastAsiaTheme="minorEastAsia" w:hAnsiTheme="minorHAnsi" w:cstheme="minorBidi"/>
          <w:b w:val="0"/>
          <w:color w:val="auto"/>
          <w:sz w:val="22"/>
          <w:szCs w:val="22"/>
          <w:lang w:eastAsia="fr-FR"/>
        </w:rPr>
      </w:pPr>
      <w:hyperlink w:anchor="_Toc190784036" w:history="1">
        <w:r w:rsidR="00524226" w:rsidRPr="00C5770E">
          <w:rPr>
            <w:rStyle w:val="Lienhypertexte"/>
          </w:rPr>
          <w:t>2.5. Forme du marché public</w:t>
        </w:r>
        <w:r w:rsidR="00524226">
          <w:rPr>
            <w:webHidden/>
          </w:rPr>
          <w:tab/>
        </w:r>
        <w:r w:rsidR="00524226">
          <w:rPr>
            <w:webHidden/>
          </w:rPr>
          <w:fldChar w:fldCharType="begin"/>
        </w:r>
        <w:r w:rsidR="00524226">
          <w:rPr>
            <w:webHidden/>
          </w:rPr>
          <w:instrText xml:space="preserve"> PAGEREF _Toc190784036 \h </w:instrText>
        </w:r>
        <w:r w:rsidR="00524226">
          <w:rPr>
            <w:webHidden/>
          </w:rPr>
        </w:r>
        <w:r w:rsidR="00524226">
          <w:rPr>
            <w:webHidden/>
          </w:rPr>
          <w:fldChar w:fldCharType="separate"/>
        </w:r>
        <w:r>
          <w:rPr>
            <w:webHidden/>
          </w:rPr>
          <w:t>11</w:t>
        </w:r>
        <w:r w:rsidR="00524226">
          <w:rPr>
            <w:webHidden/>
          </w:rPr>
          <w:fldChar w:fldCharType="end"/>
        </w:r>
      </w:hyperlink>
    </w:p>
    <w:p w14:paraId="556B5846" w14:textId="7A7718BC" w:rsidR="00524226" w:rsidRDefault="00B97DC9">
      <w:pPr>
        <w:pStyle w:val="TM2"/>
        <w:rPr>
          <w:rFonts w:asciiTheme="minorHAnsi" w:eastAsiaTheme="minorEastAsia" w:hAnsiTheme="minorHAnsi" w:cstheme="minorBidi"/>
          <w:b w:val="0"/>
          <w:color w:val="auto"/>
          <w:sz w:val="22"/>
          <w:szCs w:val="22"/>
          <w:lang w:eastAsia="fr-FR"/>
        </w:rPr>
      </w:pPr>
      <w:hyperlink w:anchor="_Toc190784037" w:history="1">
        <w:r w:rsidR="00524226" w:rsidRPr="00C5770E">
          <w:rPr>
            <w:rStyle w:val="Lienhypertexte"/>
          </w:rPr>
          <w:t>2.6. Estimation du marché public</w:t>
        </w:r>
        <w:r w:rsidR="00524226">
          <w:rPr>
            <w:webHidden/>
          </w:rPr>
          <w:tab/>
        </w:r>
        <w:r w:rsidR="00524226">
          <w:rPr>
            <w:webHidden/>
          </w:rPr>
          <w:fldChar w:fldCharType="begin"/>
        </w:r>
        <w:r w:rsidR="00524226">
          <w:rPr>
            <w:webHidden/>
          </w:rPr>
          <w:instrText xml:space="preserve"> PAGEREF _Toc190784037 \h </w:instrText>
        </w:r>
        <w:r w:rsidR="00524226">
          <w:rPr>
            <w:webHidden/>
          </w:rPr>
        </w:r>
        <w:r w:rsidR="00524226">
          <w:rPr>
            <w:webHidden/>
          </w:rPr>
          <w:fldChar w:fldCharType="separate"/>
        </w:r>
        <w:r>
          <w:rPr>
            <w:webHidden/>
          </w:rPr>
          <w:t>11</w:t>
        </w:r>
        <w:r w:rsidR="00524226">
          <w:rPr>
            <w:webHidden/>
          </w:rPr>
          <w:fldChar w:fldCharType="end"/>
        </w:r>
      </w:hyperlink>
    </w:p>
    <w:p w14:paraId="12265292" w14:textId="105B6552" w:rsidR="00524226" w:rsidRDefault="00B97DC9">
      <w:pPr>
        <w:pStyle w:val="TM2"/>
        <w:rPr>
          <w:rFonts w:asciiTheme="minorHAnsi" w:eastAsiaTheme="minorEastAsia" w:hAnsiTheme="minorHAnsi" w:cstheme="minorBidi"/>
          <w:b w:val="0"/>
          <w:color w:val="auto"/>
          <w:sz w:val="22"/>
          <w:szCs w:val="22"/>
          <w:lang w:eastAsia="fr-FR"/>
        </w:rPr>
      </w:pPr>
      <w:hyperlink w:anchor="_Toc190784038" w:history="1">
        <w:r w:rsidR="00524226" w:rsidRPr="00C5770E">
          <w:rPr>
            <w:rStyle w:val="Lienhypertexte"/>
          </w:rPr>
          <w:t>2.7. Durée du marché public</w:t>
        </w:r>
        <w:r w:rsidR="00524226">
          <w:rPr>
            <w:webHidden/>
          </w:rPr>
          <w:tab/>
        </w:r>
        <w:r w:rsidR="00524226">
          <w:rPr>
            <w:webHidden/>
          </w:rPr>
          <w:fldChar w:fldCharType="begin"/>
        </w:r>
        <w:r w:rsidR="00524226">
          <w:rPr>
            <w:webHidden/>
          </w:rPr>
          <w:instrText xml:space="preserve"> PAGEREF _Toc190784038 \h </w:instrText>
        </w:r>
        <w:r w:rsidR="00524226">
          <w:rPr>
            <w:webHidden/>
          </w:rPr>
        </w:r>
        <w:r w:rsidR="00524226">
          <w:rPr>
            <w:webHidden/>
          </w:rPr>
          <w:fldChar w:fldCharType="separate"/>
        </w:r>
        <w:r>
          <w:rPr>
            <w:webHidden/>
          </w:rPr>
          <w:t>11</w:t>
        </w:r>
        <w:r w:rsidR="00524226">
          <w:rPr>
            <w:webHidden/>
          </w:rPr>
          <w:fldChar w:fldCharType="end"/>
        </w:r>
      </w:hyperlink>
    </w:p>
    <w:p w14:paraId="633A560C" w14:textId="570EC139" w:rsidR="00524226" w:rsidRDefault="00B97DC9">
      <w:pPr>
        <w:pStyle w:val="TM2"/>
        <w:rPr>
          <w:rFonts w:asciiTheme="minorHAnsi" w:eastAsiaTheme="minorEastAsia" w:hAnsiTheme="minorHAnsi" w:cstheme="minorBidi"/>
          <w:b w:val="0"/>
          <w:color w:val="auto"/>
          <w:sz w:val="22"/>
          <w:szCs w:val="22"/>
          <w:lang w:eastAsia="fr-FR"/>
        </w:rPr>
      </w:pPr>
      <w:hyperlink w:anchor="_Toc190784039" w:history="1">
        <w:r w:rsidR="00524226" w:rsidRPr="00C5770E">
          <w:rPr>
            <w:rStyle w:val="Lienhypertexte"/>
          </w:rPr>
          <w:t>2.8. Langue d’exécution du marché public</w:t>
        </w:r>
        <w:r w:rsidR="00524226">
          <w:rPr>
            <w:webHidden/>
          </w:rPr>
          <w:tab/>
        </w:r>
        <w:r w:rsidR="00524226">
          <w:rPr>
            <w:webHidden/>
          </w:rPr>
          <w:fldChar w:fldCharType="begin"/>
        </w:r>
        <w:r w:rsidR="00524226">
          <w:rPr>
            <w:webHidden/>
          </w:rPr>
          <w:instrText xml:space="preserve"> PAGEREF _Toc190784039 \h </w:instrText>
        </w:r>
        <w:r w:rsidR="00524226">
          <w:rPr>
            <w:webHidden/>
          </w:rPr>
        </w:r>
        <w:r w:rsidR="00524226">
          <w:rPr>
            <w:webHidden/>
          </w:rPr>
          <w:fldChar w:fldCharType="separate"/>
        </w:r>
        <w:r>
          <w:rPr>
            <w:webHidden/>
          </w:rPr>
          <w:t>12</w:t>
        </w:r>
        <w:r w:rsidR="00524226">
          <w:rPr>
            <w:webHidden/>
          </w:rPr>
          <w:fldChar w:fldCharType="end"/>
        </w:r>
      </w:hyperlink>
    </w:p>
    <w:p w14:paraId="5003EE3D" w14:textId="612FD739" w:rsidR="00524226" w:rsidRDefault="00B97DC9">
      <w:pPr>
        <w:pStyle w:val="TM2"/>
        <w:rPr>
          <w:rFonts w:asciiTheme="minorHAnsi" w:eastAsiaTheme="minorEastAsia" w:hAnsiTheme="minorHAnsi" w:cstheme="minorBidi"/>
          <w:b w:val="0"/>
          <w:color w:val="auto"/>
          <w:sz w:val="22"/>
          <w:szCs w:val="22"/>
          <w:lang w:eastAsia="fr-FR"/>
        </w:rPr>
      </w:pPr>
      <w:hyperlink w:anchor="_Toc190784040" w:history="1">
        <w:r w:rsidR="00524226" w:rsidRPr="00C5770E">
          <w:rPr>
            <w:rStyle w:val="Lienhypertexte"/>
          </w:rPr>
          <w:t>2.9. Pièces constitutives du marché public</w:t>
        </w:r>
        <w:r w:rsidR="00524226">
          <w:rPr>
            <w:webHidden/>
          </w:rPr>
          <w:tab/>
        </w:r>
        <w:r w:rsidR="00524226">
          <w:rPr>
            <w:webHidden/>
          </w:rPr>
          <w:fldChar w:fldCharType="begin"/>
        </w:r>
        <w:r w:rsidR="00524226">
          <w:rPr>
            <w:webHidden/>
          </w:rPr>
          <w:instrText xml:space="preserve"> PAGEREF _Toc190784040 \h </w:instrText>
        </w:r>
        <w:r w:rsidR="00524226">
          <w:rPr>
            <w:webHidden/>
          </w:rPr>
        </w:r>
        <w:r w:rsidR="00524226">
          <w:rPr>
            <w:webHidden/>
          </w:rPr>
          <w:fldChar w:fldCharType="separate"/>
        </w:r>
        <w:r>
          <w:rPr>
            <w:webHidden/>
          </w:rPr>
          <w:t>12</w:t>
        </w:r>
        <w:r w:rsidR="00524226">
          <w:rPr>
            <w:webHidden/>
          </w:rPr>
          <w:fldChar w:fldCharType="end"/>
        </w:r>
      </w:hyperlink>
    </w:p>
    <w:p w14:paraId="41D778DF" w14:textId="2934E215" w:rsidR="00524226" w:rsidRDefault="00B97DC9">
      <w:pPr>
        <w:pStyle w:val="TM2"/>
        <w:rPr>
          <w:rFonts w:asciiTheme="minorHAnsi" w:eastAsiaTheme="minorEastAsia" w:hAnsiTheme="minorHAnsi" w:cstheme="minorBidi"/>
          <w:b w:val="0"/>
          <w:color w:val="auto"/>
          <w:sz w:val="22"/>
          <w:szCs w:val="22"/>
          <w:lang w:eastAsia="fr-FR"/>
        </w:rPr>
      </w:pPr>
      <w:hyperlink w:anchor="_Toc190784041" w:history="1">
        <w:r w:rsidR="00524226" w:rsidRPr="00C5770E">
          <w:rPr>
            <w:rStyle w:val="Lienhypertexte"/>
          </w:rPr>
          <w:t>2.10. Exécution du marché public</w:t>
        </w:r>
        <w:r w:rsidR="00524226">
          <w:rPr>
            <w:webHidden/>
          </w:rPr>
          <w:tab/>
        </w:r>
        <w:r w:rsidR="00524226">
          <w:rPr>
            <w:webHidden/>
          </w:rPr>
          <w:fldChar w:fldCharType="begin"/>
        </w:r>
        <w:r w:rsidR="00524226">
          <w:rPr>
            <w:webHidden/>
          </w:rPr>
          <w:instrText xml:space="preserve"> PAGEREF _Toc190784041 \h </w:instrText>
        </w:r>
        <w:r w:rsidR="00524226">
          <w:rPr>
            <w:webHidden/>
          </w:rPr>
        </w:r>
        <w:r w:rsidR="00524226">
          <w:rPr>
            <w:webHidden/>
          </w:rPr>
          <w:fldChar w:fldCharType="separate"/>
        </w:r>
        <w:r>
          <w:rPr>
            <w:webHidden/>
          </w:rPr>
          <w:t>12</w:t>
        </w:r>
        <w:r w:rsidR="00524226">
          <w:rPr>
            <w:webHidden/>
          </w:rPr>
          <w:fldChar w:fldCharType="end"/>
        </w:r>
      </w:hyperlink>
    </w:p>
    <w:p w14:paraId="0244CD45" w14:textId="5219AE6C" w:rsidR="00524226" w:rsidRDefault="00B97DC9">
      <w:pPr>
        <w:pStyle w:val="TM2"/>
        <w:rPr>
          <w:rFonts w:asciiTheme="minorHAnsi" w:eastAsiaTheme="minorEastAsia" w:hAnsiTheme="minorHAnsi" w:cstheme="minorBidi"/>
          <w:b w:val="0"/>
          <w:color w:val="auto"/>
          <w:sz w:val="22"/>
          <w:szCs w:val="22"/>
          <w:lang w:eastAsia="fr-FR"/>
        </w:rPr>
      </w:pPr>
      <w:hyperlink w:anchor="_Toc190784042" w:history="1">
        <w:r w:rsidR="00524226" w:rsidRPr="00C5770E">
          <w:rPr>
            <w:rStyle w:val="Lienhypertexte"/>
          </w:rPr>
          <w:t>2.11. Pénalités</w:t>
        </w:r>
        <w:r w:rsidR="00524226">
          <w:rPr>
            <w:webHidden/>
          </w:rPr>
          <w:tab/>
        </w:r>
        <w:r w:rsidR="00524226">
          <w:rPr>
            <w:webHidden/>
          </w:rPr>
          <w:fldChar w:fldCharType="begin"/>
        </w:r>
        <w:r w:rsidR="00524226">
          <w:rPr>
            <w:webHidden/>
          </w:rPr>
          <w:instrText xml:space="preserve"> PAGEREF _Toc190784042 \h </w:instrText>
        </w:r>
        <w:r w:rsidR="00524226">
          <w:rPr>
            <w:webHidden/>
          </w:rPr>
        </w:r>
        <w:r w:rsidR="00524226">
          <w:rPr>
            <w:webHidden/>
          </w:rPr>
          <w:fldChar w:fldCharType="separate"/>
        </w:r>
        <w:r>
          <w:rPr>
            <w:webHidden/>
          </w:rPr>
          <w:t>15</w:t>
        </w:r>
        <w:r w:rsidR="00524226">
          <w:rPr>
            <w:webHidden/>
          </w:rPr>
          <w:fldChar w:fldCharType="end"/>
        </w:r>
      </w:hyperlink>
    </w:p>
    <w:p w14:paraId="248383C5" w14:textId="021007E3" w:rsidR="00524226" w:rsidRDefault="00B97DC9">
      <w:pPr>
        <w:pStyle w:val="TM2"/>
        <w:rPr>
          <w:rFonts w:asciiTheme="minorHAnsi" w:eastAsiaTheme="minorEastAsia" w:hAnsiTheme="minorHAnsi" w:cstheme="minorBidi"/>
          <w:b w:val="0"/>
          <w:color w:val="auto"/>
          <w:sz w:val="22"/>
          <w:szCs w:val="22"/>
          <w:lang w:eastAsia="fr-FR"/>
        </w:rPr>
      </w:pPr>
      <w:hyperlink w:anchor="_Toc190784043" w:history="1">
        <w:r w:rsidR="00524226" w:rsidRPr="00C5770E">
          <w:rPr>
            <w:rStyle w:val="Lienhypertexte"/>
          </w:rPr>
          <w:t>2.12. Sous-traitance</w:t>
        </w:r>
        <w:r w:rsidR="00524226">
          <w:rPr>
            <w:webHidden/>
          </w:rPr>
          <w:tab/>
        </w:r>
        <w:r w:rsidR="00524226">
          <w:rPr>
            <w:webHidden/>
          </w:rPr>
          <w:fldChar w:fldCharType="begin"/>
        </w:r>
        <w:r w:rsidR="00524226">
          <w:rPr>
            <w:webHidden/>
          </w:rPr>
          <w:instrText xml:space="preserve"> PAGEREF _Toc190784043 \h </w:instrText>
        </w:r>
        <w:r w:rsidR="00524226">
          <w:rPr>
            <w:webHidden/>
          </w:rPr>
        </w:r>
        <w:r w:rsidR="00524226">
          <w:rPr>
            <w:webHidden/>
          </w:rPr>
          <w:fldChar w:fldCharType="separate"/>
        </w:r>
        <w:r>
          <w:rPr>
            <w:webHidden/>
          </w:rPr>
          <w:t>16</w:t>
        </w:r>
        <w:r w:rsidR="00524226">
          <w:rPr>
            <w:webHidden/>
          </w:rPr>
          <w:fldChar w:fldCharType="end"/>
        </w:r>
      </w:hyperlink>
    </w:p>
    <w:p w14:paraId="6462DCC8" w14:textId="189517E6" w:rsidR="00524226" w:rsidRDefault="00B97DC9">
      <w:pPr>
        <w:pStyle w:val="TM2"/>
        <w:rPr>
          <w:rFonts w:asciiTheme="minorHAnsi" w:eastAsiaTheme="minorEastAsia" w:hAnsiTheme="minorHAnsi" w:cstheme="minorBidi"/>
          <w:b w:val="0"/>
          <w:color w:val="auto"/>
          <w:sz w:val="22"/>
          <w:szCs w:val="22"/>
          <w:lang w:eastAsia="fr-FR"/>
        </w:rPr>
      </w:pPr>
      <w:hyperlink w:anchor="_Toc190784044" w:history="1">
        <w:r w:rsidR="00524226" w:rsidRPr="00C5770E">
          <w:rPr>
            <w:rStyle w:val="Lienhypertexte"/>
          </w:rPr>
          <w:t>2.13. Modifications du marché public</w:t>
        </w:r>
        <w:r w:rsidR="00524226">
          <w:rPr>
            <w:webHidden/>
          </w:rPr>
          <w:tab/>
        </w:r>
        <w:r w:rsidR="00524226">
          <w:rPr>
            <w:webHidden/>
          </w:rPr>
          <w:fldChar w:fldCharType="begin"/>
        </w:r>
        <w:r w:rsidR="00524226">
          <w:rPr>
            <w:webHidden/>
          </w:rPr>
          <w:instrText xml:space="preserve"> PAGEREF _Toc190784044 \h </w:instrText>
        </w:r>
        <w:r w:rsidR="00524226">
          <w:rPr>
            <w:webHidden/>
          </w:rPr>
        </w:r>
        <w:r w:rsidR="00524226">
          <w:rPr>
            <w:webHidden/>
          </w:rPr>
          <w:fldChar w:fldCharType="separate"/>
        </w:r>
        <w:r>
          <w:rPr>
            <w:webHidden/>
          </w:rPr>
          <w:t>16</w:t>
        </w:r>
        <w:r w:rsidR="00524226">
          <w:rPr>
            <w:webHidden/>
          </w:rPr>
          <w:fldChar w:fldCharType="end"/>
        </w:r>
      </w:hyperlink>
    </w:p>
    <w:p w14:paraId="3FBCC8B0" w14:textId="04B945C7" w:rsidR="00524226" w:rsidRDefault="00B97DC9">
      <w:pPr>
        <w:pStyle w:val="TM2"/>
        <w:rPr>
          <w:rFonts w:asciiTheme="minorHAnsi" w:eastAsiaTheme="minorEastAsia" w:hAnsiTheme="minorHAnsi" w:cstheme="minorBidi"/>
          <w:b w:val="0"/>
          <w:color w:val="auto"/>
          <w:sz w:val="22"/>
          <w:szCs w:val="22"/>
          <w:lang w:eastAsia="fr-FR"/>
        </w:rPr>
      </w:pPr>
      <w:hyperlink w:anchor="_Toc190784045" w:history="1">
        <w:r w:rsidR="00524226" w:rsidRPr="00C5770E">
          <w:rPr>
            <w:rStyle w:val="Lienhypertexte"/>
            <w:caps/>
            <w:lang w:eastAsia="en-US"/>
          </w:rPr>
          <w:t>2.14.</w:t>
        </w:r>
        <w:r w:rsidR="00524226" w:rsidRPr="00C5770E">
          <w:rPr>
            <w:rStyle w:val="Lienhypertexte"/>
          </w:rPr>
          <w:t xml:space="preserve"> Défaillance du Titulaire</w:t>
        </w:r>
        <w:r w:rsidR="00524226">
          <w:rPr>
            <w:webHidden/>
          </w:rPr>
          <w:tab/>
        </w:r>
        <w:r w:rsidR="00524226">
          <w:rPr>
            <w:webHidden/>
          </w:rPr>
          <w:fldChar w:fldCharType="begin"/>
        </w:r>
        <w:r w:rsidR="00524226">
          <w:rPr>
            <w:webHidden/>
          </w:rPr>
          <w:instrText xml:space="preserve"> PAGEREF _Toc190784045 \h </w:instrText>
        </w:r>
        <w:r w:rsidR="00524226">
          <w:rPr>
            <w:webHidden/>
          </w:rPr>
        </w:r>
        <w:r w:rsidR="00524226">
          <w:rPr>
            <w:webHidden/>
          </w:rPr>
          <w:fldChar w:fldCharType="separate"/>
        </w:r>
        <w:r>
          <w:rPr>
            <w:webHidden/>
          </w:rPr>
          <w:t>18</w:t>
        </w:r>
        <w:r w:rsidR="00524226">
          <w:rPr>
            <w:webHidden/>
          </w:rPr>
          <w:fldChar w:fldCharType="end"/>
        </w:r>
      </w:hyperlink>
    </w:p>
    <w:p w14:paraId="486BCE38" w14:textId="43CB1DD5" w:rsidR="00524226" w:rsidRDefault="00B97DC9">
      <w:pPr>
        <w:pStyle w:val="TM2"/>
        <w:rPr>
          <w:rFonts w:asciiTheme="minorHAnsi" w:eastAsiaTheme="minorEastAsia" w:hAnsiTheme="minorHAnsi" w:cstheme="minorBidi"/>
          <w:b w:val="0"/>
          <w:color w:val="auto"/>
          <w:sz w:val="22"/>
          <w:szCs w:val="22"/>
          <w:lang w:eastAsia="fr-FR"/>
        </w:rPr>
      </w:pPr>
      <w:hyperlink w:anchor="_Toc190784046" w:history="1">
        <w:r w:rsidR="00524226" w:rsidRPr="00C5770E">
          <w:rPr>
            <w:rStyle w:val="Lienhypertexte"/>
          </w:rPr>
          <w:t>2.15. Règlement financier du marche</w:t>
        </w:r>
        <w:r w:rsidR="00524226">
          <w:rPr>
            <w:webHidden/>
          </w:rPr>
          <w:tab/>
        </w:r>
        <w:r w:rsidR="00524226">
          <w:rPr>
            <w:webHidden/>
          </w:rPr>
          <w:fldChar w:fldCharType="begin"/>
        </w:r>
        <w:r w:rsidR="00524226">
          <w:rPr>
            <w:webHidden/>
          </w:rPr>
          <w:instrText xml:space="preserve"> PAGEREF _Toc190784046 \h </w:instrText>
        </w:r>
        <w:r w:rsidR="00524226">
          <w:rPr>
            <w:webHidden/>
          </w:rPr>
        </w:r>
        <w:r w:rsidR="00524226">
          <w:rPr>
            <w:webHidden/>
          </w:rPr>
          <w:fldChar w:fldCharType="separate"/>
        </w:r>
        <w:r>
          <w:rPr>
            <w:webHidden/>
          </w:rPr>
          <w:t>18</w:t>
        </w:r>
        <w:r w:rsidR="00524226">
          <w:rPr>
            <w:webHidden/>
          </w:rPr>
          <w:fldChar w:fldCharType="end"/>
        </w:r>
      </w:hyperlink>
    </w:p>
    <w:p w14:paraId="6AD322B7" w14:textId="6EDBCA25" w:rsidR="00524226" w:rsidRDefault="00B97DC9">
      <w:pPr>
        <w:pStyle w:val="TM2"/>
        <w:rPr>
          <w:rFonts w:asciiTheme="minorHAnsi" w:eastAsiaTheme="minorEastAsia" w:hAnsiTheme="minorHAnsi" w:cstheme="minorBidi"/>
          <w:b w:val="0"/>
          <w:color w:val="auto"/>
          <w:sz w:val="22"/>
          <w:szCs w:val="22"/>
          <w:lang w:eastAsia="fr-FR"/>
        </w:rPr>
      </w:pPr>
      <w:hyperlink w:anchor="_Toc190784047" w:history="1">
        <w:r w:rsidR="00524226" w:rsidRPr="00C5770E">
          <w:rPr>
            <w:rStyle w:val="Lienhypertexte"/>
            <w:lang w:eastAsia="en-US"/>
          </w:rPr>
          <w:t>2.16. Confidentialité</w:t>
        </w:r>
        <w:r w:rsidR="00524226">
          <w:rPr>
            <w:webHidden/>
          </w:rPr>
          <w:tab/>
        </w:r>
        <w:r w:rsidR="00524226">
          <w:rPr>
            <w:webHidden/>
          </w:rPr>
          <w:fldChar w:fldCharType="begin"/>
        </w:r>
        <w:r w:rsidR="00524226">
          <w:rPr>
            <w:webHidden/>
          </w:rPr>
          <w:instrText xml:space="preserve"> PAGEREF _Toc190784047 \h </w:instrText>
        </w:r>
        <w:r w:rsidR="00524226">
          <w:rPr>
            <w:webHidden/>
          </w:rPr>
        </w:r>
        <w:r w:rsidR="00524226">
          <w:rPr>
            <w:webHidden/>
          </w:rPr>
          <w:fldChar w:fldCharType="separate"/>
        </w:r>
        <w:r>
          <w:rPr>
            <w:webHidden/>
          </w:rPr>
          <w:t>21</w:t>
        </w:r>
        <w:r w:rsidR="00524226">
          <w:rPr>
            <w:webHidden/>
          </w:rPr>
          <w:fldChar w:fldCharType="end"/>
        </w:r>
      </w:hyperlink>
    </w:p>
    <w:p w14:paraId="40E7C7A8" w14:textId="36518373" w:rsidR="00524226" w:rsidRDefault="00B97DC9">
      <w:pPr>
        <w:pStyle w:val="TM2"/>
        <w:rPr>
          <w:rFonts w:asciiTheme="minorHAnsi" w:eastAsiaTheme="minorEastAsia" w:hAnsiTheme="minorHAnsi" w:cstheme="minorBidi"/>
          <w:b w:val="0"/>
          <w:color w:val="auto"/>
          <w:sz w:val="22"/>
          <w:szCs w:val="22"/>
          <w:lang w:eastAsia="fr-FR"/>
        </w:rPr>
      </w:pPr>
      <w:hyperlink w:anchor="_Toc190784048" w:history="1">
        <w:r w:rsidR="00524226" w:rsidRPr="00C5770E">
          <w:rPr>
            <w:rStyle w:val="Lienhypertexte"/>
            <w:lang w:eastAsia="en-US"/>
          </w:rPr>
          <w:t>2.17. Responsabilité - Assurances</w:t>
        </w:r>
        <w:r w:rsidR="00524226">
          <w:rPr>
            <w:webHidden/>
          </w:rPr>
          <w:tab/>
        </w:r>
        <w:r w:rsidR="00524226">
          <w:rPr>
            <w:webHidden/>
          </w:rPr>
          <w:fldChar w:fldCharType="begin"/>
        </w:r>
        <w:r w:rsidR="00524226">
          <w:rPr>
            <w:webHidden/>
          </w:rPr>
          <w:instrText xml:space="preserve"> PAGEREF _Toc190784048 \h </w:instrText>
        </w:r>
        <w:r w:rsidR="00524226">
          <w:rPr>
            <w:webHidden/>
          </w:rPr>
        </w:r>
        <w:r w:rsidR="00524226">
          <w:rPr>
            <w:webHidden/>
          </w:rPr>
          <w:fldChar w:fldCharType="separate"/>
        </w:r>
        <w:r>
          <w:rPr>
            <w:webHidden/>
          </w:rPr>
          <w:t>22</w:t>
        </w:r>
        <w:r w:rsidR="00524226">
          <w:rPr>
            <w:webHidden/>
          </w:rPr>
          <w:fldChar w:fldCharType="end"/>
        </w:r>
      </w:hyperlink>
    </w:p>
    <w:p w14:paraId="16E35791" w14:textId="7D06A51C" w:rsidR="00524226" w:rsidRDefault="00B97DC9">
      <w:pPr>
        <w:pStyle w:val="TM2"/>
        <w:rPr>
          <w:rFonts w:asciiTheme="minorHAnsi" w:eastAsiaTheme="minorEastAsia" w:hAnsiTheme="minorHAnsi" w:cstheme="minorBidi"/>
          <w:b w:val="0"/>
          <w:color w:val="auto"/>
          <w:sz w:val="22"/>
          <w:szCs w:val="22"/>
          <w:lang w:eastAsia="fr-FR"/>
        </w:rPr>
      </w:pPr>
      <w:hyperlink w:anchor="_Toc190784049" w:history="1">
        <w:r w:rsidR="00524226" w:rsidRPr="00C5770E">
          <w:rPr>
            <w:rStyle w:val="Lienhypertexte"/>
            <w:lang w:eastAsia="en-US"/>
          </w:rPr>
          <w:t>2.18. Résiliation du marché public (articles L.2195-1 et suivants du code de la commande publique)</w:t>
        </w:r>
        <w:r w:rsidR="00524226">
          <w:rPr>
            <w:webHidden/>
          </w:rPr>
          <w:tab/>
        </w:r>
        <w:r w:rsidR="00524226">
          <w:rPr>
            <w:webHidden/>
          </w:rPr>
          <w:fldChar w:fldCharType="begin"/>
        </w:r>
        <w:r w:rsidR="00524226">
          <w:rPr>
            <w:webHidden/>
          </w:rPr>
          <w:instrText xml:space="preserve"> PAGEREF _Toc190784049 \h </w:instrText>
        </w:r>
        <w:r w:rsidR="00524226">
          <w:rPr>
            <w:webHidden/>
          </w:rPr>
        </w:r>
        <w:r w:rsidR="00524226">
          <w:rPr>
            <w:webHidden/>
          </w:rPr>
          <w:fldChar w:fldCharType="separate"/>
        </w:r>
        <w:r>
          <w:rPr>
            <w:webHidden/>
          </w:rPr>
          <w:t>22</w:t>
        </w:r>
        <w:r w:rsidR="00524226">
          <w:rPr>
            <w:webHidden/>
          </w:rPr>
          <w:fldChar w:fldCharType="end"/>
        </w:r>
      </w:hyperlink>
    </w:p>
    <w:p w14:paraId="2AA31FDB" w14:textId="28848602" w:rsidR="00524226" w:rsidRDefault="00B97DC9">
      <w:pPr>
        <w:pStyle w:val="TM2"/>
        <w:rPr>
          <w:rFonts w:asciiTheme="minorHAnsi" w:eastAsiaTheme="minorEastAsia" w:hAnsiTheme="minorHAnsi" w:cstheme="minorBidi"/>
          <w:b w:val="0"/>
          <w:color w:val="auto"/>
          <w:sz w:val="22"/>
          <w:szCs w:val="22"/>
          <w:lang w:eastAsia="fr-FR"/>
        </w:rPr>
      </w:pPr>
      <w:hyperlink w:anchor="_Toc190784050" w:history="1">
        <w:r w:rsidR="00524226" w:rsidRPr="00C5770E">
          <w:rPr>
            <w:rStyle w:val="Lienhypertexte"/>
            <w:lang w:eastAsia="en-US"/>
          </w:rPr>
          <w:t>2.19. Exécution aux frais et risques</w:t>
        </w:r>
        <w:r w:rsidR="00524226">
          <w:rPr>
            <w:webHidden/>
          </w:rPr>
          <w:tab/>
        </w:r>
        <w:r w:rsidR="00524226">
          <w:rPr>
            <w:webHidden/>
          </w:rPr>
          <w:fldChar w:fldCharType="begin"/>
        </w:r>
        <w:r w:rsidR="00524226">
          <w:rPr>
            <w:webHidden/>
          </w:rPr>
          <w:instrText xml:space="preserve"> PAGEREF _Toc190784050 \h </w:instrText>
        </w:r>
        <w:r w:rsidR="00524226">
          <w:rPr>
            <w:webHidden/>
          </w:rPr>
        </w:r>
        <w:r w:rsidR="00524226">
          <w:rPr>
            <w:webHidden/>
          </w:rPr>
          <w:fldChar w:fldCharType="separate"/>
        </w:r>
        <w:r>
          <w:rPr>
            <w:webHidden/>
          </w:rPr>
          <w:t>23</w:t>
        </w:r>
        <w:r w:rsidR="00524226">
          <w:rPr>
            <w:webHidden/>
          </w:rPr>
          <w:fldChar w:fldCharType="end"/>
        </w:r>
      </w:hyperlink>
    </w:p>
    <w:p w14:paraId="4F09E7A7" w14:textId="7E448400" w:rsidR="00524226" w:rsidRDefault="00B97DC9">
      <w:pPr>
        <w:pStyle w:val="TM2"/>
        <w:rPr>
          <w:rFonts w:asciiTheme="minorHAnsi" w:eastAsiaTheme="minorEastAsia" w:hAnsiTheme="minorHAnsi" w:cstheme="minorBidi"/>
          <w:b w:val="0"/>
          <w:color w:val="auto"/>
          <w:sz w:val="22"/>
          <w:szCs w:val="22"/>
          <w:lang w:eastAsia="fr-FR"/>
        </w:rPr>
      </w:pPr>
      <w:hyperlink w:anchor="_Toc190784051" w:history="1">
        <w:r w:rsidR="00524226" w:rsidRPr="00C5770E">
          <w:rPr>
            <w:rStyle w:val="Lienhypertexte"/>
            <w:lang w:eastAsia="en-US"/>
          </w:rPr>
          <w:t>2.20. Litiges</w:t>
        </w:r>
        <w:r w:rsidR="00524226">
          <w:rPr>
            <w:webHidden/>
          </w:rPr>
          <w:tab/>
        </w:r>
        <w:r w:rsidR="00524226">
          <w:rPr>
            <w:webHidden/>
          </w:rPr>
          <w:fldChar w:fldCharType="begin"/>
        </w:r>
        <w:r w:rsidR="00524226">
          <w:rPr>
            <w:webHidden/>
          </w:rPr>
          <w:instrText xml:space="preserve"> PAGEREF _Toc190784051 \h </w:instrText>
        </w:r>
        <w:r w:rsidR="00524226">
          <w:rPr>
            <w:webHidden/>
          </w:rPr>
        </w:r>
        <w:r w:rsidR="00524226">
          <w:rPr>
            <w:webHidden/>
          </w:rPr>
          <w:fldChar w:fldCharType="separate"/>
        </w:r>
        <w:r>
          <w:rPr>
            <w:webHidden/>
          </w:rPr>
          <w:t>23</w:t>
        </w:r>
        <w:r w:rsidR="00524226">
          <w:rPr>
            <w:webHidden/>
          </w:rPr>
          <w:fldChar w:fldCharType="end"/>
        </w:r>
      </w:hyperlink>
    </w:p>
    <w:p w14:paraId="4A08DC5E" w14:textId="12D0B7D9" w:rsidR="00524226" w:rsidRDefault="00B97DC9">
      <w:pPr>
        <w:pStyle w:val="TM2"/>
        <w:rPr>
          <w:rFonts w:asciiTheme="minorHAnsi" w:eastAsiaTheme="minorEastAsia" w:hAnsiTheme="minorHAnsi" w:cstheme="minorBidi"/>
          <w:b w:val="0"/>
          <w:color w:val="auto"/>
          <w:sz w:val="22"/>
          <w:szCs w:val="22"/>
          <w:lang w:eastAsia="fr-FR"/>
        </w:rPr>
      </w:pPr>
      <w:hyperlink w:anchor="_Toc190784052" w:history="1">
        <w:r w:rsidR="00524226" w:rsidRPr="00C5770E">
          <w:rPr>
            <w:rStyle w:val="Lienhypertexte"/>
            <w:lang w:eastAsia="en-US"/>
          </w:rPr>
          <w:t>2.21. Obligations du Titulaire au regard de sa situation fiscale et sociale</w:t>
        </w:r>
        <w:r w:rsidR="00524226">
          <w:rPr>
            <w:webHidden/>
          </w:rPr>
          <w:tab/>
        </w:r>
        <w:r w:rsidR="00524226">
          <w:rPr>
            <w:webHidden/>
          </w:rPr>
          <w:fldChar w:fldCharType="begin"/>
        </w:r>
        <w:r w:rsidR="00524226">
          <w:rPr>
            <w:webHidden/>
          </w:rPr>
          <w:instrText xml:space="preserve"> PAGEREF _Toc190784052 \h </w:instrText>
        </w:r>
        <w:r w:rsidR="00524226">
          <w:rPr>
            <w:webHidden/>
          </w:rPr>
        </w:r>
        <w:r w:rsidR="00524226">
          <w:rPr>
            <w:webHidden/>
          </w:rPr>
          <w:fldChar w:fldCharType="separate"/>
        </w:r>
        <w:r>
          <w:rPr>
            <w:webHidden/>
          </w:rPr>
          <w:t>23</w:t>
        </w:r>
        <w:r w:rsidR="00524226">
          <w:rPr>
            <w:webHidden/>
          </w:rPr>
          <w:fldChar w:fldCharType="end"/>
        </w:r>
      </w:hyperlink>
    </w:p>
    <w:p w14:paraId="50FACECD" w14:textId="160A584C" w:rsidR="00524226" w:rsidRDefault="00B97DC9">
      <w:pPr>
        <w:pStyle w:val="TM1"/>
        <w:rPr>
          <w:rFonts w:asciiTheme="minorHAnsi" w:eastAsiaTheme="minorEastAsia" w:hAnsiTheme="minorHAnsi" w:cstheme="minorBidi"/>
          <w:color w:val="auto"/>
          <w:sz w:val="22"/>
          <w:szCs w:val="22"/>
          <w:lang w:eastAsia="fr-FR"/>
        </w:rPr>
      </w:pPr>
      <w:hyperlink w:anchor="_Toc190784053" w:history="1">
        <w:r w:rsidR="00524226" w:rsidRPr="00C5770E">
          <w:rPr>
            <w:rStyle w:val="Lienhypertexte"/>
            <w:rFonts w:cs="Arial"/>
            <w14:scene3d>
              <w14:camera w14:prst="orthographicFront"/>
              <w14:lightRig w14:rig="threePt" w14:dir="t">
                <w14:rot w14:lat="0" w14:lon="0" w14:rev="0"/>
              </w14:lightRig>
            </w14:scene3d>
          </w:rPr>
          <w:t>PARTIE 3 -</w:t>
        </w:r>
        <w:r w:rsidR="00524226" w:rsidRPr="00C5770E">
          <w:rPr>
            <w:rStyle w:val="Lienhypertexte"/>
          </w:rPr>
          <w:t xml:space="preserve"> ACTE D’ENGAGEMENT </w:t>
        </w:r>
        <w:r w:rsidR="00524226" w:rsidRPr="00C5770E">
          <w:rPr>
            <w:rStyle w:val="Lienhypertexte"/>
            <w:i/>
            <w:iCs/>
          </w:rPr>
          <w:t>(PARTIE A COMPLETER PAR LE CANDIDAT)</w:t>
        </w:r>
        <w:r w:rsidR="00524226">
          <w:rPr>
            <w:webHidden/>
          </w:rPr>
          <w:tab/>
        </w:r>
        <w:r w:rsidR="00524226">
          <w:rPr>
            <w:webHidden/>
          </w:rPr>
          <w:fldChar w:fldCharType="begin"/>
        </w:r>
        <w:r w:rsidR="00524226">
          <w:rPr>
            <w:webHidden/>
          </w:rPr>
          <w:instrText xml:space="preserve"> PAGEREF _Toc190784053 \h </w:instrText>
        </w:r>
        <w:r w:rsidR="00524226">
          <w:rPr>
            <w:webHidden/>
          </w:rPr>
        </w:r>
        <w:r w:rsidR="00524226">
          <w:rPr>
            <w:webHidden/>
          </w:rPr>
          <w:fldChar w:fldCharType="separate"/>
        </w:r>
        <w:r>
          <w:rPr>
            <w:webHidden/>
          </w:rPr>
          <w:t>25</w:t>
        </w:r>
        <w:r w:rsidR="00524226">
          <w:rPr>
            <w:webHidden/>
          </w:rPr>
          <w:fldChar w:fldCharType="end"/>
        </w:r>
      </w:hyperlink>
    </w:p>
    <w:p w14:paraId="40DC6158" w14:textId="21A1B606" w:rsidR="00524226" w:rsidRDefault="00B97DC9">
      <w:pPr>
        <w:pStyle w:val="TM2"/>
        <w:rPr>
          <w:rFonts w:asciiTheme="minorHAnsi" w:eastAsiaTheme="minorEastAsia" w:hAnsiTheme="minorHAnsi" w:cstheme="minorBidi"/>
          <w:b w:val="0"/>
          <w:color w:val="auto"/>
          <w:sz w:val="22"/>
          <w:szCs w:val="22"/>
          <w:lang w:eastAsia="fr-FR"/>
        </w:rPr>
      </w:pPr>
      <w:hyperlink w:anchor="_Toc190784054" w:history="1">
        <w:r w:rsidR="00524226" w:rsidRPr="00C5770E">
          <w:rPr>
            <w:rStyle w:val="Lienhypertexte"/>
          </w:rPr>
          <w:t>3.1. Cet acte d'engagement correspond :</w:t>
        </w:r>
        <w:r w:rsidR="00524226">
          <w:rPr>
            <w:webHidden/>
          </w:rPr>
          <w:tab/>
        </w:r>
        <w:r w:rsidR="00524226">
          <w:rPr>
            <w:webHidden/>
          </w:rPr>
          <w:fldChar w:fldCharType="begin"/>
        </w:r>
        <w:r w:rsidR="00524226">
          <w:rPr>
            <w:webHidden/>
          </w:rPr>
          <w:instrText xml:space="preserve"> PAGEREF _Toc190784054 \h </w:instrText>
        </w:r>
        <w:r w:rsidR="00524226">
          <w:rPr>
            <w:webHidden/>
          </w:rPr>
        </w:r>
        <w:r w:rsidR="00524226">
          <w:rPr>
            <w:webHidden/>
          </w:rPr>
          <w:fldChar w:fldCharType="separate"/>
        </w:r>
        <w:r>
          <w:rPr>
            <w:webHidden/>
          </w:rPr>
          <w:t>25</w:t>
        </w:r>
        <w:r w:rsidR="00524226">
          <w:rPr>
            <w:webHidden/>
          </w:rPr>
          <w:fldChar w:fldCharType="end"/>
        </w:r>
      </w:hyperlink>
    </w:p>
    <w:p w14:paraId="618F42C3" w14:textId="0E1340CE" w:rsidR="00524226" w:rsidRDefault="00B97DC9">
      <w:pPr>
        <w:pStyle w:val="TM2"/>
        <w:rPr>
          <w:rFonts w:asciiTheme="minorHAnsi" w:eastAsiaTheme="minorEastAsia" w:hAnsiTheme="minorHAnsi" w:cstheme="minorBidi"/>
          <w:b w:val="0"/>
          <w:color w:val="auto"/>
          <w:sz w:val="22"/>
          <w:szCs w:val="22"/>
          <w:lang w:eastAsia="fr-FR"/>
        </w:rPr>
      </w:pPr>
      <w:hyperlink w:anchor="_Toc190784055" w:history="1">
        <w:r w:rsidR="00524226" w:rsidRPr="00C5770E">
          <w:rPr>
            <w:rStyle w:val="Lienhypertexte"/>
          </w:rPr>
          <w:t>3.2. Engagement du soumissionnaire ou du groupement d’opérateurs économiques</w:t>
        </w:r>
        <w:r w:rsidR="00524226">
          <w:rPr>
            <w:webHidden/>
          </w:rPr>
          <w:tab/>
        </w:r>
        <w:r w:rsidR="00524226">
          <w:rPr>
            <w:webHidden/>
          </w:rPr>
          <w:fldChar w:fldCharType="begin"/>
        </w:r>
        <w:r w:rsidR="00524226">
          <w:rPr>
            <w:webHidden/>
          </w:rPr>
          <w:instrText xml:space="preserve"> PAGEREF _Toc190784055 \h </w:instrText>
        </w:r>
        <w:r w:rsidR="00524226">
          <w:rPr>
            <w:webHidden/>
          </w:rPr>
        </w:r>
        <w:r w:rsidR="00524226">
          <w:rPr>
            <w:webHidden/>
          </w:rPr>
          <w:fldChar w:fldCharType="separate"/>
        </w:r>
        <w:r>
          <w:rPr>
            <w:webHidden/>
          </w:rPr>
          <w:t>25</w:t>
        </w:r>
        <w:r w:rsidR="00524226">
          <w:rPr>
            <w:webHidden/>
          </w:rPr>
          <w:fldChar w:fldCharType="end"/>
        </w:r>
      </w:hyperlink>
    </w:p>
    <w:p w14:paraId="50010BDB" w14:textId="735DEB19" w:rsidR="00524226" w:rsidRDefault="00B97DC9">
      <w:pPr>
        <w:pStyle w:val="TM2"/>
        <w:rPr>
          <w:rFonts w:asciiTheme="minorHAnsi" w:eastAsiaTheme="minorEastAsia" w:hAnsiTheme="minorHAnsi" w:cstheme="minorBidi"/>
          <w:b w:val="0"/>
          <w:color w:val="auto"/>
          <w:sz w:val="22"/>
          <w:szCs w:val="22"/>
          <w:lang w:eastAsia="fr-FR"/>
        </w:rPr>
      </w:pPr>
      <w:hyperlink w:anchor="_Toc190784056" w:history="1">
        <w:r w:rsidR="00524226" w:rsidRPr="00C5770E">
          <w:rPr>
            <w:rStyle w:val="Lienhypertexte"/>
          </w:rPr>
          <w:t>3.3. Signature du marché public par le soumissionnaire, candidat individuel, ou, en cas groupement d’opérateurs économiques, le mandataire dûment habilité ou chaque membre du groupement</w:t>
        </w:r>
        <w:r w:rsidR="00524226">
          <w:rPr>
            <w:webHidden/>
          </w:rPr>
          <w:tab/>
        </w:r>
        <w:r w:rsidR="00524226">
          <w:rPr>
            <w:webHidden/>
          </w:rPr>
          <w:fldChar w:fldCharType="begin"/>
        </w:r>
        <w:r w:rsidR="00524226">
          <w:rPr>
            <w:webHidden/>
          </w:rPr>
          <w:instrText xml:space="preserve"> PAGEREF _Toc190784056 \h </w:instrText>
        </w:r>
        <w:r w:rsidR="00524226">
          <w:rPr>
            <w:webHidden/>
          </w:rPr>
        </w:r>
        <w:r w:rsidR="00524226">
          <w:rPr>
            <w:webHidden/>
          </w:rPr>
          <w:fldChar w:fldCharType="separate"/>
        </w:r>
        <w:r>
          <w:rPr>
            <w:webHidden/>
          </w:rPr>
          <w:t>27</w:t>
        </w:r>
        <w:r w:rsidR="00524226">
          <w:rPr>
            <w:webHidden/>
          </w:rPr>
          <w:fldChar w:fldCharType="end"/>
        </w:r>
      </w:hyperlink>
    </w:p>
    <w:p w14:paraId="5330A24E" w14:textId="28685A72" w:rsidR="00524226" w:rsidRDefault="00B97DC9">
      <w:pPr>
        <w:pStyle w:val="TM2"/>
        <w:rPr>
          <w:rFonts w:asciiTheme="minorHAnsi" w:eastAsiaTheme="minorEastAsia" w:hAnsiTheme="minorHAnsi" w:cstheme="minorBidi"/>
          <w:b w:val="0"/>
          <w:color w:val="auto"/>
          <w:sz w:val="22"/>
          <w:szCs w:val="22"/>
          <w:lang w:eastAsia="fr-FR"/>
        </w:rPr>
      </w:pPr>
      <w:hyperlink w:anchor="_Toc190784057" w:history="1">
        <w:r w:rsidR="00524226" w:rsidRPr="00C5770E">
          <w:rPr>
            <w:rStyle w:val="Lienhypertexte"/>
          </w:rPr>
          <w:t>3.4. Identification du (des) pouvoirs adjudicateurs</w:t>
        </w:r>
        <w:r w:rsidR="00524226">
          <w:rPr>
            <w:webHidden/>
          </w:rPr>
          <w:tab/>
        </w:r>
        <w:r w:rsidR="00524226">
          <w:rPr>
            <w:webHidden/>
          </w:rPr>
          <w:fldChar w:fldCharType="begin"/>
        </w:r>
        <w:r w:rsidR="00524226">
          <w:rPr>
            <w:webHidden/>
          </w:rPr>
          <w:instrText xml:space="preserve"> PAGEREF _Toc190784057 \h </w:instrText>
        </w:r>
        <w:r w:rsidR="00524226">
          <w:rPr>
            <w:webHidden/>
          </w:rPr>
        </w:r>
        <w:r w:rsidR="00524226">
          <w:rPr>
            <w:webHidden/>
          </w:rPr>
          <w:fldChar w:fldCharType="separate"/>
        </w:r>
        <w:r>
          <w:rPr>
            <w:webHidden/>
          </w:rPr>
          <w:t>29</w:t>
        </w:r>
        <w:r w:rsidR="00524226">
          <w:rPr>
            <w:webHidden/>
          </w:rPr>
          <w:fldChar w:fldCharType="end"/>
        </w:r>
      </w:hyperlink>
    </w:p>
    <w:p w14:paraId="0BCF6AB2" w14:textId="4FF6961D" w:rsidR="00524226" w:rsidRDefault="00B97DC9">
      <w:pPr>
        <w:pStyle w:val="TM1"/>
        <w:rPr>
          <w:rFonts w:asciiTheme="minorHAnsi" w:eastAsiaTheme="minorEastAsia" w:hAnsiTheme="minorHAnsi" w:cstheme="minorBidi"/>
          <w:color w:val="auto"/>
          <w:sz w:val="22"/>
          <w:szCs w:val="22"/>
          <w:lang w:eastAsia="fr-FR"/>
        </w:rPr>
      </w:pPr>
      <w:hyperlink w:anchor="_Toc190784058" w:history="1">
        <w:r w:rsidR="00524226" w:rsidRPr="00C5770E">
          <w:rPr>
            <w:rStyle w:val="Lienhypertexte"/>
            <w14:scene3d>
              <w14:camera w14:prst="orthographicFront"/>
              <w14:lightRig w14:rig="threePt" w14:dir="t">
                <w14:rot w14:lat="0" w14:lon="0" w14:rev="0"/>
              </w14:lightRig>
            </w14:scene3d>
          </w:rPr>
          <w:t>PARTIE 4 -</w:t>
        </w:r>
        <w:r w:rsidR="00524226" w:rsidRPr="00C5770E">
          <w:rPr>
            <w:rStyle w:val="Lienhypertexte"/>
          </w:rPr>
          <w:t xml:space="preserve"> DECISION DU (DES) POUVOIR(S) ADJUDICATEUR(S) </w:t>
        </w:r>
        <w:r w:rsidR="00524226" w:rsidRPr="00C5770E">
          <w:rPr>
            <w:rStyle w:val="Lienhypertexte"/>
            <w:i/>
            <w:iCs/>
          </w:rPr>
          <w:t>(PARTIE A COMPLETER PAR L’EFS)</w:t>
        </w:r>
        <w:r w:rsidR="00524226">
          <w:rPr>
            <w:webHidden/>
          </w:rPr>
          <w:tab/>
        </w:r>
        <w:r w:rsidR="00524226">
          <w:rPr>
            <w:webHidden/>
          </w:rPr>
          <w:fldChar w:fldCharType="begin"/>
        </w:r>
        <w:r w:rsidR="00524226">
          <w:rPr>
            <w:webHidden/>
          </w:rPr>
          <w:instrText xml:space="preserve"> PAGEREF _Toc190784058 \h </w:instrText>
        </w:r>
        <w:r w:rsidR="00524226">
          <w:rPr>
            <w:webHidden/>
          </w:rPr>
        </w:r>
        <w:r w:rsidR="00524226">
          <w:rPr>
            <w:webHidden/>
          </w:rPr>
          <w:fldChar w:fldCharType="separate"/>
        </w:r>
        <w:r>
          <w:rPr>
            <w:webHidden/>
          </w:rPr>
          <w:t>31</w:t>
        </w:r>
        <w:r w:rsidR="00524226">
          <w:rPr>
            <w:webHidden/>
          </w:rPr>
          <w:fldChar w:fldCharType="end"/>
        </w:r>
      </w:hyperlink>
    </w:p>
    <w:p w14:paraId="2D27FBA3" w14:textId="2EB64A58" w:rsidR="00D644E5" w:rsidRDefault="0005386A" w:rsidP="00917D3A">
      <w:pPr>
        <w:pStyle w:val="Titre1"/>
      </w:pPr>
      <w:r w:rsidRPr="2D113B91">
        <w:lastRenderedPageBreak/>
        <w:fldChar w:fldCharType="end"/>
      </w:r>
      <w:bookmarkStart w:id="0" w:name="_Toc190784018"/>
      <w:r w:rsidR="00D644E5" w:rsidRPr="00D644E5">
        <w:t>CLAUSES</w:t>
      </w:r>
      <w:r w:rsidR="00D644E5">
        <w:t xml:space="preserve"> DE PRESENTATION GENERALE ET</w:t>
      </w:r>
      <w:r w:rsidR="00D644E5" w:rsidRPr="00977ADF">
        <w:t xml:space="preserve"> TECHNIQUES</w:t>
      </w:r>
      <w:bookmarkEnd w:id="0"/>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7E1B3B78" w:rsidR="00D644E5" w:rsidRDefault="00D644E5" w:rsidP="00234EE9">
      <w:pPr>
        <w:pStyle w:val="Titre2"/>
        <w:numPr>
          <w:ilvl w:val="1"/>
          <w:numId w:val="10"/>
        </w:numPr>
      </w:pPr>
      <w:bookmarkStart w:id="1" w:name="_Toc190784019"/>
      <w:bookmarkStart w:id="2" w:name="_Toc4764636"/>
      <w:r>
        <w:t>Description de l’EFS</w:t>
      </w:r>
      <w:bookmarkEnd w:id="1"/>
    </w:p>
    <w:p w14:paraId="5B2F0874"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3" w:name="_Toc478052089"/>
      <w:bookmarkStart w:id="4" w:name="_Toc482203262"/>
      <w:bookmarkStart w:id="5" w:name="_Toc94624994"/>
      <w:bookmarkStart w:id="6" w:name="_Toc182494679"/>
      <w:bookmarkStart w:id="7" w:name="_Toc190784020"/>
      <w:r w:rsidRPr="000E3E0A">
        <w:rPr>
          <w:rFonts w:asciiTheme="minorHAnsi" w:hAnsiTheme="minorHAnsi" w:cstheme="minorHAnsi"/>
          <w:b w:val="0"/>
          <w:color w:val="C00000"/>
        </w:rPr>
        <w:t>Missions</w:t>
      </w:r>
      <w:bookmarkEnd w:id="3"/>
      <w:bookmarkEnd w:id="4"/>
      <w:bookmarkEnd w:id="5"/>
      <w:bookmarkEnd w:id="6"/>
      <w:bookmarkEnd w:id="7"/>
    </w:p>
    <w:p w14:paraId="36644087" w14:textId="5181BEF9"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L’EFS est un établissement public de l’État place sous la tutelle du ministre charge de la santé. Depuis sa création, le 1</w:t>
      </w:r>
      <w:r w:rsidRPr="00387139">
        <w:rPr>
          <w:rFonts w:cstheme="minorHAnsi"/>
          <w:color w:val="000000" w:themeColor="text2"/>
          <w:szCs w:val="24"/>
          <w:vertAlign w:val="superscript"/>
        </w:rPr>
        <w:t>er</w:t>
      </w:r>
      <w:r w:rsidRPr="00387139">
        <w:rPr>
          <w:rFonts w:cstheme="minorHAnsi"/>
          <w:color w:val="000000" w:themeColor="text2"/>
          <w:szCs w:val="24"/>
        </w:rPr>
        <w:t xml:space="preserve"> janvier 2000, l’EFS est </w:t>
      </w:r>
      <w:proofErr w:type="spellStart"/>
      <w:r w:rsidR="008B4714">
        <w:rPr>
          <w:rFonts w:cstheme="minorHAnsi"/>
          <w:color w:val="000000" w:themeColor="text2"/>
          <w:szCs w:val="24"/>
        </w:rPr>
        <w:t>ets</w:t>
      </w:r>
      <w:proofErr w:type="spellEnd"/>
      <w:r w:rsidR="008B4714">
        <w:rPr>
          <w:rFonts w:cstheme="minorHAnsi"/>
          <w:color w:val="000000" w:themeColor="text2"/>
          <w:szCs w:val="24"/>
        </w:rPr>
        <w:t xml:space="preserve"> le service public du sang </w:t>
      </w:r>
      <w:r w:rsidRPr="00387139">
        <w:rPr>
          <w:rFonts w:cstheme="minorHAnsi"/>
          <w:color w:val="000000" w:themeColor="text2"/>
          <w:szCs w:val="24"/>
        </w:rPr>
        <w:t>en France. À ce titre il a le monopole, sur l’ensemble du territoire, des activités de collecte, de préparation et de qualification des produits sanguins labiles, ainsi que leur distribution aux établissements de santé. Parallèlement, l’EFS exerce des activités notamment de laboratoire de biologie médicale, de centres de santé, de recherche et de banques de tissus et cellules.</w:t>
      </w:r>
      <w:bookmarkStart w:id="8" w:name="_Toc478052090"/>
      <w:bookmarkStart w:id="9" w:name="_Toc482203263"/>
    </w:p>
    <w:p w14:paraId="3F0C5495"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10" w:name="_Toc94624995"/>
      <w:bookmarkStart w:id="11" w:name="_Toc182494680"/>
      <w:bookmarkStart w:id="12" w:name="_Toc190784021"/>
      <w:r w:rsidRPr="000E3E0A">
        <w:rPr>
          <w:rFonts w:asciiTheme="minorHAnsi" w:hAnsiTheme="minorHAnsi" w:cstheme="minorHAnsi"/>
          <w:b w:val="0"/>
          <w:color w:val="C00000"/>
        </w:rPr>
        <w:t>Organisation</w:t>
      </w:r>
      <w:bookmarkEnd w:id="8"/>
      <w:bookmarkEnd w:id="9"/>
      <w:bookmarkEnd w:id="10"/>
      <w:bookmarkEnd w:id="11"/>
      <w:bookmarkEnd w:id="12"/>
    </w:p>
    <w:p w14:paraId="5715B44A"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L’EFS est constitué de services centraux situés à Saint-Denis (93) et de 13 établissements régionaux dénommés Établissements de Transfusion Sanguine (ETS) (10 sur le territoire métropolitain et 3 dans les départements d’Outre-mer), organisés chacun en plusieurs sites transfusionnels.</w:t>
      </w:r>
    </w:p>
    <w:p w14:paraId="76B264C1"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A la tête de chaque ETS se trouve un directeur, nommé par le président de l’EFS et son conseil d’administration. En application de l’article L.1223-4 du code de la sante publique, chaque directeur reçoit délégation de compétence de la part du président de l’EFS pour la gestion de son établissement.</w:t>
      </w:r>
    </w:p>
    <w:p w14:paraId="34D03334"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13" w:name="_Toc478052091"/>
      <w:bookmarkStart w:id="14" w:name="_Toc482203264"/>
      <w:bookmarkStart w:id="15" w:name="_Toc94624996"/>
      <w:bookmarkStart w:id="16" w:name="_Toc182494681"/>
      <w:bookmarkStart w:id="17" w:name="_Toc190784022"/>
      <w:r w:rsidRPr="000E3E0A">
        <w:rPr>
          <w:rFonts w:asciiTheme="minorHAnsi" w:hAnsiTheme="minorHAnsi" w:cstheme="minorHAnsi"/>
          <w:b w:val="0"/>
          <w:color w:val="C00000"/>
        </w:rPr>
        <w:t>Valeurs de l’EFS</w:t>
      </w:r>
      <w:bookmarkEnd w:id="13"/>
      <w:bookmarkEnd w:id="14"/>
      <w:bookmarkEnd w:id="15"/>
      <w:bookmarkEnd w:id="16"/>
      <w:bookmarkEnd w:id="17"/>
    </w:p>
    <w:p w14:paraId="32492BBB" w14:textId="77777777" w:rsidR="00EF4826" w:rsidRPr="00387139" w:rsidRDefault="00EF4826" w:rsidP="00EF4826">
      <w:pPr>
        <w:autoSpaceDE w:val="0"/>
        <w:autoSpaceDN w:val="0"/>
        <w:adjustRightInd w:val="0"/>
        <w:spacing w:beforeLines="40" w:before="96" w:afterLines="80" w:after="192" w:line="288" w:lineRule="auto"/>
        <w:rPr>
          <w:rFonts w:eastAsia="ArialNarrow" w:cstheme="minorHAnsi"/>
          <w:color w:val="000000" w:themeColor="text2"/>
          <w:szCs w:val="24"/>
        </w:rPr>
      </w:pPr>
      <w:r w:rsidRPr="00387139">
        <w:rPr>
          <w:rFonts w:eastAsia="ArialNarrow" w:cstheme="minorHAnsi"/>
          <w:color w:val="000000" w:themeColor="text2"/>
          <w:szCs w:val="24"/>
        </w:rPr>
        <w:t>Les principales valeurs véhiculées par l’Établissement français du sang sont les suivantes :</w:t>
      </w:r>
    </w:p>
    <w:p w14:paraId="3C1F769B" w14:textId="77777777" w:rsidR="00EF4826" w:rsidRPr="00387139" w:rsidRDefault="00EF4826" w:rsidP="00EF4826">
      <w:pPr>
        <w:autoSpaceDE w:val="0"/>
        <w:autoSpaceDN w:val="0"/>
        <w:adjustRightInd w:val="0"/>
        <w:spacing w:beforeLines="40" w:before="96" w:afterLines="80" w:after="192" w:line="288" w:lineRule="auto"/>
        <w:rPr>
          <w:rFonts w:eastAsia="ArialNarrow" w:cstheme="minorHAnsi"/>
          <w:color w:val="000000" w:themeColor="text2"/>
          <w:szCs w:val="24"/>
          <w:u w:val="single"/>
        </w:rPr>
      </w:pPr>
      <w:r w:rsidRPr="00387139">
        <w:rPr>
          <w:rFonts w:eastAsia="ArialNarrow" w:cstheme="minorHAnsi"/>
          <w:color w:val="000000" w:themeColor="text2"/>
          <w:szCs w:val="24"/>
          <w:u w:val="single"/>
        </w:rPr>
        <w:t>Le sens de l’intérêt public</w:t>
      </w:r>
    </w:p>
    <w:p w14:paraId="1E15F1B3"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Présence institutionnelle solide, multiple et diversifiée.</w:t>
      </w:r>
    </w:p>
    <w:p w14:paraId="4AE62E41"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Institution de référence, à forte image de marque.</w:t>
      </w:r>
    </w:p>
    <w:p w14:paraId="7B893F5D"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Service public moderne, dynamique et accessible.</w:t>
      </w:r>
    </w:p>
    <w:p w14:paraId="5B50C520" w14:textId="77777777" w:rsidR="00EF4826" w:rsidRPr="00387139" w:rsidRDefault="00EF4826" w:rsidP="00EF4826">
      <w:pPr>
        <w:rPr>
          <w:rFonts w:cstheme="minorHAnsi"/>
          <w:color w:val="000000" w:themeColor="text2"/>
          <w:szCs w:val="24"/>
        </w:rPr>
      </w:pPr>
    </w:p>
    <w:p w14:paraId="44A73DA8" w14:textId="77777777" w:rsidR="00EF4826" w:rsidRPr="00387139" w:rsidRDefault="00EF4826" w:rsidP="00EF4826">
      <w:pPr>
        <w:autoSpaceDE w:val="0"/>
        <w:autoSpaceDN w:val="0"/>
        <w:adjustRightInd w:val="0"/>
        <w:spacing w:beforeLines="40" w:before="96" w:afterLines="80" w:after="192" w:line="288" w:lineRule="auto"/>
        <w:rPr>
          <w:rFonts w:eastAsia="ArialNarrow" w:cstheme="minorHAnsi"/>
          <w:color w:val="000000" w:themeColor="text2"/>
          <w:szCs w:val="24"/>
          <w:u w:val="single"/>
        </w:rPr>
      </w:pPr>
      <w:r w:rsidRPr="00387139">
        <w:rPr>
          <w:rFonts w:eastAsia="ArialNarrow" w:cstheme="minorHAnsi"/>
          <w:color w:val="000000" w:themeColor="text2"/>
          <w:szCs w:val="24"/>
          <w:u w:val="single"/>
        </w:rPr>
        <w:t>Une entreprise éthique</w:t>
      </w:r>
    </w:p>
    <w:p w14:paraId="5EF5387C"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Respect de la dignité de la personne : ouverture à autrui (place centrale du donneur et respect des malades).</w:t>
      </w:r>
    </w:p>
    <w:p w14:paraId="0084E0D1"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Anonymat : seul l’EFS connait l’identité du donneur et du receveur.</w:t>
      </w:r>
    </w:p>
    <w:p w14:paraId="04B15765"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Bénévolat : le don de sang est gratuit et ne peut être rémunéré sous quelque forme que ce soit.</w:t>
      </w:r>
    </w:p>
    <w:p w14:paraId="22726A47"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Volontariat : le don de sang est un acte librement accompli, sans aucune contrainte.</w:t>
      </w:r>
    </w:p>
    <w:p w14:paraId="1A63E7B1" w14:textId="77777777" w:rsidR="00EF4826" w:rsidRDefault="00EF4826" w:rsidP="00EF4826">
      <w:pPr>
        <w:rPr>
          <w:rFonts w:cstheme="minorHAnsi"/>
          <w:color w:val="000000" w:themeColor="text2"/>
          <w:szCs w:val="24"/>
        </w:rPr>
      </w:pPr>
    </w:p>
    <w:p w14:paraId="05BC26D7" w14:textId="77777777" w:rsidR="00EF4826" w:rsidRDefault="00EF4826" w:rsidP="00EF4826">
      <w:pPr>
        <w:rPr>
          <w:rFonts w:cstheme="minorHAnsi"/>
          <w:color w:val="000000" w:themeColor="text2"/>
          <w:szCs w:val="24"/>
        </w:rPr>
      </w:pPr>
    </w:p>
    <w:p w14:paraId="1E2AC469" w14:textId="77777777" w:rsidR="00EF4826" w:rsidRDefault="00EF4826" w:rsidP="00EF4826">
      <w:pPr>
        <w:rPr>
          <w:rFonts w:cstheme="minorHAnsi"/>
          <w:color w:val="000000" w:themeColor="text2"/>
          <w:szCs w:val="24"/>
        </w:rPr>
      </w:pPr>
    </w:p>
    <w:p w14:paraId="69BDB81C" w14:textId="77777777" w:rsidR="00EF4826" w:rsidRPr="00387139" w:rsidRDefault="00EF4826" w:rsidP="00EF4826">
      <w:pPr>
        <w:rPr>
          <w:rFonts w:cstheme="minorHAnsi"/>
          <w:color w:val="000000" w:themeColor="text2"/>
          <w:szCs w:val="24"/>
        </w:rPr>
      </w:pPr>
    </w:p>
    <w:p w14:paraId="2E4D0910" w14:textId="77777777" w:rsidR="00EF4826" w:rsidRPr="00387139" w:rsidRDefault="00EF4826" w:rsidP="00EF4826">
      <w:pPr>
        <w:pStyle w:val="Textedesaisie"/>
        <w:spacing w:beforeLines="40" w:before="96" w:afterLines="80" w:after="192" w:line="288" w:lineRule="auto"/>
        <w:rPr>
          <w:rFonts w:cstheme="minorHAnsi"/>
          <w:color w:val="000000" w:themeColor="text2"/>
          <w:sz w:val="22"/>
          <w:u w:val="single"/>
        </w:rPr>
      </w:pPr>
      <w:r w:rsidRPr="00387139">
        <w:rPr>
          <w:rFonts w:cstheme="minorHAnsi"/>
          <w:color w:val="000000" w:themeColor="text2"/>
          <w:sz w:val="22"/>
          <w:u w:val="single"/>
        </w:rPr>
        <w:lastRenderedPageBreak/>
        <w:t>Une mission de santé publique</w:t>
      </w:r>
    </w:p>
    <w:p w14:paraId="5C6188C5"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Répondre aux besoins des patients</w:t>
      </w:r>
    </w:p>
    <w:p w14:paraId="24C8E53B"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Maîtrise et savoir-faire</w:t>
      </w:r>
    </w:p>
    <w:p w14:paraId="4A0EBEFB"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Qualité, sécurité et rigueur professionnelle.</w:t>
      </w:r>
    </w:p>
    <w:p w14:paraId="32C18604" w14:textId="77777777" w:rsidR="00EF4826"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Capacité de réflexion et de pédagogie.</w:t>
      </w:r>
    </w:p>
    <w:p w14:paraId="453F1155" w14:textId="77777777" w:rsidR="00EF4826" w:rsidRPr="00387139" w:rsidRDefault="00EF4826" w:rsidP="00EF4826">
      <w:pPr>
        <w:pStyle w:val="Paragraphedeliste"/>
        <w:suppressAutoHyphens w:val="0"/>
        <w:spacing w:before="0" w:after="0"/>
        <w:ind w:left="714"/>
        <w:contextualSpacing/>
        <w:rPr>
          <w:rFonts w:cstheme="minorHAnsi"/>
          <w:color w:val="000000" w:themeColor="text2"/>
          <w:szCs w:val="24"/>
        </w:rPr>
      </w:pPr>
    </w:p>
    <w:p w14:paraId="1F88C777"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18" w:name="_Toc94624997"/>
      <w:bookmarkStart w:id="19" w:name="_Toc182494682"/>
      <w:bookmarkStart w:id="20" w:name="_Toc190784023"/>
      <w:bookmarkStart w:id="21" w:name="_Toc478052092"/>
      <w:bookmarkStart w:id="22" w:name="_Toc482203265"/>
      <w:r w:rsidRPr="000E3E0A">
        <w:rPr>
          <w:rFonts w:asciiTheme="minorHAnsi" w:hAnsiTheme="minorHAnsi" w:cstheme="minorHAnsi"/>
          <w:b w:val="0"/>
          <w:color w:val="C00000"/>
        </w:rPr>
        <w:t>Chiffres clés</w:t>
      </w:r>
      <w:bookmarkEnd w:id="18"/>
      <w:bookmarkEnd w:id="19"/>
      <w:bookmarkEnd w:id="20"/>
      <w:r w:rsidRPr="000E3E0A">
        <w:rPr>
          <w:rFonts w:asciiTheme="minorHAnsi" w:hAnsiTheme="minorHAnsi" w:cstheme="minorHAnsi"/>
          <w:b w:val="0"/>
          <w:color w:val="C00000"/>
        </w:rPr>
        <w:t xml:space="preserve"> </w:t>
      </w:r>
      <w:bookmarkEnd w:id="21"/>
      <w:bookmarkEnd w:id="22"/>
    </w:p>
    <w:p w14:paraId="5D58F50C" w14:textId="77777777" w:rsidR="00EF4826" w:rsidRPr="00387139" w:rsidRDefault="00EF4826" w:rsidP="00EF4826">
      <w:pPr>
        <w:pStyle w:val="Textedesaisie"/>
        <w:spacing w:beforeLines="40" w:before="96" w:afterLines="80" w:after="192" w:line="288" w:lineRule="auto"/>
        <w:rPr>
          <w:rFonts w:cstheme="minorHAnsi"/>
          <w:color w:val="000000" w:themeColor="text2"/>
          <w:sz w:val="22"/>
          <w:u w:val="single"/>
        </w:rPr>
      </w:pPr>
      <w:r w:rsidRPr="00387139">
        <w:rPr>
          <w:rFonts w:cstheme="minorHAnsi"/>
          <w:color w:val="000000" w:themeColor="text2"/>
          <w:sz w:val="22"/>
          <w:u w:val="single"/>
        </w:rPr>
        <w:t>L’Institution</w:t>
      </w:r>
    </w:p>
    <w:p w14:paraId="38BDBEE0"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 opérateur civil unique de la transfusion sanguine.</w:t>
      </w:r>
    </w:p>
    <w:p w14:paraId="62507855" w14:textId="704C378B"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13 établissements régionaux sanguine dont 3 pour les départements d'outre-mer (Martinique, Guadeloupe</w:t>
      </w:r>
      <w:r w:rsidR="008B4714">
        <w:rPr>
          <w:rFonts w:cstheme="minorHAnsi"/>
          <w:color w:val="000000" w:themeColor="text2"/>
          <w:szCs w:val="24"/>
        </w:rPr>
        <w:t>/Guyane</w:t>
      </w:r>
      <w:r w:rsidRPr="00387139">
        <w:rPr>
          <w:rFonts w:cstheme="minorHAnsi"/>
          <w:color w:val="000000" w:themeColor="text2"/>
          <w:szCs w:val="24"/>
        </w:rPr>
        <w:t>, La Réunion).</w:t>
      </w:r>
    </w:p>
    <w:p w14:paraId="4425305E"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10 000 collaborateurs</w:t>
      </w:r>
    </w:p>
    <w:p w14:paraId="61BD57AB"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110 sites de prélèvement.</w:t>
      </w:r>
    </w:p>
    <w:p w14:paraId="37D92CF0"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Environ 100 collectes mobiles chaque jour.</w:t>
      </w:r>
    </w:p>
    <w:p w14:paraId="219DC9A8"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4 étapes pour le parcours de la poche de sang : prélèvement, préparation, qualification, distribution.</w:t>
      </w:r>
    </w:p>
    <w:p w14:paraId="3D4DFD09"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1 500 hôpitaux et cliniques approvisionnés en produits sanguins.</w:t>
      </w:r>
    </w:p>
    <w:p w14:paraId="73F1154A"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 million de malades soignés chaque année.</w:t>
      </w:r>
    </w:p>
    <w:p w14:paraId="02CA9B9E" w14:textId="77777777" w:rsidR="00EF4826" w:rsidRPr="00387139" w:rsidRDefault="00EF4826" w:rsidP="00EF4826">
      <w:pPr>
        <w:pStyle w:val="Textedesaisie"/>
        <w:spacing w:beforeLines="40" w:before="96" w:afterLines="80" w:after="192" w:line="288" w:lineRule="auto"/>
        <w:rPr>
          <w:rFonts w:cstheme="minorHAnsi"/>
          <w:color w:val="000000" w:themeColor="text2"/>
          <w:sz w:val="22"/>
          <w:u w:val="single"/>
        </w:rPr>
      </w:pPr>
      <w:r w:rsidRPr="00387139">
        <w:rPr>
          <w:rFonts w:cstheme="minorHAnsi"/>
          <w:color w:val="000000" w:themeColor="text2"/>
          <w:sz w:val="22"/>
          <w:u w:val="single"/>
        </w:rPr>
        <w:t>Activité</w:t>
      </w:r>
    </w:p>
    <w:p w14:paraId="31C0A6E2"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2,9 millions de prélèvements par an</w:t>
      </w:r>
    </w:p>
    <w:p w14:paraId="46CF0591"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1,8 million candidats au don</w:t>
      </w:r>
    </w:p>
    <w:p w14:paraId="0F1577E0"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1,6 million de donneurs</w:t>
      </w:r>
    </w:p>
    <w:p w14:paraId="45A48AF1" w14:textId="77777777" w:rsidR="00EF4826" w:rsidRPr="00387139" w:rsidRDefault="00EF4826" w:rsidP="00EF4826">
      <w:pPr>
        <w:ind w:hanging="6"/>
        <w:rPr>
          <w:rFonts w:cstheme="minorHAnsi"/>
          <w:color w:val="000000" w:themeColor="text2"/>
          <w:szCs w:val="24"/>
        </w:rPr>
      </w:pPr>
    </w:p>
    <w:p w14:paraId="54730CBA" w14:textId="456440DC" w:rsidR="00EF4826" w:rsidRDefault="00EF4826" w:rsidP="00EF4826">
      <w:pPr>
        <w:ind w:hanging="6"/>
        <w:rPr>
          <w:rFonts w:cstheme="minorHAnsi"/>
          <w:color w:val="525252"/>
          <w:szCs w:val="24"/>
        </w:rPr>
      </w:pPr>
      <w:r w:rsidRPr="00387139">
        <w:rPr>
          <w:rFonts w:cstheme="minorHAnsi"/>
          <w:color w:val="000000" w:themeColor="text2"/>
          <w:szCs w:val="24"/>
        </w:rPr>
        <w:t xml:space="preserve">Pour en savoir plus, consultez le rapport d’activité de l’EFS sur </w:t>
      </w:r>
      <w:r w:rsidR="008B4714">
        <w:rPr>
          <w:rStyle w:val="Lienhypertexte"/>
        </w:rPr>
        <w:t xml:space="preserve"> </w:t>
      </w:r>
      <w:hyperlink r:id="rId12" w:history="1">
        <w:r w:rsidR="008B4714">
          <w:rPr>
            <w:rStyle w:val="Lienhypertexte"/>
          </w:rPr>
          <w:t>Donner au sang le pouvoir de soigner | Établissement français du sang</w:t>
        </w:r>
      </w:hyperlink>
    </w:p>
    <w:p w14:paraId="5CBC18DB" w14:textId="77777777" w:rsidR="00EF4826" w:rsidRDefault="00EF4826" w:rsidP="00EF4826">
      <w:pPr>
        <w:autoSpaceDE w:val="0"/>
        <w:autoSpaceDN w:val="0"/>
        <w:adjustRightInd w:val="0"/>
        <w:spacing w:beforeLines="40" w:before="96" w:afterLines="80" w:after="192" w:line="288" w:lineRule="auto"/>
        <w:rPr>
          <w:rFonts w:cstheme="minorHAnsi"/>
          <w:color w:val="525252"/>
          <w:u w:val="single"/>
        </w:rPr>
      </w:pPr>
    </w:p>
    <w:p w14:paraId="371268DE"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23" w:name="_Toc94624998"/>
      <w:bookmarkStart w:id="24" w:name="_Toc182494683"/>
      <w:bookmarkStart w:id="25" w:name="_Toc190784024"/>
      <w:r w:rsidRPr="000E3E0A">
        <w:rPr>
          <w:rFonts w:asciiTheme="minorHAnsi" w:hAnsiTheme="minorHAnsi" w:cstheme="minorHAnsi"/>
          <w:b w:val="0"/>
          <w:color w:val="C00000"/>
        </w:rPr>
        <w:t>La mission première de l’EFS : les activités de transfusion sanguine</w:t>
      </w:r>
      <w:bookmarkEnd w:id="23"/>
      <w:bookmarkEnd w:id="24"/>
      <w:bookmarkEnd w:id="25"/>
      <w:r w:rsidRPr="000E3E0A">
        <w:rPr>
          <w:rFonts w:asciiTheme="minorHAnsi" w:hAnsiTheme="minorHAnsi" w:cstheme="minorHAnsi"/>
          <w:b w:val="0"/>
          <w:color w:val="C00000"/>
        </w:rPr>
        <w:t xml:space="preserve"> </w:t>
      </w:r>
    </w:p>
    <w:p w14:paraId="584DE849"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On compte en France, en 2020 près de 1.560.000 donneurs de sang bénévoles et le nombre moyen de dons de sang est d’environ 1,80 don par an et par personne. Pour faire face aux besoins, environ 10 000 dons de sang sont nécessaires chaque jour sur l’ensemble du territoire. </w:t>
      </w:r>
    </w:p>
    <w:p w14:paraId="3FD517FA"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L’autosuffisance est dominée par une problématique d’asymétrie des flux : si la demande de produits sanguins est continue, les dons de sang sont quant à eux soumis à des évolutions en raison du calendrier scolaire (moins de donneurs pendant les vacances) et des aléas saisonniers : difficultés climatiques, épidémies (grippe, gastroentérite, etc.), mouvements sociaux et étudiants ou dans les transports, etc. </w:t>
      </w:r>
    </w:p>
    <w:p w14:paraId="6D05BB64"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La politique de communication en ce domaine repose sur des campagnes saisonnières qui font l’objet de différentes actions : achat d’espaces, communiqué de presse, dispositifs événementiels, etc. </w:t>
      </w:r>
    </w:p>
    <w:p w14:paraId="0FF2E8E9"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Ce qui est essentiel, c’est le passage à l’acte : chaque année 4% seulement des Français en âge de donner le font. Sur ce point, les situations, les modalités qui peuvent favoriser le passage à l’acte et sa répétition ont guidé la modernisation de la communication.</w:t>
      </w:r>
    </w:p>
    <w:p w14:paraId="74DDF69A"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lastRenderedPageBreak/>
        <w:t xml:space="preserve">Être interpellé : les deux principaux freins au don cités sont le fait de ne pas y penser et de ne pas être sollicité. Même si son intensité peut varier, cette sollicitation doit être permanente et la plus personnalisée possible. La régularité de la pratique du don est une condition de sa répétition dans le temps. Le fait d’aller au-devant du donneur est aussi un élément de reconnaissance et de valorisation. </w:t>
      </w:r>
    </w:p>
    <w:p w14:paraId="024A687C"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Sur cette base, l’objectif de la communication n’est pas seulement de convaincre mais d’accélérer les prises de conscience agissantes et les démarches d’engagement dans la durée. Un triptyque s’est imposé à la stratégie de communication : sensibiliser pour entretenir l’intention de donner, faciliter le passage à l’acte et enfin fidéliser en gérant une relation individuelle au don. C’est ce qui donne toute sa spécificité à la communication publique sur le don de sang. </w:t>
      </w:r>
    </w:p>
    <w:p w14:paraId="7B971E4E"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Les messages se sont adaptés et ont évolué pour être plus mobilisateurs. Des messages sur le sens et la finalité du don (les maladies traitées par les produits sanguins, la quotidienneté des besoins, etc.), la facilité de l’acte de donner se sont progressivement substitués aux campagnes classiques survalorisant le donneur. </w:t>
      </w:r>
    </w:p>
    <w:p w14:paraId="1B39A70C" w14:textId="0AF88C70" w:rsidR="00EF4826" w:rsidRPr="006B4462" w:rsidRDefault="00EF4826" w:rsidP="006B4462">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Le partenariat avec les acteurs associatifs s’est élargi des associations de donneurs de sang aux associations de malad</w:t>
      </w:r>
      <w:r w:rsidR="006B4462">
        <w:rPr>
          <w:rFonts w:cstheme="minorHAnsi"/>
          <w:color w:val="000000" w:themeColor="text2"/>
          <w:szCs w:val="24"/>
        </w:rPr>
        <w:t>es et de soutien au don de soi.</w:t>
      </w:r>
    </w:p>
    <w:p w14:paraId="0DCA3BC6" w14:textId="77777777" w:rsidR="00EF4826" w:rsidRPr="000E3E0A" w:rsidRDefault="00EF4826" w:rsidP="00EF4826">
      <w:pPr>
        <w:pStyle w:val="Titre2"/>
        <w:keepLines/>
        <w:numPr>
          <w:ilvl w:val="2"/>
          <w:numId w:val="29"/>
        </w:numPr>
        <w:suppressAutoHyphens w:val="0"/>
        <w:spacing w:before="0" w:afterLines="80" w:after="192" w:line="264" w:lineRule="auto"/>
        <w:jc w:val="left"/>
        <w:rPr>
          <w:rFonts w:asciiTheme="minorHAnsi" w:hAnsiTheme="minorHAnsi" w:cstheme="minorHAnsi"/>
          <w:b w:val="0"/>
          <w:color w:val="C00000"/>
        </w:rPr>
      </w:pPr>
      <w:bookmarkStart w:id="26" w:name="_Toc94624999"/>
      <w:bookmarkStart w:id="27" w:name="_Toc182494684"/>
      <w:bookmarkStart w:id="28" w:name="_Toc190784025"/>
      <w:r w:rsidRPr="000E3E0A">
        <w:rPr>
          <w:rFonts w:asciiTheme="minorHAnsi" w:hAnsiTheme="minorHAnsi" w:cstheme="minorHAnsi"/>
          <w:b w:val="0"/>
          <w:color w:val="C00000"/>
        </w:rPr>
        <w:t>Les autres activités de l’EFS dites « activités annexes »</w:t>
      </w:r>
      <w:bookmarkEnd w:id="26"/>
      <w:bookmarkEnd w:id="27"/>
      <w:bookmarkEnd w:id="28"/>
    </w:p>
    <w:p w14:paraId="2263C830" w14:textId="77777777" w:rsidR="00EF4826" w:rsidRPr="00387139" w:rsidRDefault="00EF4826" w:rsidP="00EF4826">
      <w:pPr>
        <w:spacing w:beforeLines="40" w:before="96" w:afterLines="80" w:after="192" w:line="288" w:lineRule="auto"/>
        <w:ind w:hanging="6"/>
        <w:rPr>
          <w:rFonts w:cstheme="minorHAnsi"/>
          <w:color w:val="000000" w:themeColor="text2"/>
          <w:szCs w:val="24"/>
        </w:rPr>
      </w:pPr>
      <w:r w:rsidRPr="00387139">
        <w:rPr>
          <w:rFonts w:cstheme="minorHAnsi"/>
          <w:color w:val="000000" w:themeColor="text2"/>
          <w:szCs w:val="24"/>
        </w:rPr>
        <w:t xml:space="preserve">Moins connues que ses activités de transfusion sanguine, l’EFS est également présent dans d’autres domaines : </w:t>
      </w:r>
    </w:p>
    <w:p w14:paraId="6903A82F"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 xml:space="preserve">L’EFS est le premier acteur d’ingénierie cellulaire pour la médecine de demain, </w:t>
      </w:r>
    </w:p>
    <w:p w14:paraId="4C580F9B"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 xml:space="preserve">L’EFS est aussi le premier laboratoire d’analyse de biologie médicale de France (+ immunohématologie donneur + typage HLA), </w:t>
      </w:r>
    </w:p>
    <w:p w14:paraId="695B82CD" w14:textId="77777777" w:rsidR="00EF4826" w:rsidRPr="00387139" w:rsidRDefault="00EF4826" w:rsidP="00EF4826">
      <w:pPr>
        <w:pStyle w:val="Paragraphedeliste"/>
        <w:numPr>
          <w:ilvl w:val="0"/>
          <w:numId w:val="30"/>
        </w:numPr>
        <w:suppressAutoHyphens w:val="0"/>
        <w:spacing w:before="0" w:after="0"/>
        <w:contextualSpacing/>
        <w:rPr>
          <w:rFonts w:cstheme="minorHAnsi"/>
          <w:color w:val="000000" w:themeColor="text2"/>
          <w:szCs w:val="24"/>
        </w:rPr>
      </w:pPr>
      <w:r w:rsidRPr="00387139">
        <w:rPr>
          <w:rFonts w:cstheme="minorHAnsi"/>
          <w:color w:val="000000" w:themeColor="text2"/>
          <w:szCs w:val="24"/>
        </w:rPr>
        <w:t xml:space="preserve">L’EFS dispose de 76 centres de santé (hôpitaux de jour) où sont dispensés des soins ambulatoires, </w:t>
      </w:r>
    </w:p>
    <w:p w14:paraId="391DE8FC" w14:textId="224CBFA2" w:rsidR="00EF4826" w:rsidRPr="00EF4826" w:rsidRDefault="00EF4826" w:rsidP="00EF4826">
      <w:pPr>
        <w:rPr>
          <w:color w:val="000000" w:themeColor="text2"/>
        </w:rPr>
      </w:pPr>
      <w:r w:rsidRPr="00387139">
        <w:rPr>
          <w:rFonts w:cstheme="minorHAnsi"/>
          <w:color w:val="000000" w:themeColor="text2"/>
          <w:szCs w:val="24"/>
        </w:rPr>
        <w:t>Enfin l’EFS développe également des activités de recherche… et trouve. Grâce à ses chercheurs l’EFS a déposé plusieurs brevets.</w:t>
      </w:r>
    </w:p>
    <w:p w14:paraId="0A0383A4" w14:textId="5E162ED6" w:rsidR="00D644E5" w:rsidRDefault="00D644E5" w:rsidP="00234EE9">
      <w:pPr>
        <w:pStyle w:val="Titre2"/>
        <w:numPr>
          <w:ilvl w:val="1"/>
          <w:numId w:val="10"/>
        </w:numPr>
      </w:pPr>
      <w:bookmarkStart w:id="29" w:name="_Toc190784026"/>
      <w:r w:rsidRPr="00A27F04">
        <w:t>Exigences réglementaires</w:t>
      </w:r>
      <w:bookmarkEnd w:id="2"/>
      <w:bookmarkEnd w:id="29"/>
    </w:p>
    <w:p w14:paraId="140FB30B" w14:textId="03DD3D62" w:rsidR="00EF4826" w:rsidRPr="00EF4826" w:rsidRDefault="00EF4826" w:rsidP="00EF4826">
      <w:pPr>
        <w:spacing w:before="60" w:line="264" w:lineRule="auto"/>
        <w:rPr>
          <w:color w:val="000000" w:themeColor="text2"/>
        </w:rPr>
      </w:pPr>
      <w:r w:rsidRPr="00EF4826">
        <w:rPr>
          <w:rFonts w:cs="Arial"/>
          <w:color w:val="000000" w:themeColor="text2"/>
          <w:szCs w:val="24"/>
        </w:rPr>
        <w:t xml:space="preserve">Le titulaire est tenu de se conformer à l’ensemble des dispositions réglementaires et techniques applicables à son secteur d’activité. </w:t>
      </w:r>
    </w:p>
    <w:p w14:paraId="43DDE65F" w14:textId="637D5654" w:rsidR="00D644E5" w:rsidRDefault="00D644E5" w:rsidP="00234EE9">
      <w:pPr>
        <w:pStyle w:val="Titre2"/>
        <w:numPr>
          <w:ilvl w:val="1"/>
          <w:numId w:val="10"/>
        </w:numPr>
      </w:pPr>
      <w:bookmarkStart w:id="30" w:name="_Toc4764637"/>
      <w:bookmarkStart w:id="31" w:name="_Toc190784027"/>
      <w:r w:rsidRPr="00A27F04">
        <w:t>D</w:t>
      </w:r>
      <w:r w:rsidR="00EF4826">
        <w:t>escription</w:t>
      </w:r>
      <w:r w:rsidRPr="00A27F04">
        <w:t xml:space="preserve"> des </w:t>
      </w:r>
      <w:bookmarkEnd w:id="30"/>
      <w:r w:rsidRPr="00A27F04">
        <w:t>Services</w:t>
      </w:r>
      <w:bookmarkEnd w:id="31"/>
    </w:p>
    <w:p w14:paraId="3FE096D1" w14:textId="77777777" w:rsidR="00EF4826" w:rsidRPr="00282A41" w:rsidRDefault="00EF4826" w:rsidP="00EF4826">
      <w:pPr>
        <w:pStyle w:val="Corpsdetexte"/>
        <w:spacing w:line="276" w:lineRule="auto"/>
        <w:rPr>
          <w:b w:val="0"/>
          <w:color w:val="000000" w:themeColor="text2"/>
          <w:sz w:val="22"/>
        </w:rPr>
      </w:pPr>
      <w:r w:rsidRPr="00F37FD1">
        <w:rPr>
          <w:color w:val="000000" w:themeColor="text2"/>
          <w:sz w:val="22"/>
        </w:rPr>
        <w:t>La prestation d’indexation concerne</w:t>
      </w:r>
      <w:r w:rsidRPr="00282A41">
        <w:rPr>
          <w:b w:val="0"/>
          <w:color w:val="000000" w:themeColor="text2"/>
          <w:sz w:val="22"/>
        </w:rPr>
        <w:t xml:space="preserve"> : </w:t>
      </w:r>
    </w:p>
    <w:p w14:paraId="2606B11C" w14:textId="163A2884" w:rsidR="00EF4826" w:rsidRPr="00282A41" w:rsidRDefault="00D906A2" w:rsidP="00EF4826">
      <w:pPr>
        <w:pStyle w:val="Corpsdetexte"/>
        <w:numPr>
          <w:ilvl w:val="0"/>
          <w:numId w:val="31"/>
        </w:numPr>
        <w:tabs>
          <w:tab w:val="clear" w:pos="426"/>
        </w:tabs>
        <w:suppressAutoHyphens w:val="0"/>
        <w:spacing w:before="0" w:after="0" w:line="276" w:lineRule="auto"/>
        <w:rPr>
          <w:b w:val="0"/>
          <w:color w:val="000000" w:themeColor="text2"/>
          <w:sz w:val="22"/>
        </w:rPr>
      </w:pPr>
      <w:r>
        <w:rPr>
          <w:b w:val="0"/>
          <w:color w:val="000000" w:themeColor="text2"/>
          <w:sz w:val="22"/>
        </w:rPr>
        <w:t>Les reportages</w:t>
      </w:r>
      <w:r w:rsidR="008B4714">
        <w:rPr>
          <w:b w:val="0"/>
          <w:color w:val="000000" w:themeColor="text2"/>
          <w:sz w:val="22"/>
        </w:rPr>
        <w:t xml:space="preserve"> </w:t>
      </w:r>
      <w:r w:rsidR="00B350F5">
        <w:rPr>
          <w:b w:val="0"/>
          <w:color w:val="000000" w:themeColor="text2"/>
          <w:sz w:val="22"/>
        </w:rPr>
        <w:t>photos</w:t>
      </w:r>
      <w:r w:rsidR="00EF4826" w:rsidRPr="00282A41">
        <w:rPr>
          <w:b w:val="0"/>
          <w:color w:val="000000" w:themeColor="text2"/>
          <w:sz w:val="22"/>
        </w:rPr>
        <w:t xml:space="preserve"> réalisés par la Direction nationale de la communication ;</w:t>
      </w:r>
    </w:p>
    <w:p w14:paraId="69C54933" w14:textId="77777777" w:rsidR="00EF4826" w:rsidRPr="00282A41" w:rsidRDefault="00EF4826" w:rsidP="00EF4826">
      <w:pPr>
        <w:pStyle w:val="Corpsdetexte"/>
        <w:numPr>
          <w:ilvl w:val="0"/>
          <w:numId w:val="31"/>
        </w:numPr>
        <w:tabs>
          <w:tab w:val="clear" w:pos="426"/>
        </w:tabs>
        <w:suppressAutoHyphens w:val="0"/>
        <w:spacing w:before="0" w:after="0" w:line="276" w:lineRule="auto"/>
        <w:rPr>
          <w:b w:val="0"/>
          <w:color w:val="000000" w:themeColor="text2"/>
          <w:sz w:val="22"/>
        </w:rPr>
      </w:pPr>
      <w:r w:rsidRPr="00282A41">
        <w:rPr>
          <w:b w:val="0"/>
          <w:color w:val="000000" w:themeColor="text2"/>
          <w:sz w:val="22"/>
        </w:rPr>
        <w:t>Les photographies remises par les services de communication en région (par voie dématérialisée) : un profil « contributeur » permet à des utilisateurs de mettre à disposition des images pré-indexées via la plateforme ;</w:t>
      </w:r>
    </w:p>
    <w:p w14:paraId="5096150C" w14:textId="77777777" w:rsidR="00EF4826" w:rsidRPr="00282A41" w:rsidRDefault="00EF4826" w:rsidP="00EF4826">
      <w:pPr>
        <w:pStyle w:val="Paragraphedeliste"/>
        <w:numPr>
          <w:ilvl w:val="0"/>
          <w:numId w:val="31"/>
        </w:numPr>
        <w:suppressAutoHyphens w:val="0"/>
        <w:autoSpaceDE w:val="0"/>
        <w:autoSpaceDN w:val="0"/>
        <w:adjustRightInd w:val="0"/>
        <w:spacing w:before="0" w:after="0" w:line="276" w:lineRule="auto"/>
        <w:contextualSpacing/>
        <w:rPr>
          <w:rFonts w:cs="Arial"/>
          <w:color w:val="000000" w:themeColor="text2"/>
        </w:rPr>
      </w:pPr>
      <w:r w:rsidRPr="00282A41">
        <w:rPr>
          <w:rFonts w:cs="Arial"/>
          <w:color w:val="000000" w:themeColor="text2"/>
        </w:rPr>
        <w:t>Les documents vidéo et audio ;</w:t>
      </w:r>
    </w:p>
    <w:p w14:paraId="28B2604D" w14:textId="77777777" w:rsidR="00EF4826" w:rsidRPr="00282A41" w:rsidRDefault="00EF4826" w:rsidP="00EF4826">
      <w:pPr>
        <w:pStyle w:val="Paragraphedeliste"/>
        <w:numPr>
          <w:ilvl w:val="0"/>
          <w:numId w:val="31"/>
        </w:numPr>
        <w:suppressAutoHyphens w:val="0"/>
        <w:autoSpaceDE w:val="0"/>
        <w:autoSpaceDN w:val="0"/>
        <w:adjustRightInd w:val="0"/>
        <w:spacing w:before="0" w:after="0" w:line="276" w:lineRule="auto"/>
        <w:contextualSpacing/>
        <w:rPr>
          <w:rFonts w:cs="Arial"/>
          <w:color w:val="000000" w:themeColor="text2"/>
        </w:rPr>
      </w:pPr>
      <w:r w:rsidRPr="00282A41">
        <w:rPr>
          <w:rFonts w:cs="Arial"/>
          <w:color w:val="000000" w:themeColor="text2"/>
        </w:rPr>
        <w:t xml:space="preserve">Les documents </w:t>
      </w:r>
      <w:proofErr w:type="spellStart"/>
      <w:r w:rsidRPr="00282A41">
        <w:rPr>
          <w:rFonts w:cs="Arial"/>
          <w:color w:val="000000" w:themeColor="text2"/>
        </w:rPr>
        <w:t>print</w:t>
      </w:r>
      <w:proofErr w:type="spellEnd"/>
      <w:r w:rsidRPr="00282A41">
        <w:rPr>
          <w:rFonts w:cs="Arial"/>
          <w:color w:val="000000" w:themeColor="text2"/>
        </w:rPr>
        <w:t xml:space="preserve"> édités (PDF) par l’EFS ou ses partenaires.</w:t>
      </w:r>
    </w:p>
    <w:p w14:paraId="5E2535E0" w14:textId="77777777" w:rsidR="00EF4826" w:rsidRPr="00282A41" w:rsidRDefault="00EF4826" w:rsidP="00EF4826">
      <w:pPr>
        <w:pStyle w:val="Corpsdetexte"/>
        <w:spacing w:after="0" w:line="276" w:lineRule="auto"/>
        <w:rPr>
          <w:color w:val="000000" w:themeColor="text2"/>
          <w:sz w:val="22"/>
        </w:rPr>
      </w:pPr>
    </w:p>
    <w:p w14:paraId="5490AC4A" w14:textId="77777777" w:rsidR="00EF4826" w:rsidRPr="00282A41" w:rsidRDefault="00EF4826" w:rsidP="00EF4826">
      <w:pPr>
        <w:rPr>
          <w:rFonts w:cs="Arial"/>
          <w:color w:val="000000" w:themeColor="text2"/>
        </w:rPr>
      </w:pPr>
      <w:r w:rsidRPr="00282A41">
        <w:rPr>
          <w:rFonts w:cs="Arial"/>
          <w:color w:val="000000" w:themeColor="text2"/>
        </w:rPr>
        <w:lastRenderedPageBreak/>
        <w:t>La production des notices est assurée de manière régulière tout au long de la prestation.</w:t>
      </w:r>
    </w:p>
    <w:p w14:paraId="4D2E6B86" w14:textId="77777777" w:rsidR="00EF4826" w:rsidRPr="00282A41" w:rsidRDefault="00EF4826" w:rsidP="00EF4826">
      <w:pPr>
        <w:rPr>
          <w:rFonts w:cs="Arial"/>
          <w:color w:val="000000" w:themeColor="text2"/>
        </w:rPr>
      </w:pPr>
      <w:r w:rsidRPr="00282A41">
        <w:rPr>
          <w:rFonts w:cs="Arial"/>
          <w:color w:val="000000" w:themeColor="text2"/>
        </w:rPr>
        <w:t xml:space="preserve"> </w:t>
      </w:r>
    </w:p>
    <w:p w14:paraId="08DFC8F4" w14:textId="77777777" w:rsidR="00EF4826" w:rsidRPr="00282A41" w:rsidRDefault="00EF4826" w:rsidP="00EF4826">
      <w:pPr>
        <w:rPr>
          <w:rFonts w:eastAsia="Calibri" w:cs="Arial"/>
          <w:b/>
          <w:color w:val="000000" w:themeColor="text2"/>
        </w:rPr>
      </w:pPr>
      <w:r w:rsidRPr="00282A41">
        <w:rPr>
          <w:rFonts w:eastAsia="Calibri" w:cs="Arial"/>
          <w:color w:val="000000" w:themeColor="text2"/>
        </w:rPr>
        <w:t xml:space="preserve">La médiathèque en ligne de l’EFS est publique et accessible à toute personne accréditée à l’adresse suivante : </w:t>
      </w:r>
      <w:hyperlink r:id="rId13" w:history="1">
        <w:r w:rsidRPr="00F37FD1">
          <w:rPr>
            <w:rStyle w:val="Lienhypertexte"/>
            <w:color w:val="00B0F0"/>
          </w:rPr>
          <w:t xml:space="preserve">Accueil — </w:t>
        </w:r>
        <w:proofErr w:type="spellStart"/>
        <w:r w:rsidRPr="00F37FD1">
          <w:rPr>
            <w:rStyle w:val="Lienhypertexte"/>
            <w:color w:val="00B0F0"/>
          </w:rPr>
          <w:t>Keepeek</w:t>
        </w:r>
        <w:proofErr w:type="spellEnd"/>
      </w:hyperlink>
    </w:p>
    <w:p w14:paraId="0C2CE0E1" w14:textId="77777777" w:rsidR="00EF4826" w:rsidRPr="00282A41" w:rsidRDefault="00EF4826" w:rsidP="00EF4826">
      <w:pPr>
        <w:rPr>
          <w:rFonts w:eastAsia="Calibri" w:cs="Arial"/>
          <w:color w:val="000000" w:themeColor="text2"/>
        </w:rPr>
      </w:pPr>
      <w:r w:rsidRPr="00282A41">
        <w:rPr>
          <w:rFonts w:eastAsia="Calibri" w:cs="Arial"/>
          <w:color w:val="000000" w:themeColor="text2"/>
        </w:rPr>
        <w:t>Le Titulaire retenu reçoit un code d’accès et dispose d’un profil « administrateur » qui lui permet, à partir du back office, de réaliser la prestation d’indexation attendue.</w:t>
      </w:r>
    </w:p>
    <w:p w14:paraId="30BBDFF8" w14:textId="77777777" w:rsidR="00EF4826" w:rsidRPr="00282A41" w:rsidRDefault="00EF4826" w:rsidP="00EF4826">
      <w:pPr>
        <w:rPr>
          <w:rFonts w:cs="Arial"/>
          <w:b/>
          <w:color w:val="000000" w:themeColor="text2"/>
        </w:rPr>
      </w:pPr>
    </w:p>
    <w:p w14:paraId="328C0AD5" w14:textId="77777777" w:rsidR="00EF4826" w:rsidRPr="00282A41" w:rsidRDefault="00EF4826" w:rsidP="00EF4826">
      <w:pPr>
        <w:rPr>
          <w:rFonts w:cs="Arial"/>
          <w:b/>
          <w:color w:val="000000" w:themeColor="text2"/>
        </w:rPr>
      </w:pPr>
      <w:r w:rsidRPr="00282A41">
        <w:rPr>
          <w:rFonts w:cs="Arial"/>
          <w:b/>
          <w:color w:val="000000" w:themeColor="text2"/>
        </w:rPr>
        <w:t>4 types de médias sont à traiter :</w:t>
      </w:r>
    </w:p>
    <w:p w14:paraId="418849C5" w14:textId="77777777" w:rsidR="00EF4826" w:rsidRPr="00282A41" w:rsidRDefault="00EF4826" w:rsidP="00EF4826">
      <w:pPr>
        <w:pStyle w:val="Corpsdetexte"/>
        <w:numPr>
          <w:ilvl w:val="0"/>
          <w:numId w:val="31"/>
        </w:numPr>
        <w:tabs>
          <w:tab w:val="clear" w:pos="426"/>
        </w:tabs>
        <w:suppressAutoHyphens w:val="0"/>
        <w:spacing w:before="0" w:after="0" w:line="276" w:lineRule="auto"/>
        <w:rPr>
          <w:b w:val="0"/>
          <w:color w:val="000000" w:themeColor="text2"/>
          <w:sz w:val="22"/>
        </w:rPr>
      </w:pPr>
      <w:r w:rsidRPr="00282A41">
        <w:rPr>
          <w:b w:val="0"/>
          <w:color w:val="000000" w:themeColor="text2"/>
          <w:sz w:val="22"/>
        </w:rPr>
        <w:t>Document image fixe (« photographie ») ;</w:t>
      </w:r>
    </w:p>
    <w:p w14:paraId="2482F3D8" w14:textId="77777777" w:rsidR="00EF4826" w:rsidRPr="00282A41" w:rsidRDefault="00EF4826" w:rsidP="00EF4826">
      <w:pPr>
        <w:pStyle w:val="Corpsdetexte"/>
        <w:numPr>
          <w:ilvl w:val="0"/>
          <w:numId w:val="31"/>
        </w:numPr>
        <w:tabs>
          <w:tab w:val="clear" w:pos="426"/>
        </w:tabs>
        <w:suppressAutoHyphens w:val="0"/>
        <w:spacing w:before="0" w:after="0" w:line="276" w:lineRule="auto"/>
        <w:rPr>
          <w:b w:val="0"/>
          <w:color w:val="000000" w:themeColor="text2"/>
          <w:sz w:val="22"/>
        </w:rPr>
      </w:pPr>
      <w:r w:rsidRPr="00282A41">
        <w:rPr>
          <w:b w:val="0"/>
          <w:color w:val="000000" w:themeColor="text2"/>
          <w:sz w:val="22"/>
        </w:rPr>
        <w:t xml:space="preserve">Document </w:t>
      </w:r>
      <w:proofErr w:type="spellStart"/>
      <w:r w:rsidRPr="00282A41">
        <w:rPr>
          <w:b w:val="0"/>
          <w:color w:val="000000" w:themeColor="text2"/>
          <w:sz w:val="22"/>
        </w:rPr>
        <w:t>print</w:t>
      </w:r>
      <w:proofErr w:type="spellEnd"/>
      <w:r w:rsidRPr="00282A41">
        <w:rPr>
          <w:b w:val="0"/>
          <w:color w:val="000000" w:themeColor="text2"/>
          <w:sz w:val="22"/>
        </w:rPr>
        <w:t> ;</w:t>
      </w:r>
    </w:p>
    <w:p w14:paraId="4ED160D0" w14:textId="77777777" w:rsidR="00EF4826" w:rsidRPr="00282A41" w:rsidRDefault="00EF4826" w:rsidP="00EF4826">
      <w:pPr>
        <w:pStyle w:val="Corpsdetexte"/>
        <w:numPr>
          <w:ilvl w:val="0"/>
          <w:numId w:val="31"/>
        </w:numPr>
        <w:tabs>
          <w:tab w:val="clear" w:pos="426"/>
        </w:tabs>
        <w:suppressAutoHyphens w:val="0"/>
        <w:spacing w:before="0" w:after="0" w:line="276" w:lineRule="auto"/>
        <w:rPr>
          <w:b w:val="0"/>
          <w:color w:val="000000" w:themeColor="text2"/>
          <w:sz w:val="22"/>
        </w:rPr>
      </w:pPr>
      <w:r w:rsidRPr="00282A41">
        <w:rPr>
          <w:b w:val="0"/>
          <w:color w:val="000000" w:themeColor="text2"/>
          <w:sz w:val="22"/>
        </w:rPr>
        <w:t>Document vidéo ;</w:t>
      </w:r>
    </w:p>
    <w:p w14:paraId="517BE002" w14:textId="77777777" w:rsidR="00EF4826" w:rsidRPr="00282A41" w:rsidRDefault="00EF4826" w:rsidP="00EF4826">
      <w:pPr>
        <w:pStyle w:val="Corpsdetexte"/>
        <w:numPr>
          <w:ilvl w:val="0"/>
          <w:numId w:val="31"/>
        </w:numPr>
        <w:tabs>
          <w:tab w:val="clear" w:pos="426"/>
        </w:tabs>
        <w:suppressAutoHyphens w:val="0"/>
        <w:spacing w:before="0" w:after="0" w:line="276" w:lineRule="auto"/>
        <w:rPr>
          <w:b w:val="0"/>
          <w:color w:val="000000" w:themeColor="text2"/>
          <w:sz w:val="22"/>
        </w:rPr>
      </w:pPr>
      <w:r w:rsidRPr="00282A41">
        <w:rPr>
          <w:b w:val="0"/>
          <w:color w:val="000000" w:themeColor="text2"/>
          <w:sz w:val="22"/>
        </w:rPr>
        <w:t>Document audio.</w:t>
      </w:r>
    </w:p>
    <w:p w14:paraId="184D7B67" w14:textId="77777777" w:rsidR="00EF4826" w:rsidRPr="00282A41" w:rsidRDefault="00EF4826" w:rsidP="00EF4826">
      <w:pPr>
        <w:pStyle w:val="Corpsdetexte"/>
        <w:spacing w:after="0" w:line="276" w:lineRule="auto"/>
        <w:rPr>
          <w:b w:val="0"/>
          <w:color w:val="000000" w:themeColor="text2"/>
          <w:sz w:val="22"/>
        </w:rPr>
      </w:pPr>
    </w:p>
    <w:p w14:paraId="6F83ED9D" w14:textId="77777777" w:rsidR="00EF4826" w:rsidRPr="00282A41" w:rsidRDefault="00EF4826" w:rsidP="00EF4826">
      <w:pPr>
        <w:pStyle w:val="Corpsdetexte"/>
        <w:spacing w:after="0" w:line="276" w:lineRule="auto"/>
        <w:rPr>
          <w:color w:val="000000" w:themeColor="text2"/>
          <w:sz w:val="22"/>
        </w:rPr>
      </w:pPr>
      <w:r w:rsidRPr="00282A41">
        <w:rPr>
          <w:color w:val="000000" w:themeColor="text2"/>
          <w:sz w:val="22"/>
        </w:rPr>
        <w:t xml:space="preserve">Le volume de contenu est d’environ 2 500 annuellement répartie à 90% de photos, 8% vidéo/audio et 2% de </w:t>
      </w:r>
      <w:proofErr w:type="spellStart"/>
      <w:r w:rsidRPr="00282A41">
        <w:rPr>
          <w:color w:val="000000" w:themeColor="text2"/>
          <w:sz w:val="22"/>
        </w:rPr>
        <w:t>print</w:t>
      </w:r>
      <w:proofErr w:type="spellEnd"/>
      <w:r w:rsidRPr="00282A41">
        <w:rPr>
          <w:color w:val="000000" w:themeColor="text2"/>
          <w:sz w:val="22"/>
        </w:rPr>
        <w:t>.</w:t>
      </w:r>
    </w:p>
    <w:p w14:paraId="333FA004" w14:textId="77777777" w:rsidR="00EF4826" w:rsidRPr="00282A41" w:rsidRDefault="00EF4826" w:rsidP="00EF4826">
      <w:pPr>
        <w:pStyle w:val="Corpsdetexte"/>
        <w:spacing w:after="0" w:line="276" w:lineRule="auto"/>
        <w:rPr>
          <w:color w:val="000000" w:themeColor="text2"/>
          <w:sz w:val="22"/>
        </w:rPr>
      </w:pPr>
    </w:p>
    <w:p w14:paraId="2AEA7639" w14:textId="77777777" w:rsidR="00EF4826" w:rsidRPr="00282A41" w:rsidRDefault="00EF4826" w:rsidP="00EF4826">
      <w:pPr>
        <w:rPr>
          <w:rFonts w:cs="Arial"/>
          <w:color w:val="000000" w:themeColor="text2"/>
        </w:rPr>
      </w:pPr>
      <w:r w:rsidRPr="00282A41">
        <w:rPr>
          <w:rFonts w:cs="Arial"/>
          <w:color w:val="000000" w:themeColor="text2"/>
        </w:rPr>
        <w:t xml:space="preserve">L'EFS attend du Titulaire un accompagnement documentaire, logistique et méthodologique régulier sur les sujets suivants : </w:t>
      </w:r>
    </w:p>
    <w:p w14:paraId="7FC62818" w14:textId="77777777" w:rsidR="00EF4826" w:rsidRPr="00282A41" w:rsidRDefault="00EF4826" w:rsidP="00EF4826">
      <w:pPr>
        <w:rPr>
          <w:rFonts w:cs="Arial"/>
          <w:color w:val="000000" w:themeColor="text2"/>
        </w:rPr>
      </w:pPr>
    </w:p>
    <w:p w14:paraId="6FFD142E" w14:textId="77777777" w:rsidR="00EF4826" w:rsidRPr="00282A41" w:rsidRDefault="00EF4826" w:rsidP="00EF4826">
      <w:pPr>
        <w:pStyle w:val="Corpsdetexte"/>
        <w:numPr>
          <w:ilvl w:val="0"/>
          <w:numId w:val="28"/>
        </w:numPr>
        <w:tabs>
          <w:tab w:val="clear" w:pos="426"/>
        </w:tabs>
        <w:suppressAutoHyphens w:val="0"/>
        <w:spacing w:before="0" w:after="0" w:line="276" w:lineRule="auto"/>
        <w:rPr>
          <w:b w:val="0"/>
          <w:color w:val="000000" w:themeColor="text2"/>
          <w:sz w:val="22"/>
        </w:rPr>
      </w:pPr>
      <w:r w:rsidRPr="00282A41">
        <w:rPr>
          <w:b w:val="0"/>
          <w:color w:val="000000" w:themeColor="text2"/>
          <w:sz w:val="22"/>
        </w:rPr>
        <w:t>L’éditorialisation de la base de données : mise en avant des nouveaux reportages en page d'accueil, le classement thématique des médias (l'arborescence thématique est visible en page d'accueil du front office) ;</w:t>
      </w:r>
    </w:p>
    <w:p w14:paraId="5AFC2577" w14:textId="77777777" w:rsidR="00EF4826" w:rsidRPr="00282A41" w:rsidRDefault="00EF4826" w:rsidP="00EF4826">
      <w:pPr>
        <w:pStyle w:val="Corpsdetexte"/>
        <w:numPr>
          <w:ilvl w:val="0"/>
          <w:numId w:val="28"/>
        </w:numPr>
        <w:tabs>
          <w:tab w:val="clear" w:pos="426"/>
        </w:tabs>
        <w:suppressAutoHyphens w:val="0"/>
        <w:spacing w:before="0" w:after="0" w:line="276" w:lineRule="auto"/>
        <w:rPr>
          <w:b w:val="0"/>
          <w:color w:val="000000" w:themeColor="text2"/>
          <w:sz w:val="22"/>
        </w:rPr>
      </w:pPr>
      <w:r w:rsidRPr="00282A41">
        <w:rPr>
          <w:b w:val="0"/>
          <w:color w:val="000000" w:themeColor="text2"/>
          <w:sz w:val="22"/>
        </w:rPr>
        <w:t>L’enrichissement des outils linguistiques (thésaurus, listes de valeurs) et la révision des notices en conséquence ;</w:t>
      </w:r>
    </w:p>
    <w:p w14:paraId="163630B5" w14:textId="77777777" w:rsidR="00EF4826" w:rsidRPr="00282A41" w:rsidRDefault="00EF4826" w:rsidP="00EF4826">
      <w:pPr>
        <w:pStyle w:val="Paragraphedeliste"/>
        <w:numPr>
          <w:ilvl w:val="0"/>
          <w:numId w:val="28"/>
        </w:numPr>
        <w:suppressAutoHyphens w:val="0"/>
        <w:autoSpaceDE w:val="0"/>
        <w:autoSpaceDN w:val="0"/>
        <w:adjustRightInd w:val="0"/>
        <w:spacing w:before="0" w:after="200" w:line="276" w:lineRule="auto"/>
        <w:contextualSpacing/>
        <w:rPr>
          <w:rFonts w:cs="Arial"/>
          <w:color w:val="000000" w:themeColor="text2"/>
        </w:rPr>
      </w:pPr>
      <w:r w:rsidRPr="00282A41">
        <w:rPr>
          <w:rFonts w:cs="Arial"/>
          <w:color w:val="000000" w:themeColor="text2"/>
        </w:rPr>
        <w:t>Le classement physique des médias et la conservation des documents liés aux reportages (autorisations de prise de vue, contrats…) ;</w:t>
      </w:r>
    </w:p>
    <w:p w14:paraId="37F74780" w14:textId="77777777" w:rsidR="00EF4826" w:rsidRPr="00282A41" w:rsidRDefault="00EF4826" w:rsidP="00EF4826">
      <w:pPr>
        <w:pStyle w:val="Paragraphedeliste"/>
        <w:numPr>
          <w:ilvl w:val="0"/>
          <w:numId w:val="28"/>
        </w:numPr>
        <w:suppressAutoHyphens w:val="0"/>
        <w:autoSpaceDE w:val="0"/>
        <w:autoSpaceDN w:val="0"/>
        <w:adjustRightInd w:val="0"/>
        <w:spacing w:before="0" w:after="200" w:line="276" w:lineRule="auto"/>
        <w:contextualSpacing/>
        <w:rPr>
          <w:rFonts w:cs="Arial"/>
          <w:color w:val="000000" w:themeColor="text2"/>
        </w:rPr>
      </w:pPr>
      <w:r w:rsidRPr="00282A41">
        <w:rPr>
          <w:rFonts w:cs="Arial"/>
          <w:color w:val="000000" w:themeColor="text2"/>
        </w:rPr>
        <w:t xml:space="preserve">Le </w:t>
      </w:r>
      <w:proofErr w:type="spellStart"/>
      <w:r w:rsidRPr="00282A41">
        <w:rPr>
          <w:rFonts w:cs="Arial"/>
          <w:color w:val="000000" w:themeColor="text2"/>
        </w:rPr>
        <w:t>reporting</w:t>
      </w:r>
      <w:proofErr w:type="spellEnd"/>
      <w:r w:rsidRPr="00282A41">
        <w:rPr>
          <w:rFonts w:cs="Arial"/>
          <w:color w:val="000000" w:themeColor="text2"/>
        </w:rPr>
        <w:t xml:space="preserve"> concernant l’utilisation de la base de données à partir des statistiques disponibles dans l’outil (au moins deux fois par an et à la demande) ;</w:t>
      </w:r>
    </w:p>
    <w:p w14:paraId="247ED8BC" w14:textId="77777777" w:rsidR="00EF4826" w:rsidRPr="00282A41" w:rsidRDefault="00EF4826" w:rsidP="00EF4826">
      <w:pPr>
        <w:pStyle w:val="Paragraphedeliste"/>
        <w:numPr>
          <w:ilvl w:val="0"/>
          <w:numId w:val="28"/>
        </w:numPr>
        <w:suppressAutoHyphens w:val="0"/>
        <w:autoSpaceDE w:val="0"/>
        <w:autoSpaceDN w:val="0"/>
        <w:adjustRightInd w:val="0"/>
        <w:spacing w:before="0" w:after="200" w:line="276" w:lineRule="auto"/>
        <w:contextualSpacing/>
        <w:rPr>
          <w:rFonts w:cs="Arial"/>
          <w:color w:val="000000" w:themeColor="text2"/>
        </w:rPr>
      </w:pPr>
      <w:r w:rsidRPr="00282A41">
        <w:rPr>
          <w:rFonts w:cs="Arial"/>
          <w:color w:val="000000" w:themeColor="text2"/>
        </w:rPr>
        <w:t>La formation sur l’utilisation du front et du back office auprès des publics concernés ;</w:t>
      </w:r>
    </w:p>
    <w:p w14:paraId="314D78F8" w14:textId="77777777" w:rsidR="00EF4826" w:rsidRPr="00282A41" w:rsidRDefault="00EF4826" w:rsidP="00EF4826">
      <w:pPr>
        <w:pStyle w:val="Paragraphedeliste"/>
        <w:numPr>
          <w:ilvl w:val="0"/>
          <w:numId w:val="28"/>
        </w:numPr>
        <w:suppressAutoHyphens w:val="0"/>
        <w:autoSpaceDE w:val="0"/>
        <w:autoSpaceDN w:val="0"/>
        <w:adjustRightInd w:val="0"/>
        <w:spacing w:before="0" w:after="200" w:line="276" w:lineRule="auto"/>
        <w:contextualSpacing/>
        <w:rPr>
          <w:rFonts w:cs="Arial"/>
          <w:color w:val="000000" w:themeColor="text2"/>
        </w:rPr>
      </w:pPr>
      <w:r w:rsidRPr="00282A41">
        <w:rPr>
          <w:rFonts w:cs="Arial"/>
          <w:color w:val="000000" w:themeColor="text2"/>
        </w:rPr>
        <w:t>Les évolutions de l’outil en lien avec la DSI de l’EFS et de l’éditeur (prestataire de l’EFS).</w:t>
      </w:r>
    </w:p>
    <w:p w14:paraId="5A65BA58" w14:textId="25C01504" w:rsidR="00EF4826" w:rsidRPr="00282A41" w:rsidRDefault="00EF4826" w:rsidP="00282A41">
      <w:pPr>
        <w:pStyle w:val="Corpsdetexte"/>
        <w:spacing w:line="276" w:lineRule="auto"/>
        <w:rPr>
          <w:b w:val="0"/>
          <w:color w:val="000000" w:themeColor="text2"/>
          <w:sz w:val="22"/>
        </w:rPr>
      </w:pPr>
      <w:r w:rsidRPr="00282A41">
        <w:rPr>
          <w:b w:val="0"/>
          <w:color w:val="000000" w:themeColor="text2"/>
          <w:sz w:val="22"/>
        </w:rPr>
        <w:t>Le Titulaire peut suppléer la Direction nationale de la communication &amp; de la marque en tant qu’administrateur de la base de données, dans le cadre notamment de ré</w:t>
      </w:r>
      <w:r w:rsidR="00282A41" w:rsidRPr="00282A41">
        <w:rPr>
          <w:b w:val="0"/>
          <w:color w:val="000000" w:themeColor="text2"/>
          <w:sz w:val="22"/>
        </w:rPr>
        <w:t>ponses à des demandes d’images.</w:t>
      </w:r>
    </w:p>
    <w:p w14:paraId="32DBA267" w14:textId="70F96558" w:rsidR="00D644E5" w:rsidRDefault="00524226" w:rsidP="00234EE9">
      <w:pPr>
        <w:pStyle w:val="Titre2"/>
        <w:numPr>
          <w:ilvl w:val="1"/>
          <w:numId w:val="10"/>
        </w:numPr>
      </w:pPr>
      <w:bookmarkStart w:id="32" w:name="_Toc190784028"/>
      <w:r>
        <w:t>Suivi de l’exécution des prestations</w:t>
      </w:r>
      <w:bookmarkEnd w:id="32"/>
    </w:p>
    <w:p w14:paraId="2AB1CDB1" w14:textId="042170BB" w:rsidR="00524226" w:rsidRDefault="00524226" w:rsidP="00524226"/>
    <w:p w14:paraId="4DEA9296" w14:textId="77777777" w:rsidR="00524226" w:rsidRPr="00524226" w:rsidRDefault="00524226" w:rsidP="00524226">
      <w:pPr>
        <w:pStyle w:val="Corpsdetexte"/>
        <w:spacing w:line="276" w:lineRule="auto"/>
        <w:rPr>
          <w:b w:val="0"/>
          <w:color w:val="000000" w:themeColor="text2"/>
          <w:sz w:val="22"/>
        </w:rPr>
      </w:pPr>
      <w:r w:rsidRPr="00524226">
        <w:rPr>
          <w:b w:val="0"/>
          <w:color w:val="000000" w:themeColor="text2"/>
          <w:sz w:val="22"/>
        </w:rPr>
        <w:t xml:space="preserve">Il est demandé au Titulaire d’être présent dans les locaux de l’EFS au moins une journée par mois (atelier de travail). La date de ces journées mensuelles est fixée conjointement par l’EFS et le Titulaire. L’EFS met ce jour-là à disposition du Titulaire un bureau et un accès au réseau internet.  </w:t>
      </w:r>
    </w:p>
    <w:p w14:paraId="3B065BB6" w14:textId="77777777" w:rsidR="00524226" w:rsidRPr="00524226" w:rsidRDefault="00524226" w:rsidP="00524226">
      <w:pPr>
        <w:pStyle w:val="Corpsdetexte"/>
        <w:spacing w:line="276" w:lineRule="auto"/>
        <w:rPr>
          <w:b w:val="0"/>
          <w:color w:val="000000" w:themeColor="text2"/>
          <w:sz w:val="22"/>
        </w:rPr>
      </w:pPr>
      <w:r w:rsidRPr="00524226">
        <w:rPr>
          <w:b w:val="0"/>
          <w:color w:val="000000" w:themeColor="text2"/>
          <w:sz w:val="22"/>
        </w:rPr>
        <w:t>L’objectif de cet atelier mensuel est de :</w:t>
      </w:r>
    </w:p>
    <w:p w14:paraId="7DF91913"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proofErr w:type="gramStart"/>
      <w:r w:rsidRPr="00524226">
        <w:rPr>
          <w:b w:val="0"/>
          <w:color w:val="000000" w:themeColor="text2"/>
          <w:sz w:val="22"/>
        </w:rPr>
        <w:lastRenderedPageBreak/>
        <w:t>faire</w:t>
      </w:r>
      <w:proofErr w:type="gramEnd"/>
      <w:r w:rsidRPr="00524226">
        <w:rPr>
          <w:b w:val="0"/>
          <w:color w:val="000000" w:themeColor="text2"/>
          <w:sz w:val="22"/>
        </w:rPr>
        <w:t xml:space="preserve"> le point sur les reportages en cours, passés et à venir ;</w:t>
      </w:r>
    </w:p>
    <w:p w14:paraId="5843E470"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proofErr w:type="gramStart"/>
      <w:r w:rsidRPr="00524226">
        <w:rPr>
          <w:b w:val="0"/>
          <w:color w:val="000000" w:themeColor="text2"/>
          <w:sz w:val="22"/>
        </w:rPr>
        <w:t>remettre</w:t>
      </w:r>
      <w:proofErr w:type="gramEnd"/>
      <w:r w:rsidRPr="00524226">
        <w:rPr>
          <w:b w:val="0"/>
          <w:color w:val="000000" w:themeColor="text2"/>
          <w:sz w:val="22"/>
        </w:rPr>
        <w:t xml:space="preserve"> les documents nécessaires à l’intégration des médias (reportage, autorisations de prises de vue, contrat) ;</w:t>
      </w:r>
    </w:p>
    <w:p w14:paraId="3F9F8450"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proofErr w:type="gramStart"/>
      <w:r w:rsidRPr="00524226">
        <w:rPr>
          <w:b w:val="0"/>
          <w:color w:val="000000" w:themeColor="text2"/>
          <w:sz w:val="22"/>
        </w:rPr>
        <w:t>travailler</w:t>
      </w:r>
      <w:proofErr w:type="gramEnd"/>
      <w:r w:rsidRPr="00524226">
        <w:rPr>
          <w:b w:val="0"/>
          <w:color w:val="000000" w:themeColor="text2"/>
          <w:sz w:val="22"/>
        </w:rPr>
        <w:t xml:space="preserve"> sur l’éditorialisation de la médiathèque (reportages à mettre en Une, photos à sélectionner pour les mettre dans le dossier Visuels favoris) ;</w:t>
      </w:r>
    </w:p>
    <w:p w14:paraId="11EE5BC7" w14:textId="0CB4285E"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proofErr w:type="gramStart"/>
      <w:r w:rsidRPr="00524226">
        <w:rPr>
          <w:b w:val="0"/>
          <w:color w:val="000000" w:themeColor="text2"/>
          <w:sz w:val="22"/>
        </w:rPr>
        <w:t>gérer</w:t>
      </w:r>
      <w:proofErr w:type="gramEnd"/>
      <w:r w:rsidRPr="00524226">
        <w:rPr>
          <w:b w:val="0"/>
          <w:color w:val="000000" w:themeColor="text2"/>
          <w:sz w:val="22"/>
        </w:rPr>
        <w:t xml:space="preserve"> la maintenance et l’actualisation de la médiathèque (médias à supprimer, notices et légendes à modifier, gestion des accès…).</w:t>
      </w:r>
    </w:p>
    <w:p w14:paraId="2EF225BB" w14:textId="11F6F779" w:rsidR="00D644E5" w:rsidRDefault="00524226" w:rsidP="00234EE9">
      <w:pPr>
        <w:pStyle w:val="Titre2"/>
        <w:numPr>
          <w:ilvl w:val="1"/>
          <w:numId w:val="10"/>
        </w:numPr>
      </w:pPr>
      <w:bookmarkStart w:id="33" w:name="_Toc190784029"/>
      <w:r>
        <w:t>Modalités d’exécution technique des prestations</w:t>
      </w:r>
      <w:bookmarkEnd w:id="33"/>
    </w:p>
    <w:p w14:paraId="6E92CAC4" w14:textId="77777777" w:rsidR="00524226" w:rsidRPr="00524226" w:rsidRDefault="00524226" w:rsidP="00524226">
      <w:pPr>
        <w:pStyle w:val="Paragraphedeliste"/>
        <w:numPr>
          <w:ilvl w:val="0"/>
          <w:numId w:val="31"/>
        </w:numPr>
        <w:suppressAutoHyphens w:val="0"/>
        <w:spacing w:before="0" w:after="160" w:line="259" w:lineRule="auto"/>
        <w:contextualSpacing/>
        <w:rPr>
          <w:rFonts w:cs="Arial"/>
          <w:color w:val="000000" w:themeColor="text2"/>
          <w:u w:val="single"/>
        </w:rPr>
      </w:pPr>
      <w:r w:rsidRPr="00524226">
        <w:rPr>
          <w:rFonts w:cs="Arial"/>
          <w:color w:val="000000" w:themeColor="text2"/>
          <w:u w:val="single"/>
        </w:rPr>
        <w:t>Réception des médias</w:t>
      </w:r>
    </w:p>
    <w:p w14:paraId="264EAEF3" w14:textId="5BD509E5" w:rsidR="00524226" w:rsidRPr="00524226" w:rsidRDefault="00524226" w:rsidP="00524226">
      <w:pPr>
        <w:rPr>
          <w:rFonts w:cs="Arial"/>
          <w:color w:val="000000" w:themeColor="text2"/>
        </w:rPr>
      </w:pPr>
      <w:r w:rsidRPr="00524226">
        <w:rPr>
          <w:rFonts w:cs="Arial"/>
          <w:color w:val="000000" w:themeColor="text2"/>
        </w:rPr>
        <w:t>Les médias à indexer sont transmis par l’EFS selon les modalités conjointement élaborées.</w:t>
      </w:r>
    </w:p>
    <w:p w14:paraId="339A6344" w14:textId="77777777" w:rsidR="00524226" w:rsidRPr="00524226" w:rsidRDefault="00524226" w:rsidP="00524226">
      <w:pPr>
        <w:pStyle w:val="Corpsdetexte"/>
        <w:spacing w:line="276" w:lineRule="auto"/>
        <w:rPr>
          <w:b w:val="0"/>
          <w:color w:val="000000" w:themeColor="text2"/>
          <w:sz w:val="22"/>
        </w:rPr>
      </w:pPr>
      <w:r w:rsidRPr="00524226">
        <w:rPr>
          <w:b w:val="0"/>
          <w:color w:val="000000" w:themeColor="text2"/>
          <w:sz w:val="22"/>
        </w:rPr>
        <w:t>Sauf exception, la collecte des reportages photographiques est assurée par la Direction nationale de la communication.</w:t>
      </w:r>
    </w:p>
    <w:p w14:paraId="44DEEA04" w14:textId="77777777" w:rsidR="00524226" w:rsidRPr="00524226" w:rsidRDefault="00524226" w:rsidP="00524226">
      <w:pPr>
        <w:pStyle w:val="Corpsdetexte"/>
        <w:spacing w:line="276" w:lineRule="auto"/>
        <w:rPr>
          <w:b w:val="0"/>
          <w:color w:val="000000" w:themeColor="text2"/>
          <w:sz w:val="22"/>
        </w:rPr>
      </w:pPr>
      <w:r w:rsidRPr="00524226">
        <w:rPr>
          <w:b w:val="0"/>
          <w:color w:val="000000" w:themeColor="text2"/>
          <w:sz w:val="22"/>
        </w:rPr>
        <w:t>Le Titulaire est chargé de la sélection des photos à intégrer dans la base de données pour chaque reportage (toutes les photos n’ont pas vocation à être traitées).</w:t>
      </w:r>
    </w:p>
    <w:p w14:paraId="36C46BC7" w14:textId="77777777" w:rsidR="00524226" w:rsidRPr="00524226" w:rsidRDefault="00524226" w:rsidP="00524226">
      <w:pPr>
        <w:pStyle w:val="Paragraphedeliste"/>
        <w:numPr>
          <w:ilvl w:val="0"/>
          <w:numId w:val="31"/>
        </w:numPr>
        <w:suppressAutoHyphens w:val="0"/>
        <w:spacing w:before="0" w:after="160" w:line="259" w:lineRule="auto"/>
        <w:contextualSpacing/>
        <w:rPr>
          <w:rFonts w:cs="Arial"/>
          <w:color w:val="000000" w:themeColor="text2"/>
          <w:u w:val="single"/>
        </w:rPr>
      </w:pPr>
      <w:r w:rsidRPr="00524226">
        <w:rPr>
          <w:rFonts w:cs="Arial"/>
          <w:color w:val="000000" w:themeColor="text2"/>
          <w:u w:val="single"/>
        </w:rPr>
        <w:t>Intégration des médias</w:t>
      </w:r>
    </w:p>
    <w:p w14:paraId="28678058" w14:textId="77777777" w:rsidR="00524226" w:rsidRPr="00524226" w:rsidRDefault="00524226" w:rsidP="00524226">
      <w:pPr>
        <w:pStyle w:val="Corpsdetexte"/>
        <w:spacing w:after="0" w:line="276" w:lineRule="auto"/>
        <w:rPr>
          <w:b w:val="0"/>
          <w:color w:val="000000" w:themeColor="text2"/>
          <w:sz w:val="22"/>
        </w:rPr>
      </w:pPr>
      <w:r w:rsidRPr="00524226">
        <w:rPr>
          <w:b w:val="0"/>
          <w:color w:val="000000" w:themeColor="text2"/>
          <w:sz w:val="22"/>
        </w:rPr>
        <w:t>L’intégration des médias dans la solution logicielle se fait dans les locaux du Titulaire qui est responsable de l’intégrité des documents dès leur livraison ou dans les locaux de l’EFS.</w:t>
      </w:r>
    </w:p>
    <w:p w14:paraId="25B37BA6" w14:textId="77777777" w:rsidR="00524226" w:rsidRPr="00524226" w:rsidRDefault="00524226" w:rsidP="00524226">
      <w:pPr>
        <w:spacing w:after="160" w:line="259" w:lineRule="auto"/>
        <w:contextualSpacing/>
        <w:rPr>
          <w:rFonts w:cs="Arial"/>
          <w:color w:val="000000" w:themeColor="text2"/>
          <w:u w:val="single"/>
        </w:rPr>
      </w:pPr>
    </w:p>
    <w:p w14:paraId="719B5450" w14:textId="77777777" w:rsidR="00524226" w:rsidRPr="00524226" w:rsidRDefault="00524226" w:rsidP="00524226">
      <w:pPr>
        <w:rPr>
          <w:rFonts w:cs="Arial"/>
          <w:color w:val="000000" w:themeColor="text2"/>
        </w:rPr>
      </w:pPr>
      <w:r w:rsidRPr="00524226">
        <w:rPr>
          <w:rFonts w:cs="Arial"/>
          <w:color w:val="000000" w:themeColor="text2"/>
        </w:rPr>
        <w:t>Le Titulaire assure l’intégration des médias dans l’outil documentaire et leur mise en ligne après indexation des notices :</w:t>
      </w:r>
    </w:p>
    <w:p w14:paraId="6EFE6610" w14:textId="77777777" w:rsidR="00524226" w:rsidRPr="00524226" w:rsidRDefault="00524226" w:rsidP="00524226">
      <w:pPr>
        <w:rPr>
          <w:rFonts w:cs="Arial"/>
          <w:color w:val="000000" w:themeColor="text2"/>
          <w:u w:val="single"/>
        </w:rPr>
      </w:pPr>
    </w:p>
    <w:p w14:paraId="309E6E52"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r w:rsidRPr="00524226">
        <w:rPr>
          <w:b w:val="0"/>
          <w:color w:val="000000" w:themeColor="text2"/>
          <w:sz w:val="22"/>
        </w:rPr>
        <w:t xml:space="preserve">Chargement des fichiers numériques après </w:t>
      </w:r>
      <w:proofErr w:type="spellStart"/>
      <w:r w:rsidRPr="00524226">
        <w:rPr>
          <w:b w:val="0"/>
          <w:color w:val="000000" w:themeColor="text2"/>
          <w:sz w:val="22"/>
        </w:rPr>
        <w:t>éditing</w:t>
      </w:r>
      <w:proofErr w:type="spellEnd"/>
      <w:r w:rsidRPr="00524226">
        <w:rPr>
          <w:b w:val="0"/>
          <w:color w:val="000000" w:themeColor="text2"/>
          <w:sz w:val="22"/>
        </w:rPr>
        <w:t> ;</w:t>
      </w:r>
    </w:p>
    <w:p w14:paraId="63FC0831" w14:textId="606B9579" w:rsidR="00524226" w:rsidRPr="00497F76" w:rsidRDefault="00524226" w:rsidP="00497F76">
      <w:pPr>
        <w:pStyle w:val="Corpsdetexte"/>
        <w:numPr>
          <w:ilvl w:val="0"/>
          <w:numId w:val="28"/>
        </w:numPr>
        <w:tabs>
          <w:tab w:val="clear" w:pos="426"/>
        </w:tabs>
        <w:suppressAutoHyphens w:val="0"/>
        <w:spacing w:before="0" w:after="0"/>
        <w:rPr>
          <w:b w:val="0"/>
          <w:color w:val="000000" w:themeColor="text2"/>
          <w:sz w:val="22"/>
        </w:rPr>
      </w:pPr>
      <w:r w:rsidRPr="00524226">
        <w:rPr>
          <w:b w:val="0"/>
          <w:color w:val="000000" w:themeColor="text2"/>
          <w:sz w:val="22"/>
        </w:rPr>
        <w:t>Renseignement des champs de la notice descriptive selon le média, à l’aide des informations factuelles fournies par l’EFS lors de la remise des médias ;</w:t>
      </w:r>
    </w:p>
    <w:p w14:paraId="56D33A28" w14:textId="77777777" w:rsidR="00524226" w:rsidRPr="00524226" w:rsidRDefault="00524226" w:rsidP="00524226">
      <w:pPr>
        <w:pStyle w:val="Corpsdetexte"/>
        <w:spacing w:after="0"/>
        <w:ind w:left="720"/>
        <w:rPr>
          <w:b w:val="0"/>
          <w:color w:val="000000" w:themeColor="text2"/>
          <w:sz w:val="22"/>
        </w:rPr>
      </w:pPr>
      <w:r w:rsidRPr="00524226">
        <w:rPr>
          <w:b w:val="0"/>
          <w:color w:val="000000" w:themeColor="text2"/>
          <w:sz w:val="22"/>
        </w:rPr>
        <w:t>Il est à noter qu’en fonction des types de documents, les champs à indexer varient.</w:t>
      </w:r>
    </w:p>
    <w:p w14:paraId="006B0220" w14:textId="77777777" w:rsidR="00524226" w:rsidRPr="00524226" w:rsidRDefault="00524226" w:rsidP="00524226">
      <w:pPr>
        <w:pStyle w:val="Corpsdetexte"/>
        <w:ind w:left="720"/>
        <w:rPr>
          <w:b w:val="0"/>
          <w:color w:val="000000" w:themeColor="text2"/>
          <w:sz w:val="22"/>
        </w:rPr>
      </w:pPr>
      <w:r w:rsidRPr="00524226">
        <w:rPr>
          <w:b w:val="0"/>
          <w:color w:val="000000" w:themeColor="text2"/>
          <w:sz w:val="22"/>
        </w:rPr>
        <w:t>Un thésaurus intégré à la solution permet une indexation fine des médias.</w:t>
      </w:r>
    </w:p>
    <w:p w14:paraId="243D4730" w14:textId="77777777" w:rsidR="00524226" w:rsidRPr="00524226" w:rsidRDefault="00524226" w:rsidP="00524226">
      <w:pPr>
        <w:pStyle w:val="Corpsdetexte"/>
        <w:numPr>
          <w:ilvl w:val="0"/>
          <w:numId w:val="28"/>
        </w:numPr>
        <w:tabs>
          <w:tab w:val="clear" w:pos="426"/>
        </w:tabs>
        <w:suppressAutoHyphens w:val="0"/>
        <w:spacing w:before="120" w:line="276" w:lineRule="auto"/>
        <w:rPr>
          <w:b w:val="0"/>
          <w:color w:val="000000" w:themeColor="text2"/>
          <w:sz w:val="22"/>
        </w:rPr>
      </w:pPr>
      <w:r w:rsidRPr="00524226">
        <w:rPr>
          <w:b w:val="0"/>
          <w:color w:val="000000" w:themeColor="text2"/>
          <w:sz w:val="22"/>
        </w:rPr>
        <w:t>L’intégration dans la médiathèque se fait au plus tard 10 jours ouvrés après la livraison du reportage au Titulaire ;</w:t>
      </w:r>
    </w:p>
    <w:p w14:paraId="5DE0D3CE"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r w:rsidRPr="00524226">
        <w:rPr>
          <w:b w:val="0"/>
          <w:color w:val="000000" w:themeColor="text2"/>
          <w:sz w:val="22"/>
        </w:rPr>
        <w:t>Mise en ligne des médias indexés ;</w:t>
      </w:r>
    </w:p>
    <w:p w14:paraId="152A633D" w14:textId="77777777" w:rsidR="00524226" w:rsidRPr="00524226" w:rsidRDefault="00524226" w:rsidP="00524226">
      <w:pPr>
        <w:pStyle w:val="Corpsdetexte"/>
        <w:numPr>
          <w:ilvl w:val="0"/>
          <w:numId w:val="28"/>
        </w:numPr>
        <w:tabs>
          <w:tab w:val="clear" w:pos="426"/>
        </w:tabs>
        <w:suppressAutoHyphens w:val="0"/>
        <w:spacing w:before="0" w:after="0"/>
        <w:rPr>
          <w:b w:val="0"/>
          <w:color w:val="000000" w:themeColor="text2"/>
          <w:sz w:val="22"/>
        </w:rPr>
      </w:pPr>
      <w:r w:rsidRPr="00524226">
        <w:rPr>
          <w:b w:val="0"/>
          <w:color w:val="000000" w:themeColor="text2"/>
          <w:sz w:val="22"/>
        </w:rPr>
        <w:t>Gestion des droits juridiques : le Titulaire s’assure que tous les médias destinés à être mis en ligne disposent bien d’une autorisation de prise de vue signée quand celle-ci est nécessaire au regard du droit à l’image. Il assure également la gestion des documents associés à chaque image ou reportage (autorisation de prise de vue, contrat de cession de droit) dans le back-office.</w:t>
      </w:r>
    </w:p>
    <w:p w14:paraId="162DCB6B" w14:textId="77777777" w:rsidR="00524226" w:rsidRPr="00524226" w:rsidRDefault="00524226" w:rsidP="00524226">
      <w:pPr>
        <w:pStyle w:val="Corpsdetexte"/>
        <w:spacing w:after="0" w:line="276" w:lineRule="auto"/>
        <w:rPr>
          <w:b w:val="0"/>
          <w:color w:val="000000" w:themeColor="text2"/>
          <w:sz w:val="22"/>
        </w:rPr>
      </w:pPr>
    </w:p>
    <w:p w14:paraId="75E17A72" w14:textId="77777777" w:rsidR="00524226" w:rsidRPr="00524226" w:rsidRDefault="00524226" w:rsidP="00524226">
      <w:pPr>
        <w:pStyle w:val="Corpsdetexte"/>
        <w:autoSpaceDE w:val="0"/>
        <w:autoSpaceDN w:val="0"/>
        <w:adjustRightInd w:val="0"/>
        <w:spacing w:line="276" w:lineRule="auto"/>
        <w:rPr>
          <w:b w:val="0"/>
          <w:color w:val="000000" w:themeColor="text2"/>
          <w:sz w:val="22"/>
        </w:rPr>
      </w:pPr>
      <w:r w:rsidRPr="00524226">
        <w:rPr>
          <w:b w:val="0"/>
          <w:color w:val="000000" w:themeColor="text2"/>
          <w:sz w:val="22"/>
        </w:rPr>
        <w:t xml:space="preserve">Pour les images remises par un profil « contributeur » (services communication en région ou photographes eux-mêmes) : </w:t>
      </w:r>
    </w:p>
    <w:p w14:paraId="6623588E" w14:textId="77777777" w:rsidR="00524226" w:rsidRPr="00524226" w:rsidRDefault="00524226" w:rsidP="00524226">
      <w:pPr>
        <w:pStyle w:val="Corpsdetexte"/>
        <w:numPr>
          <w:ilvl w:val="0"/>
          <w:numId w:val="28"/>
        </w:numPr>
        <w:tabs>
          <w:tab w:val="clear" w:pos="426"/>
        </w:tabs>
        <w:suppressAutoHyphens w:val="0"/>
        <w:autoSpaceDE w:val="0"/>
        <w:autoSpaceDN w:val="0"/>
        <w:adjustRightInd w:val="0"/>
        <w:spacing w:before="0" w:after="0" w:line="276" w:lineRule="auto"/>
        <w:rPr>
          <w:b w:val="0"/>
          <w:color w:val="000000" w:themeColor="text2"/>
          <w:sz w:val="22"/>
        </w:rPr>
      </w:pPr>
      <w:r w:rsidRPr="00524226">
        <w:rPr>
          <w:b w:val="0"/>
          <w:color w:val="000000" w:themeColor="text2"/>
          <w:sz w:val="22"/>
        </w:rPr>
        <w:t>Validation avec la Direction nationale de la communication des médias à conserver ;</w:t>
      </w:r>
    </w:p>
    <w:p w14:paraId="75092436" w14:textId="77777777" w:rsidR="00524226" w:rsidRPr="00524226" w:rsidRDefault="00524226" w:rsidP="00524226">
      <w:pPr>
        <w:pStyle w:val="Corpsdetexte"/>
        <w:numPr>
          <w:ilvl w:val="0"/>
          <w:numId w:val="28"/>
        </w:numPr>
        <w:tabs>
          <w:tab w:val="clear" w:pos="426"/>
        </w:tabs>
        <w:suppressAutoHyphens w:val="0"/>
        <w:autoSpaceDE w:val="0"/>
        <w:autoSpaceDN w:val="0"/>
        <w:adjustRightInd w:val="0"/>
        <w:spacing w:before="0" w:after="0" w:line="276" w:lineRule="auto"/>
        <w:rPr>
          <w:b w:val="0"/>
          <w:color w:val="000000" w:themeColor="text2"/>
          <w:sz w:val="22"/>
        </w:rPr>
      </w:pPr>
      <w:r w:rsidRPr="00524226">
        <w:rPr>
          <w:b w:val="0"/>
          <w:color w:val="000000" w:themeColor="text2"/>
          <w:sz w:val="22"/>
        </w:rPr>
        <w:t>Indexation : reprise des informations fournies à partir d’un formulaire de pré-indexation pour les ventiler dans les champs correspondants de la notice documentaire et finalisation de l’indexation ;</w:t>
      </w:r>
    </w:p>
    <w:p w14:paraId="7ABF29A5" w14:textId="77777777" w:rsidR="00524226" w:rsidRPr="00524226" w:rsidRDefault="00524226" w:rsidP="00524226">
      <w:pPr>
        <w:pStyle w:val="Corpsdetexte"/>
        <w:numPr>
          <w:ilvl w:val="0"/>
          <w:numId w:val="28"/>
        </w:numPr>
        <w:tabs>
          <w:tab w:val="clear" w:pos="426"/>
        </w:tabs>
        <w:suppressAutoHyphens w:val="0"/>
        <w:spacing w:before="0" w:after="0" w:line="276" w:lineRule="auto"/>
        <w:rPr>
          <w:b w:val="0"/>
          <w:color w:val="000000" w:themeColor="text2"/>
          <w:sz w:val="22"/>
        </w:rPr>
      </w:pPr>
      <w:r w:rsidRPr="00524226">
        <w:rPr>
          <w:b w:val="0"/>
          <w:color w:val="000000" w:themeColor="text2"/>
          <w:sz w:val="22"/>
        </w:rPr>
        <w:t xml:space="preserve">Mise en ligne des médias indexés. </w:t>
      </w:r>
    </w:p>
    <w:p w14:paraId="12AD8CDD" w14:textId="77777777" w:rsidR="00524226" w:rsidRPr="00524226" w:rsidRDefault="00524226" w:rsidP="00524226">
      <w:pPr>
        <w:pStyle w:val="Corpsdetexte"/>
        <w:spacing w:after="0" w:line="276" w:lineRule="auto"/>
        <w:rPr>
          <w:color w:val="000000" w:themeColor="text2"/>
          <w:sz w:val="22"/>
        </w:rPr>
      </w:pPr>
    </w:p>
    <w:p w14:paraId="2701BFBF" w14:textId="77777777" w:rsidR="00524226" w:rsidRPr="00524226" w:rsidRDefault="00524226" w:rsidP="00524226">
      <w:pPr>
        <w:rPr>
          <w:rFonts w:eastAsia="Calibri" w:cs="Arial"/>
          <w:color w:val="000000" w:themeColor="text2"/>
        </w:rPr>
      </w:pPr>
      <w:r w:rsidRPr="00524226">
        <w:rPr>
          <w:rFonts w:eastAsia="Calibri" w:cs="Arial"/>
          <w:color w:val="000000" w:themeColor="text2"/>
          <w:u w:val="single"/>
        </w:rPr>
        <w:t>Liste des champs à renseigner pour l’indexation des photographies (informations données à titre indicatif)</w:t>
      </w:r>
      <w:r w:rsidRPr="00524226">
        <w:rPr>
          <w:rFonts w:eastAsia="Calibri" w:cs="Arial"/>
          <w:color w:val="000000" w:themeColor="text2"/>
        </w:rPr>
        <w:t xml:space="preserve"> :</w:t>
      </w:r>
    </w:p>
    <w:p w14:paraId="0925C47A" w14:textId="77777777" w:rsidR="00524226" w:rsidRPr="00524226" w:rsidRDefault="00524226" w:rsidP="00524226">
      <w:pPr>
        <w:rPr>
          <w:rFonts w:eastAsia="Calibri" w:cs="Arial"/>
          <w:color w:val="000000" w:themeColor="text2"/>
          <w:u w:val="single"/>
        </w:rPr>
      </w:pPr>
    </w:p>
    <w:p w14:paraId="08EF37BE"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 xml:space="preserve">Légende : saisie libre </w:t>
      </w:r>
    </w:p>
    <w:p w14:paraId="5C3A2912"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Date de prise de vue</w:t>
      </w:r>
    </w:p>
    <w:p w14:paraId="3E468875"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Lieu de prise de vue</w:t>
      </w:r>
    </w:p>
    <w:p w14:paraId="32EDC014"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Auteur : photographe et/ou agence</w:t>
      </w:r>
    </w:p>
    <w:p w14:paraId="65EE955B"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Mots-clés : se référer au thésaurus</w:t>
      </w:r>
    </w:p>
    <w:p w14:paraId="0CE4B8F3"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Personnalités : se référer au thésaurus</w:t>
      </w:r>
    </w:p>
    <w:p w14:paraId="3D98038A"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Thèmes : associer l’image à une ou plusieurs thèmes (arborescence préétablie)</w:t>
      </w:r>
    </w:p>
    <w:p w14:paraId="0BCCA6FE"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Commanditaire de l’image</w:t>
      </w:r>
    </w:p>
    <w:p w14:paraId="452F1A4A"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Droits d’utilisation</w:t>
      </w:r>
    </w:p>
    <w:p w14:paraId="3B1075AE"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 xml:space="preserve">Droits des personnes </w:t>
      </w:r>
    </w:p>
    <w:p w14:paraId="017F642A"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Date de fin de droits</w:t>
      </w:r>
    </w:p>
    <w:p w14:paraId="0F324B78"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Restriction d’usage</w:t>
      </w:r>
    </w:p>
    <w:p w14:paraId="1785F484"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Support original</w:t>
      </w:r>
    </w:p>
    <w:p w14:paraId="09023A98"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Autres formats disponibles</w:t>
      </w:r>
    </w:p>
    <w:p w14:paraId="358E91C1"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Documents associés : contrat photographe et autorisation liés à une image</w:t>
      </w:r>
    </w:p>
    <w:p w14:paraId="397A619B" w14:textId="77777777" w:rsidR="00524226" w:rsidRPr="00524226" w:rsidRDefault="00524226" w:rsidP="00524226">
      <w:pPr>
        <w:pStyle w:val="Paragraphedeliste"/>
        <w:numPr>
          <w:ilvl w:val="0"/>
          <w:numId w:val="32"/>
        </w:numPr>
        <w:suppressAutoHyphens w:val="0"/>
        <w:spacing w:before="0" w:after="200" w:line="276" w:lineRule="auto"/>
        <w:contextualSpacing/>
        <w:rPr>
          <w:rFonts w:cs="Arial"/>
          <w:color w:val="000000" w:themeColor="text2"/>
        </w:rPr>
      </w:pPr>
      <w:r w:rsidRPr="00524226">
        <w:rPr>
          <w:rFonts w:cs="Arial"/>
          <w:color w:val="000000" w:themeColor="text2"/>
        </w:rPr>
        <w:t>Champs de gestion : thèmes internes, localisation, publication, commentaires : ces champs sont à renseigner selon les usages</w:t>
      </w:r>
    </w:p>
    <w:p w14:paraId="26FF5A37" w14:textId="77777777" w:rsidR="00524226" w:rsidRPr="00524226" w:rsidRDefault="00524226" w:rsidP="00524226">
      <w:pPr>
        <w:rPr>
          <w:rFonts w:eastAsia="Calibri" w:cs="Arial"/>
          <w:color w:val="000000" w:themeColor="text2"/>
        </w:rPr>
      </w:pPr>
      <w:r w:rsidRPr="00524226">
        <w:rPr>
          <w:rFonts w:eastAsia="Calibri" w:cs="Arial"/>
          <w:color w:val="000000" w:themeColor="text2"/>
        </w:rPr>
        <w:t>Pour le traitement des médias type vidéo et audio, le nombre de champs à renseigner est à peu près équivalent, un résumé descriptif est à rédiger pour chacun de ces médias.</w:t>
      </w:r>
    </w:p>
    <w:p w14:paraId="2D34C0D4" w14:textId="77777777" w:rsidR="00524226" w:rsidRPr="00524226" w:rsidRDefault="00524226" w:rsidP="00524226">
      <w:pPr>
        <w:rPr>
          <w:rFonts w:eastAsia="Calibri" w:cs="Arial"/>
          <w:color w:val="000000" w:themeColor="text2"/>
        </w:rPr>
      </w:pPr>
    </w:p>
    <w:p w14:paraId="51B7DD7B" w14:textId="017CDB59" w:rsidR="00524226" w:rsidRPr="00524226" w:rsidRDefault="00524226" w:rsidP="00524226">
      <w:r w:rsidRPr="00524226">
        <w:rPr>
          <w:rFonts w:cs="Arial"/>
          <w:color w:val="000000" w:themeColor="text2"/>
        </w:rPr>
        <w:t>La</w:t>
      </w:r>
      <w:r w:rsidRPr="00524226">
        <w:rPr>
          <w:rFonts w:eastAsia="Calibri" w:cs="Arial"/>
          <w:color w:val="000000" w:themeColor="text2"/>
        </w:rPr>
        <w:t xml:space="preserve"> solution logicielle permet de traiter les médias à l’unité ou par lot. La plupart des champs son</w:t>
      </w:r>
      <w:r>
        <w:rPr>
          <w:rFonts w:eastAsia="Calibri" w:cs="Arial"/>
          <w:color w:val="000000" w:themeColor="text2"/>
        </w:rPr>
        <w:t xml:space="preserve">t liés à une liste de valeurs. </w:t>
      </w:r>
    </w:p>
    <w:p w14:paraId="1A9E4862" w14:textId="7942C277" w:rsidR="00D644E5" w:rsidRDefault="00524226" w:rsidP="00234EE9">
      <w:pPr>
        <w:pStyle w:val="Titre2"/>
        <w:numPr>
          <w:ilvl w:val="1"/>
          <w:numId w:val="10"/>
        </w:numPr>
      </w:pPr>
      <w:bookmarkStart w:id="34" w:name="_Toc190784030"/>
      <w:r>
        <w:t>Conduite des prestations par une personne nommément désignée</w:t>
      </w:r>
      <w:bookmarkEnd w:id="34"/>
    </w:p>
    <w:p w14:paraId="2F0C25CB" w14:textId="77777777" w:rsidR="00524226" w:rsidRPr="00524226" w:rsidRDefault="00524226" w:rsidP="00524226">
      <w:pPr>
        <w:rPr>
          <w:rFonts w:cs="Arial"/>
          <w:color w:val="000000" w:themeColor="text2"/>
        </w:rPr>
      </w:pPr>
      <w:r w:rsidRPr="00524226">
        <w:rPr>
          <w:rFonts w:cs="Arial"/>
          <w:color w:val="000000" w:themeColor="text2"/>
        </w:rPr>
        <w:t>Le Titulaire désigne nommément dans son offre une personne en charge de l’exécution les prestations objet du marché public.</w:t>
      </w:r>
    </w:p>
    <w:p w14:paraId="0012A4D5" w14:textId="77777777" w:rsidR="00524226" w:rsidRPr="00524226" w:rsidRDefault="00524226" w:rsidP="00524226">
      <w:pPr>
        <w:rPr>
          <w:rFonts w:cs="Arial"/>
          <w:color w:val="000000" w:themeColor="text2"/>
        </w:rPr>
      </w:pPr>
      <w:r w:rsidRPr="00524226">
        <w:rPr>
          <w:rFonts w:cs="Arial"/>
          <w:color w:val="000000" w:themeColor="text2"/>
        </w:rPr>
        <w:t>Dans le cas où cette personne n’est plus en mesure d’accomplir cette tâche, le Titulaire doit :</w:t>
      </w:r>
    </w:p>
    <w:p w14:paraId="664A28D0" w14:textId="77777777" w:rsidR="00524226" w:rsidRPr="00524226" w:rsidRDefault="00524226" w:rsidP="00524226">
      <w:pPr>
        <w:numPr>
          <w:ilvl w:val="0"/>
          <w:numId w:val="33"/>
        </w:numPr>
        <w:suppressAutoHyphens w:val="0"/>
        <w:spacing w:before="0" w:after="0"/>
        <w:rPr>
          <w:rFonts w:cs="Arial"/>
          <w:color w:val="000000" w:themeColor="text2"/>
        </w:rPr>
      </w:pPr>
      <w:proofErr w:type="gramStart"/>
      <w:r w:rsidRPr="00524226">
        <w:rPr>
          <w:rFonts w:cs="Arial"/>
          <w:color w:val="000000" w:themeColor="text2"/>
        </w:rPr>
        <w:t>en</w:t>
      </w:r>
      <w:proofErr w:type="gramEnd"/>
      <w:r w:rsidRPr="00524226">
        <w:rPr>
          <w:rFonts w:cs="Arial"/>
          <w:color w:val="000000" w:themeColor="text2"/>
        </w:rPr>
        <w:t xml:space="preserve"> aviser, sans délai, l’EFS et prendre toutes dispositions nécessaires, afin d’assurer la poursuite de l’exécution des prestations ;</w:t>
      </w:r>
    </w:p>
    <w:p w14:paraId="460C9E90" w14:textId="77777777" w:rsidR="00524226" w:rsidRPr="00524226" w:rsidRDefault="00524226" w:rsidP="00524226">
      <w:pPr>
        <w:numPr>
          <w:ilvl w:val="0"/>
          <w:numId w:val="33"/>
        </w:numPr>
        <w:suppressAutoHyphens w:val="0"/>
        <w:spacing w:before="0" w:after="0"/>
        <w:rPr>
          <w:rFonts w:cs="Arial"/>
          <w:color w:val="000000" w:themeColor="text2"/>
        </w:rPr>
      </w:pPr>
      <w:proofErr w:type="gramStart"/>
      <w:r w:rsidRPr="00524226">
        <w:rPr>
          <w:rFonts w:cs="Arial"/>
          <w:color w:val="000000" w:themeColor="text2"/>
        </w:rPr>
        <w:t>proposer</w:t>
      </w:r>
      <w:proofErr w:type="gramEnd"/>
      <w:r w:rsidRPr="00524226">
        <w:rPr>
          <w:rFonts w:cs="Arial"/>
          <w:color w:val="000000" w:themeColor="text2"/>
        </w:rPr>
        <w:t xml:space="preserve"> à l’EFS un remplaçant disposant de compétences au moins équivalentes et dont il lui communique le nom, les titres dans un délai d’une semaine à compter de la date d’envoi de l’avis.</w:t>
      </w:r>
    </w:p>
    <w:p w14:paraId="6D2BCA1C" w14:textId="77777777" w:rsidR="00524226" w:rsidRPr="00524226" w:rsidRDefault="00524226" w:rsidP="00524226">
      <w:pPr>
        <w:rPr>
          <w:rFonts w:cs="Arial"/>
          <w:color w:val="000000" w:themeColor="text2"/>
        </w:rPr>
      </w:pPr>
    </w:p>
    <w:p w14:paraId="3C1C7D26" w14:textId="6D5E68D4" w:rsidR="00524226" w:rsidRPr="00524226" w:rsidRDefault="00524226" w:rsidP="00524226">
      <w:pPr>
        <w:rPr>
          <w:rFonts w:cs="Arial"/>
          <w:color w:val="000000" w:themeColor="text2"/>
        </w:rPr>
      </w:pPr>
      <w:r w:rsidRPr="00524226">
        <w:rPr>
          <w:rFonts w:cs="Arial"/>
          <w:color w:val="000000" w:themeColor="text2"/>
        </w:rPr>
        <w:t>Le remplaçant proposé par le Titulaire est considéré comme accepté par l’EFS, si celui-ci ne le récuse pas dans le délai d’un mois courant à compter de la réception de la communication mentionnée à l’alinéa précédent. Si l’EFS récuse le remplaçant, le Titulaire dispose d’une semaine pou</w:t>
      </w:r>
      <w:r>
        <w:rPr>
          <w:rFonts w:cs="Arial"/>
          <w:color w:val="000000" w:themeColor="text2"/>
        </w:rPr>
        <w:t>r proposer un autre remplaçant.</w:t>
      </w:r>
    </w:p>
    <w:p w14:paraId="2BA77818" w14:textId="055273DC" w:rsidR="00524226" w:rsidRPr="00524226" w:rsidRDefault="00524226" w:rsidP="00524226">
      <w:pPr>
        <w:rPr>
          <w:rFonts w:cs="Arial"/>
          <w:color w:val="000000" w:themeColor="text2"/>
        </w:rPr>
      </w:pPr>
      <w:r w:rsidRPr="00524226">
        <w:rPr>
          <w:rFonts w:cs="Arial"/>
          <w:color w:val="000000" w:themeColor="text2"/>
        </w:rPr>
        <w:t>La décision de récusation prise par l’EFS est motivée.</w:t>
      </w:r>
    </w:p>
    <w:p w14:paraId="50E0DB5B" w14:textId="4C7F3235" w:rsidR="00524226" w:rsidRPr="00524226" w:rsidRDefault="00524226" w:rsidP="00524226">
      <w:pPr>
        <w:rPr>
          <w:rFonts w:cs="Arial"/>
          <w:color w:val="000000" w:themeColor="text2"/>
        </w:rPr>
      </w:pPr>
      <w:r w:rsidRPr="00524226">
        <w:rPr>
          <w:rFonts w:cs="Arial"/>
          <w:color w:val="000000" w:themeColor="text2"/>
        </w:rPr>
        <w:t>Les avis, propositions et décisions de l’EFS sont notifiés par tout moyen permettant d’attester la date de réception de l</w:t>
      </w:r>
      <w:r>
        <w:rPr>
          <w:rFonts w:cs="Arial"/>
          <w:color w:val="000000" w:themeColor="text2"/>
        </w:rPr>
        <w:t>a décision ou de l’information.</w:t>
      </w:r>
    </w:p>
    <w:p w14:paraId="5D4C19E8" w14:textId="77777777" w:rsidR="00524226" w:rsidRPr="00524226" w:rsidRDefault="00524226" w:rsidP="00524226">
      <w:pPr>
        <w:rPr>
          <w:rFonts w:cs="Arial"/>
          <w:color w:val="000000" w:themeColor="text2"/>
        </w:rPr>
      </w:pPr>
      <w:r w:rsidRPr="00524226">
        <w:rPr>
          <w:rFonts w:cs="Arial"/>
          <w:color w:val="000000" w:themeColor="text2"/>
        </w:rPr>
        <w:lastRenderedPageBreak/>
        <w:t>A défaut de proposition de remplaçant par le Titulaire ou en cas de récusation des remplaçants par l’EFS, le marché public peut être résilié dans les conditions prévues à l’article 32 du CCAG FCS.</w:t>
      </w:r>
    </w:p>
    <w:p w14:paraId="112B4146" w14:textId="344801CF" w:rsidR="00524226" w:rsidRDefault="00524226" w:rsidP="00524226"/>
    <w:p w14:paraId="497A439B" w14:textId="77777777" w:rsidR="00524226" w:rsidRPr="00524226" w:rsidRDefault="00524226" w:rsidP="00524226"/>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35" w:name="_Toc190784031"/>
      <w:r w:rsidRPr="00CA08F6">
        <w:lastRenderedPageBreak/>
        <w:t>DISPOSITIONS</w:t>
      </w:r>
      <w:r>
        <w:t xml:space="preserve"> ADMINISTRATIVES</w:t>
      </w:r>
      <w:bookmarkEnd w:id="35"/>
    </w:p>
    <w:p w14:paraId="742E68C1" w14:textId="77777777" w:rsidR="00D644E5" w:rsidRPr="00977ADF" w:rsidRDefault="00D644E5" w:rsidP="00234EE9">
      <w:pPr>
        <w:pStyle w:val="Titre2"/>
        <w:numPr>
          <w:ilvl w:val="1"/>
          <w:numId w:val="10"/>
        </w:numPr>
      </w:pPr>
      <w:bookmarkStart w:id="36" w:name="_Toc190784032"/>
      <w:bookmarkStart w:id="37" w:name="_Toc4764601"/>
      <w:r w:rsidRPr="00977ADF">
        <w:t>Objet du marché public</w:t>
      </w:r>
      <w:bookmarkEnd w:id="36"/>
    </w:p>
    <w:p w14:paraId="5D4EE0A6" w14:textId="3849110F" w:rsidR="00D860A5" w:rsidRPr="00D860A5" w:rsidRDefault="00D860A5" w:rsidP="00D860A5">
      <w:pPr>
        <w:rPr>
          <w:rFonts w:cstheme="minorHAnsi"/>
          <w:color w:val="000000" w:themeColor="text2"/>
        </w:rPr>
      </w:pPr>
      <w:r w:rsidRPr="00D860A5">
        <w:rPr>
          <w:rFonts w:cstheme="minorHAnsi"/>
          <w:color w:val="000000" w:themeColor="text2"/>
        </w:rPr>
        <w:t>Le marché public a pour objet l’indexation de ressources audiovisuelles (images, photos, fichiers audio, vidéos, documents etc.) dans la médiathèque de l’EFS.</w:t>
      </w:r>
    </w:p>
    <w:p w14:paraId="360D1679" w14:textId="77777777" w:rsidR="00D860A5" w:rsidRPr="00D860A5" w:rsidRDefault="00D860A5" w:rsidP="00D860A5">
      <w:pPr>
        <w:rPr>
          <w:rFonts w:cstheme="minorHAnsi"/>
          <w:color w:val="000000" w:themeColor="text2"/>
        </w:rPr>
      </w:pPr>
      <w:r w:rsidRPr="00D860A5">
        <w:rPr>
          <w:rFonts w:cstheme="minorHAnsi"/>
          <w:color w:val="000000" w:themeColor="text2"/>
        </w:rPr>
        <w:t>Le marché public concerne la poursuite de l’enrichissement de la médiathèque informatisée de l’EFS, par l’intégration de médias et le traitement documentaire des notices associées.</w:t>
      </w:r>
    </w:p>
    <w:p w14:paraId="4E71463C" w14:textId="77777777" w:rsidR="00D644E5" w:rsidRPr="00977ADF" w:rsidRDefault="00D644E5" w:rsidP="00234EE9">
      <w:pPr>
        <w:pStyle w:val="Titre2"/>
        <w:numPr>
          <w:ilvl w:val="1"/>
          <w:numId w:val="10"/>
        </w:numPr>
      </w:pPr>
      <w:bookmarkStart w:id="38" w:name="_Toc190784033"/>
      <w:r w:rsidRPr="00977ADF">
        <w:t>Procédure de passation</w:t>
      </w:r>
      <w:bookmarkEnd w:id="38"/>
    </w:p>
    <w:p w14:paraId="2BF16BAB" w14:textId="77372830" w:rsidR="00967854" w:rsidRDefault="2D113B91" w:rsidP="00D644E5">
      <w:r>
        <w:t>Le présent marché public est passé selon la procédure adaptée définie par les articles L.2123-1, R.2123-1 et R.2123-4 à R.2123-7 du code de la commande publique</w:t>
      </w:r>
    </w:p>
    <w:p w14:paraId="29CFE27E" w14:textId="41C5BD8B" w:rsidR="00FC2D0E" w:rsidRDefault="00FC2D0E" w:rsidP="00FC2D0E">
      <w:pPr>
        <w:pStyle w:val="Titre2"/>
      </w:pPr>
      <w:bookmarkStart w:id="39" w:name="_Toc190784034"/>
      <w:r>
        <w:t>Marché sans publicité ni mise en concurrence préalables pour la réalisation de prestations similaires</w:t>
      </w:r>
      <w:bookmarkEnd w:id="39"/>
    </w:p>
    <w:p w14:paraId="5A056845" w14:textId="736604E0" w:rsidR="00FC2D0E" w:rsidRPr="00D860A5" w:rsidRDefault="2D113B91" w:rsidP="2D113B91">
      <w:pPr>
        <w:rPr>
          <w:color w:val="000000" w:themeColor="text2"/>
        </w:rPr>
      </w:pPr>
      <w:r w:rsidRPr="00D860A5">
        <w:rPr>
          <w:color w:val="000000" w:themeColor="text2"/>
        </w:rPr>
        <w:t>Le marché public pourra faire l’objet d’une procédure sans publicité ni mise en concurrence préalables pour la réalisation de prestations similaires en application et dans les conditions de l’article R.2122-7 du code de la commande publique.</w:t>
      </w:r>
    </w:p>
    <w:p w14:paraId="239C464E" w14:textId="77777777" w:rsidR="00D644E5" w:rsidRPr="00977ADF" w:rsidRDefault="00D644E5" w:rsidP="00234EE9">
      <w:pPr>
        <w:pStyle w:val="Titre2"/>
        <w:numPr>
          <w:ilvl w:val="1"/>
          <w:numId w:val="10"/>
        </w:numPr>
      </w:pPr>
      <w:bookmarkStart w:id="40" w:name="_Toc4764602"/>
      <w:bookmarkStart w:id="41" w:name="_Toc190784035"/>
      <w:bookmarkEnd w:id="37"/>
      <w:r w:rsidRPr="00977ADF">
        <w:t>Allotissement</w:t>
      </w:r>
      <w:bookmarkEnd w:id="40"/>
      <w:bookmarkEnd w:id="41"/>
    </w:p>
    <w:p w14:paraId="5CE4B757" w14:textId="77777777" w:rsidR="00D644E5" w:rsidRPr="00D860A5" w:rsidRDefault="2D113B91" w:rsidP="2D113B91">
      <w:pPr>
        <w:rPr>
          <w:color w:val="000000" w:themeColor="text2"/>
        </w:rPr>
      </w:pPr>
      <w:bookmarkStart w:id="42" w:name="_Toc464469840"/>
      <w:r w:rsidRPr="00D860A5">
        <w:rPr>
          <w:color w:val="000000" w:themeColor="text2"/>
        </w:rPr>
        <w:t>Le marché public n’est pas alloti.</w:t>
      </w:r>
    </w:p>
    <w:p w14:paraId="2E4A837F" w14:textId="77777777" w:rsidR="00D644E5" w:rsidRPr="00977ADF" w:rsidRDefault="00D644E5" w:rsidP="00234EE9">
      <w:pPr>
        <w:pStyle w:val="Titre2"/>
        <w:numPr>
          <w:ilvl w:val="1"/>
          <w:numId w:val="10"/>
        </w:numPr>
      </w:pPr>
      <w:bookmarkStart w:id="43" w:name="_Toc20478095"/>
      <w:bookmarkStart w:id="44" w:name="_Toc190784036"/>
      <w:bookmarkEnd w:id="42"/>
      <w:r w:rsidRPr="00977ADF">
        <w:t>Forme du marché public</w:t>
      </w:r>
      <w:bookmarkEnd w:id="43"/>
      <w:bookmarkEnd w:id="44"/>
    </w:p>
    <w:p w14:paraId="42084E32" w14:textId="77777777" w:rsidR="00FC2D0E" w:rsidRPr="00305701" w:rsidRDefault="2D113B91" w:rsidP="2D113B91">
      <w:pPr>
        <w:rPr>
          <w:color w:val="000000" w:themeColor="text2"/>
        </w:rPr>
      </w:pPr>
      <w:r w:rsidRPr="00305701">
        <w:rPr>
          <w:color w:val="000000" w:themeColor="text2"/>
        </w:rPr>
        <w:t xml:space="preserve">Il s’agit d’un accord-cadre fixant toutes les stipulations contractuelles et exécuté au fur et à mesure de l’émission de bons de commande (article R.2162-2 alinéa 2 et articles R.2162-13 et R.2162-14 du code de la commande publique). </w:t>
      </w:r>
    </w:p>
    <w:p w14:paraId="4DF2A4A0" w14:textId="52D836F6" w:rsidR="2D113B91" w:rsidRPr="00305701" w:rsidRDefault="2D113B91" w:rsidP="2D113B91">
      <w:pPr>
        <w:rPr>
          <w:rFonts w:cs="Arial"/>
          <w:color w:val="000000" w:themeColor="text2"/>
          <w:lang w:eastAsia="fr-FR"/>
        </w:rPr>
      </w:pPr>
      <w:r w:rsidRPr="00305701">
        <w:rPr>
          <w:rFonts w:eastAsia="Arial" w:cs="Arial"/>
          <w:color w:val="000000" w:themeColor="text2"/>
          <w:szCs w:val="22"/>
        </w:rPr>
        <w:t>L’accord-cadre est conclu comme suit :</w:t>
      </w:r>
    </w:p>
    <w:p w14:paraId="56FD03F4" w14:textId="5E961C8C" w:rsidR="00FC2D0E" w:rsidRPr="00305701" w:rsidRDefault="2D113B91" w:rsidP="00305701">
      <w:pPr>
        <w:numPr>
          <w:ilvl w:val="0"/>
          <w:numId w:val="12"/>
        </w:numPr>
        <w:rPr>
          <w:color w:val="000000" w:themeColor="text2"/>
        </w:rPr>
      </w:pPr>
      <w:r w:rsidRPr="00305701">
        <w:rPr>
          <w:rFonts w:eastAsia="Arial" w:cs="Arial"/>
          <w:color w:val="000000" w:themeColor="text2"/>
          <w:szCs w:val="22"/>
        </w:rPr>
        <w:t xml:space="preserve">Avec seulement un maximum de </w:t>
      </w:r>
      <w:r w:rsidR="00305701" w:rsidRPr="00305701">
        <w:rPr>
          <w:rFonts w:eastAsia="Arial" w:cs="Arial"/>
          <w:iCs/>
          <w:color w:val="000000" w:themeColor="text2"/>
        </w:rPr>
        <w:t>89 000 €</w:t>
      </w:r>
      <w:r w:rsidR="00977004">
        <w:rPr>
          <w:rFonts w:eastAsia="Arial" w:cs="Arial"/>
          <w:iCs/>
          <w:color w:val="000000" w:themeColor="text2"/>
        </w:rPr>
        <w:t xml:space="preserve"> HT</w:t>
      </w:r>
      <w:r w:rsidRPr="00305701">
        <w:rPr>
          <w:rFonts w:eastAsia="Arial" w:cs="Arial"/>
          <w:color w:val="000000" w:themeColor="text2"/>
          <w:sz w:val="24"/>
          <w:szCs w:val="22"/>
        </w:rPr>
        <w:t xml:space="preserve"> </w:t>
      </w:r>
      <w:r w:rsidRPr="00305701">
        <w:rPr>
          <w:rFonts w:eastAsia="Arial" w:cs="Arial"/>
          <w:color w:val="000000" w:themeColor="text2"/>
          <w:szCs w:val="22"/>
        </w:rPr>
        <w:t>(article R.2162-4 2° du code de la commande publique).</w:t>
      </w:r>
    </w:p>
    <w:p w14:paraId="633CFDD7" w14:textId="5DD49932" w:rsidR="00D644E5" w:rsidRDefault="00D644E5" w:rsidP="00234EE9">
      <w:pPr>
        <w:pStyle w:val="Titre2"/>
        <w:numPr>
          <w:ilvl w:val="1"/>
          <w:numId w:val="10"/>
        </w:numPr>
      </w:pPr>
      <w:bookmarkStart w:id="45" w:name="_Toc20478096"/>
      <w:bookmarkStart w:id="46" w:name="_Toc190784037"/>
      <w:r w:rsidRPr="00977ADF">
        <w:t>Estimation du marché public</w:t>
      </w:r>
      <w:bookmarkEnd w:id="45"/>
      <w:bookmarkEnd w:id="46"/>
    </w:p>
    <w:p w14:paraId="537A74C9" w14:textId="462927F0" w:rsidR="005F753A" w:rsidRPr="0029422B" w:rsidRDefault="005F753A" w:rsidP="005F753A">
      <w:pPr>
        <w:rPr>
          <w:rFonts w:cs="Arial"/>
        </w:rPr>
      </w:pPr>
      <w:bookmarkStart w:id="47" w:name="_Toc20478098"/>
      <w:r>
        <w:rPr>
          <w:rFonts w:cs="Arial"/>
        </w:rPr>
        <w:t>Le montant estimatif du marché est de 80 000 euros HT sur quatre (4) ans.</w:t>
      </w:r>
    </w:p>
    <w:p w14:paraId="08EE9E3D" w14:textId="77777777" w:rsidR="00D644E5" w:rsidRPr="00977ADF" w:rsidRDefault="00D644E5" w:rsidP="00234EE9">
      <w:pPr>
        <w:pStyle w:val="Titre2"/>
        <w:numPr>
          <w:ilvl w:val="1"/>
          <w:numId w:val="10"/>
        </w:numPr>
      </w:pPr>
      <w:bookmarkStart w:id="48" w:name="_Toc190784038"/>
      <w:r w:rsidRPr="00977ADF">
        <w:t>Durée du marché public</w:t>
      </w:r>
      <w:bookmarkEnd w:id="47"/>
      <w:bookmarkEnd w:id="48"/>
    </w:p>
    <w:p w14:paraId="7C64D78B" w14:textId="544C1933" w:rsidR="00D644E5" w:rsidRPr="006B4462" w:rsidRDefault="2D113B91" w:rsidP="2D113B91">
      <w:pPr>
        <w:rPr>
          <w:rFonts w:cs="Arial"/>
          <w:color w:val="000000" w:themeColor="text2"/>
        </w:rPr>
      </w:pPr>
      <w:r w:rsidRPr="00977004">
        <w:rPr>
          <w:rFonts w:cs="Arial"/>
          <w:color w:val="000000" w:themeColor="text2"/>
        </w:rPr>
        <w:t>Le marché publi</w:t>
      </w:r>
      <w:r w:rsidR="009010EC">
        <w:rPr>
          <w:rFonts w:cs="Arial"/>
          <w:color w:val="000000" w:themeColor="text2"/>
        </w:rPr>
        <w:t>c prend effet à compter du 15</w:t>
      </w:r>
      <w:bookmarkStart w:id="49" w:name="_GoBack"/>
      <w:bookmarkEnd w:id="49"/>
      <w:r w:rsidR="00977004" w:rsidRPr="00977004">
        <w:rPr>
          <w:rFonts w:cs="Arial"/>
          <w:color w:val="000000" w:themeColor="text2"/>
        </w:rPr>
        <w:t>/07</w:t>
      </w:r>
      <w:r w:rsidRPr="00977004">
        <w:rPr>
          <w:rFonts w:cs="Arial"/>
          <w:color w:val="000000" w:themeColor="text2"/>
        </w:rPr>
        <w:t>/</w:t>
      </w:r>
      <w:r w:rsidR="006B4462" w:rsidRPr="00977004">
        <w:rPr>
          <w:rFonts w:cs="Arial"/>
          <w:color w:val="000000" w:themeColor="text2"/>
        </w:rPr>
        <w:t>2025</w:t>
      </w:r>
      <w:r w:rsidRPr="00977004">
        <w:rPr>
          <w:rFonts w:cs="Arial"/>
          <w:color w:val="000000" w:themeColor="text2"/>
        </w:rPr>
        <w:t xml:space="preserve"> ou à sa date de notification si elle est postérieure à celle-ci, pour une durée</w:t>
      </w:r>
      <w:r w:rsidR="005F753A" w:rsidRPr="00977004">
        <w:rPr>
          <w:rFonts w:cs="Arial"/>
          <w:color w:val="000000" w:themeColor="text2"/>
        </w:rPr>
        <w:t xml:space="preserve"> ferme de 12</w:t>
      </w:r>
      <w:r w:rsidRPr="00977004">
        <w:rPr>
          <w:rFonts w:cs="Arial"/>
          <w:color w:val="000000" w:themeColor="text2"/>
        </w:rPr>
        <w:t xml:space="preserve"> mois.</w:t>
      </w:r>
      <w:r w:rsidRPr="006B4462">
        <w:rPr>
          <w:rFonts w:cs="Arial"/>
          <w:color w:val="000000" w:themeColor="text2"/>
        </w:rPr>
        <w:t xml:space="preserve"> </w:t>
      </w:r>
    </w:p>
    <w:p w14:paraId="43ADD77F" w14:textId="7B417057" w:rsidR="00D644E5" w:rsidRPr="005F753A" w:rsidRDefault="2D113B91" w:rsidP="2D113B91">
      <w:pPr>
        <w:rPr>
          <w:rFonts w:cs="Arial"/>
          <w:color w:val="000000" w:themeColor="text2"/>
        </w:rPr>
      </w:pPr>
      <w:r w:rsidRPr="005F753A">
        <w:rPr>
          <w:rFonts w:cs="Arial"/>
          <w:color w:val="000000" w:themeColor="text2"/>
        </w:rPr>
        <w:t>A l’issue de la première période, le marché public</w:t>
      </w:r>
      <w:r w:rsidR="005F753A" w:rsidRPr="005F753A">
        <w:rPr>
          <w:rFonts w:cs="Arial"/>
          <w:color w:val="000000" w:themeColor="text2"/>
        </w:rPr>
        <w:t xml:space="preserve"> est reconduc</w:t>
      </w:r>
      <w:r w:rsidR="00F37FD1">
        <w:rPr>
          <w:rFonts w:cs="Arial"/>
          <w:color w:val="000000" w:themeColor="text2"/>
        </w:rPr>
        <w:t>tible tacitement 3 fois par</w:t>
      </w:r>
      <w:r w:rsidR="005F753A" w:rsidRPr="005F753A">
        <w:rPr>
          <w:rFonts w:cs="Arial"/>
          <w:color w:val="000000" w:themeColor="text2"/>
        </w:rPr>
        <w:t xml:space="preserve"> période de 12</w:t>
      </w:r>
      <w:r w:rsidRPr="005F753A">
        <w:rPr>
          <w:rFonts w:cs="Arial"/>
          <w:color w:val="000000" w:themeColor="text2"/>
        </w:rPr>
        <w:t xml:space="preserve"> mois, selon les di</w:t>
      </w:r>
      <w:r w:rsidR="00F37FD1">
        <w:rPr>
          <w:rFonts w:cs="Arial"/>
          <w:color w:val="000000" w:themeColor="text2"/>
        </w:rPr>
        <w:t xml:space="preserve">spositions du présent document, </w:t>
      </w:r>
      <w:r w:rsidR="00F37FD1">
        <w:rPr>
          <w:rFonts w:cs="Arial"/>
        </w:rPr>
        <w:t>sans que la durée totale ne puisse excéder 48 mois</w:t>
      </w:r>
      <w:r w:rsidR="00F37FD1" w:rsidRPr="00612C5D">
        <w:rPr>
          <w:rFonts w:cs="Arial"/>
        </w:rPr>
        <w:t>.</w:t>
      </w:r>
    </w:p>
    <w:p w14:paraId="16124CBC" w14:textId="491A54D7" w:rsidR="00D644E5" w:rsidRPr="005F753A" w:rsidRDefault="2D113B91" w:rsidP="2D113B91">
      <w:pPr>
        <w:rPr>
          <w:i/>
          <w:iCs/>
          <w:color w:val="000000" w:themeColor="text2"/>
        </w:rPr>
      </w:pPr>
      <w:r w:rsidRPr="005F753A">
        <w:rPr>
          <w:color w:val="000000" w:themeColor="text2"/>
        </w:rPr>
        <w:t xml:space="preserve">Dans l'hypothèse où le RPA décide de </w:t>
      </w:r>
      <w:r w:rsidR="005F753A" w:rsidRPr="005F753A">
        <w:rPr>
          <w:color w:val="000000" w:themeColor="text2"/>
        </w:rPr>
        <w:t>ne pas reconduire</w:t>
      </w:r>
      <w:r w:rsidRPr="005F753A">
        <w:rPr>
          <w:color w:val="000000" w:themeColor="text2"/>
          <w:sz w:val="20"/>
        </w:rPr>
        <w:t xml:space="preserve"> </w:t>
      </w:r>
      <w:r w:rsidRPr="005F753A">
        <w:rPr>
          <w:color w:val="000000" w:themeColor="text2"/>
        </w:rPr>
        <w:t xml:space="preserve">le marché public, il en informe le Titulaire par courrier avec accusé de réception au plus tard </w:t>
      </w:r>
      <w:r w:rsidR="005F753A" w:rsidRPr="005F753A">
        <w:rPr>
          <w:color w:val="000000" w:themeColor="text2"/>
        </w:rPr>
        <w:t>2</w:t>
      </w:r>
      <w:r w:rsidRPr="005F753A">
        <w:rPr>
          <w:color w:val="000000" w:themeColor="text2"/>
        </w:rPr>
        <w:t xml:space="preserve"> mois avant l'échéance. Le Titulaire ne pourra renoncer à la reconduction notifiée par l’EFS</w:t>
      </w:r>
      <w:r w:rsidRPr="005F753A">
        <w:rPr>
          <w:i/>
          <w:iCs/>
          <w:color w:val="000000" w:themeColor="text2"/>
        </w:rPr>
        <w:t xml:space="preserve">. </w:t>
      </w:r>
    </w:p>
    <w:p w14:paraId="239ABAB9" w14:textId="77777777" w:rsidR="00D644E5" w:rsidRPr="009A454C" w:rsidRDefault="2D113B91" w:rsidP="2D113B91">
      <w:pPr>
        <w:rPr>
          <w:rFonts w:cs="Arial"/>
          <w:color w:val="0000FF"/>
        </w:rPr>
      </w:pPr>
      <w:r w:rsidRPr="2D113B91">
        <w:rPr>
          <w:rFonts w:cs="Arial"/>
        </w:rPr>
        <w:lastRenderedPageBreak/>
        <w:t>Les différents délais d’exécution du marché sont précisés dans le présent document.</w:t>
      </w:r>
      <w:r w:rsidRPr="2D113B91">
        <w:rPr>
          <w:rFonts w:cs="Arial"/>
          <w:color w:val="0000FF"/>
        </w:rPr>
        <w:t xml:space="preserve"> </w:t>
      </w:r>
    </w:p>
    <w:p w14:paraId="712794AA" w14:textId="77777777" w:rsidR="00D644E5" w:rsidRPr="00977ADF" w:rsidRDefault="00D644E5" w:rsidP="00234EE9">
      <w:pPr>
        <w:pStyle w:val="Titre2"/>
        <w:numPr>
          <w:ilvl w:val="1"/>
          <w:numId w:val="10"/>
        </w:numPr>
      </w:pPr>
      <w:bookmarkStart w:id="50" w:name="_Toc20478099"/>
      <w:bookmarkStart w:id="51" w:name="_Toc190784039"/>
      <w:r w:rsidRPr="00977ADF">
        <w:t>Langue d’exécution du marché public</w:t>
      </w:r>
      <w:bookmarkEnd w:id="50"/>
      <w:bookmarkEnd w:id="51"/>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52" w:name="_Toc20478104"/>
      <w:bookmarkStart w:id="53" w:name="_Toc190784040"/>
      <w:r w:rsidRPr="00977ADF">
        <w:t>Pièces constitutives du marché public</w:t>
      </w:r>
      <w:bookmarkEnd w:id="52"/>
      <w:bookmarkEnd w:id="53"/>
    </w:p>
    <w:p w14:paraId="7FC669A9" w14:textId="77777777" w:rsidR="00D644E5" w:rsidRPr="005F753A" w:rsidRDefault="2D113B91" w:rsidP="2D113B91">
      <w:pPr>
        <w:suppressAutoHyphens w:val="0"/>
        <w:rPr>
          <w:rFonts w:cs="Arial"/>
          <w:color w:val="000000" w:themeColor="text2"/>
          <w:lang w:eastAsia="fr-FR"/>
        </w:rPr>
      </w:pPr>
      <w:r w:rsidRPr="2D113B91">
        <w:rPr>
          <w:rFonts w:cs="Arial"/>
          <w:lang w:eastAsia="fr-FR"/>
        </w:rPr>
        <w:t xml:space="preserve">Le marché public est constitué par les documents contractuels énumérés ci-après, qui, en cas de </w:t>
      </w:r>
      <w:r w:rsidRPr="005F753A">
        <w:rPr>
          <w:rFonts w:cs="Arial"/>
          <w:color w:val="000000" w:themeColor="text2"/>
          <w:lang w:eastAsia="fr-FR"/>
        </w:rPr>
        <w:t>dispositions contradictoires, prévalent dans l’ordre d’importance décroissant suivant :</w:t>
      </w:r>
    </w:p>
    <w:p w14:paraId="4D957891" w14:textId="09C1834F" w:rsidR="00D644E5" w:rsidRPr="005F753A" w:rsidRDefault="2D113B91" w:rsidP="2D113B91">
      <w:pPr>
        <w:numPr>
          <w:ilvl w:val="0"/>
          <w:numId w:val="12"/>
        </w:numPr>
        <w:suppressAutoHyphens w:val="0"/>
        <w:spacing w:line="240" w:lineRule="atLeast"/>
        <w:rPr>
          <w:rFonts w:eastAsia="Calibri" w:cs="Arial"/>
          <w:color w:val="000000" w:themeColor="text2"/>
          <w:lang w:eastAsia="en-US"/>
        </w:rPr>
      </w:pPr>
      <w:r w:rsidRPr="005F753A">
        <w:rPr>
          <w:rFonts w:eastAsia="Calibri" w:cs="Arial"/>
          <w:color w:val="000000" w:themeColor="text2"/>
          <w:lang w:eastAsia="en-US"/>
        </w:rPr>
        <w:t>L’acte d’engagement valant Cahier des Clauses Particulières (AE valant CCP) et ses annexes :  annexe financière</w:t>
      </w:r>
      <w:r w:rsidR="005F753A" w:rsidRPr="005F753A">
        <w:rPr>
          <w:rFonts w:eastAsia="Calibri" w:cs="Arial"/>
          <w:color w:val="000000" w:themeColor="text2"/>
          <w:lang w:eastAsia="en-US"/>
        </w:rPr>
        <w:t xml:space="preserve"> (BPU/DQE) </w:t>
      </w:r>
      <w:r w:rsidRPr="005F753A">
        <w:rPr>
          <w:rFonts w:eastAsia="Calibri" w:cs="Arial"/>
          <w:color w:val="000000" w:themeColor="text2"/>
          <w:lang w:eastAsia="en-US"/>
        </w:rPr>
        <w:t>;</w:t>
      </w:r>
    </w:p>
    <w:p w14:paraId="7A3F38CD" w14:textId="77777777" w:rsidR="00D644E5" w:rsidRPr="005F753A" w:rsidRDefault="2D113B91" w:rsidP="2D113B91">
      <w:pPr>
        <w:numPr>
          <w:ilvl w:val="0"/>
          <w:numId w:val="12"/>
        </w:numPr>
        <w:suppressAutoHyphens w:val="0"/>
        <w:spacing w:line="240" w:lineRule="atLeast"/>
        <w:rPr>
          <w:rFonts w:eastAsia="Calibri" w:cs="Arial"/>
          <w:color w:val="000000" w:themeColor="text2"/>
          <w:lang w:eastAsia="en-US"/>
        </w:rPr>
      </w:pPr>
      <w:r w:rsidRPr="005F753A">
        <w:rPr>
          <w:rFonts w:eastAsia="Calibri" w:cs="Arial"/>
          <w:color w:val="000000" w:themeColor="text2"/>
          <w:lang w:eastAsia="en-US"/>
        </w:rPr>
        <w:t>Le Cahier des clauses administratives générales applicable aux marchés de Fournitures ; courantes et de services (CCAG-FCS) approuvé par l’arrêté du 30 mars 2021 en vigueur à la date de notification du présent marché public ;</w:t>
      </w:r>
    </w:p>
    <w:p w14:paraId="6673006A" w14:textId="3209A57E" w:rsidR="00D644E5" w:rsidRPr="005F753A" w:rsidRDefault="2D113B91" w:rsidP="2D113B91">
      <w:pPr>
        <w:numPr>
          <w:ilvl w:val="0"/>
          <w:numId w:val="12"/>
        </w:numPr>
        <w:suppressAutoHyphens w:val="0"/>
        <w:spacing w:line="240" w:lineRule="atLeast"/>
        <w:rPr>
          <w:rFonts w:eastAsia="Calibri" w:cs="Arial"/>
          <w:color w:val="000000" w:themeColor="text2"/>
          <w:lang w:eastAsia="en-US"/>
        </w:rPr>
      </w:pPr>
      <w:r w:rsidRPr="005F753A">
        <w:rPr>
          <w:rFonts w:eastAsia="Calibri" w:cs="Arial"/>
          <w:color w:val="000000" w:themeColor="text2"/>
          <w:lang w:eastAsia="en-US"/>
        </w:rPr>
        <w:t>La Pro</w:t>
      </w:r>
      <w:r w:rsidR="005F753A" w:rsidRPr="005F753A">
        <w:rPr>
          <w:rFonts w:eastAsia="Calibri" w:cs="Arial"/>
          <w:color w:val="000000" w:themeColor="text2"/>
          <w:lang w:eastAsia="en-US"/>
        </w:rPr>
        <w:t>position technique du Titulaire.</w:t>
      </w:r>
    </w:p>
    <w:p w14:paraId="64E3CABB" w14:textId="77777777" w:rsidR="00D644E5" w:rsidRPr="005F753A" w:rsidRDefault="00D644E5" w:rsidP="00D644E5">
      <w:pPr>
        <w:suppressAutoHyphens w:val="0"/>
        <w:spacing w:line="240" w:lineRule="atLeast"/>
        <w:rPr>
          <w:rFonts w:eastAsia="Arial" w:cs="Arial"/>
          <w:color w:val="000000" w:themeColor="text2"/>
          <w:szCs w:val="22"/>
          <w:lang w:eastAsia="en-US"/>
        </w:rPr>
      </w:pPr>
    </w:p>
    <w:p w14:paraId="11E55B2D" w14:textId="14E210C4" w:rsidR="00D644E5" w:rsidRPr="005F753A" w:rsidRDefault="2D113B91" w:rsidP="2D113B91">
      <w:pPr>
        <w:suppressAutoHyphens w:val="0"/>
        <w:spacing w:before="40" w:after="80" w:line="264" w:lineRule="auto"/>
        <w:rPr>
          <w:rFonts w:eastAsia="Arial" w:cs="Arial"/>
          <w:color w:val="000000" w:themeColor="text2"/>
          <w:lang w:eastAsia="en-US"/>
        </w:rPr>
      </w:pPr>
      <w:r w:rsidRPr="005F753A">
        <w:rPr>
          <w:rFonts w:eastAsia="Arial" w:cs="Arial"/>
          <w:color w:val="000000" w:themeColor="text2"/>
          <w:lang w:eastAsia="en-US"/>
        </w:rPr>
        <w:t>Par dérogation à l’artic</w:t>
      </w:r>
      <w:r w:rsidR="005F753A" w:rsidRPr="005F753A">
        <w:rPr>
          <w:rFonts w:eastAsia="Arial" w:cs="Arial"/>
          <w:color w:val="000000" w:themeColor="text2"/>
          <w:lang w:eastAsia="en-US"/>
        </w:rPr>
        <w:t>le 1er</w:t>
      </w:r>
      <w:r w:rsidRPr="005F753A">
        <w:rPr>
          <w:rFonts w:eastAsia="Arial" w:cs="Arial"/>
          <w:color w:val="000000" w:themeColor="text2"/>
          <w:lang w:eastAsia="en-US"/>
        </w:rPr>
        <w:t xml:space="preserve"> du CCAG FCS, le présent document ne prévoit pas d’article récapitulant les dérogations au CCAG FCS.</w:t>
      </w:r>
    </w:p>
    <w:p w14:paraId="26E78EC3" w14:textId="2220F58E" w:rsidR="00D644E5" w:rsidRPr="005F753A" w:rsidRDefault="2D113B91" w:rsidP="2D113B91">
      <w:pPr>
        <w:suppressAutoHyphens w:val="0"/>
        <w:rPr>
          <w:rFonts w:cs="Arial"/>
          <w:color w:val="000000" w:themeColor="text2"/>
          <w:lang w:eastAsia="fr-FR"/>
        </w:rPr>
      </w:pPr>
      <w:r w:rsidRPr="005F753A">
        <w:rPr>
          <w:rFonts w:cs="Arial"/>
          <w:color w:val="000000" w:themeColor="text2"/>
          <w:lang w:eastAsia="fr-FR"/>
        </w:rPr>
        <w:t>Hormis le CCAG FCS applicable, l’exemplaire original des pièces énumérées ci-dessus, conservé par le</w:t>
      </w:r>
      <w:r w:rsidR="005F753A" w:rsidRPr="005F753A">
        <w:rPr>
          <w:rFonts w:cs="Arial"/>
          <w:color w:val="000000" w:themeColor="text2"/>
          <w:lang w:eastAsia="fr-FR"/>
        </w:rPr>
        <w:t xml:space="preserve"> </w:t>
      </w:r>
      <w:r w:rsidRPr="005F753A">
        <w:rPr>
          <w:rFonts w:cs="Arial"/>
          <w:color w:val="000000" w:themeColor="text2"/>
          <w:lang w:eastAsia="fr-FR"/>
        </w:rPr>
        <w:t xml:space="preserve">RPA, fait seul foi. Le Titulaire déclare parfaitement connaître le CCAG FCS applicable bien qu’il ne soit pas matériellement joint au présent CCAP. </w:t>
      </w:r>
    </w:p>
    <w:p w14:paraId="1C5C9846" w14:textId="77777777" w:rsidR="00D644E5" w:rsidRPr="005F753A" w:rsidRDefault="2D113B91" w:rsidP="2D113B91">
      <w:pPr>
        <w:suppressAutoHyphens w:val="0"/>
        <w:rPr>
          <w:rFonts w:cs="Arial"/>
          <w:color w:val="000000" w:themeColor="text2"/>
          <w:lang w:eastAsia="fr-FR"/>
        </w:rPr>
      </w:pPr>
      <w:r w:rsidRPr="005F753A">
        <w:rPr>
          <w:rFonts w:cs="Arial"/>
          <w:color w:val="000000" w:themeColor="text2"/>
          <w:lang w:eastAsia="fr-FR"/>
        </w:rPr>
        <w:t>Toute clause des conditions générales de vente du Titulaire contraire aux dispositions du présent document est réputée non écrite.</w:t>
      </w:r>
    </w:p>
    <w:p w14:paraId="274A6935" w14:textId="77777777" w:rsidR="00D644E5" w:rsidRPr="005F753A" w:rsidRDefault="2D113B91" w:rsidP="2D113B91">
      <w:pPr>
        <w:suppressAutoHyphens w:val="0"/>
        <w:rPr>
          <w:rFonts w:cs="Arial"/>
          <w:color w:val="000000" w:themeColor="text2"/>
          <w:lang w:eastAsia="fr-FR"/>
        </w:rPr>
      </w:pPr>
      <w:r w:rsidRPr="005F753A">
        <w:rPr>
          <w:rFonts w:cs="Arial"/>
          <w:color w:val="000000" w:themeColor="text2"/>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54" w:name="_Toc20478105"/>
      <w:bookmarkStart w:id="55" w:name="_Toc190784041"/>
      <w:r>
        <w:t>Exécution du marché public</w:t>
      </w:r>
      <w:bookmarkEnd w:id="54"/>
      <w:bookmarkEnd w:id="55"/>
    </w:p>
    <w:p w14:paraId="18827C7B" w14:textId="42ACB87A" w:rsidR="00D644E5" w:rsidRPr="00A13F19" w:rsidRDefault="00D644E5" w:rsidP="2D113B91">
      <w:pPr>
        <w:pStyle w:val="Titre3"/>
        <w:numPr>
          <w:ilvl w:val="2"/>
          <w:numId w:val="10"/>
        </w:numPr>
        <w:rPr>
          <w:color w:val="FF0000"/>
          <w:lang w:eastAsia="en-US"/>
        </w:rPr>
      </w:pPr>
      <w:bookmarkStart w:id="56" w:name="_Toc20478107"/>
      <w:r w:rsidRPr="00A13F19">
        <w:t>Modalités d’exécution de l’accord-cadre donnant lieu à l’émission de bons de commande</w:t>
      </w:r>
      <w:bookmarkEnd w:id="56"/>
      <w:r w:rsidRPr="00A13F19">
        <w:t xml:space="preserve"> </w:t>
      </w:r>
    </w:p>
    <w:p w14:paraId="60EE49BB" w14:textId="77777777" w:rsidR="00D644E5" w:rsidRDefault="00D644E5" w:rsidP="00234EE9">
      <w:pPr>
        <w:pStyle w:val="Titre4"/>
        <w:numPr>
          <w:ilvl w:val="3"/>
          <w:numId w:val="10"/>
        </w:numPr>
      </w:pPr>
      <w:bookmarkStart w:id="57" w:name="_Toc20478108"/>
      <w:r w:rsidRPr="00833850">
        <w:t>Emission des bons de commande</w:t>
      </w:r>
      <w:bookmarkEnd w:id="57"/>
      <w:r w:rsidRPr="00833850">
        <w:t xml:space="preserve"> </w:t>
      </w:r>
    </w:p>
    <w:p w14:paraId="308F7CFA" w14:textId="77777777"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le(s) 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lastRenderedPageBreak/>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58" w:name="_Toc20478109"/>
      <w:r w:rsidRPr="00833850">
        <w:t>Délais d’exécution des bons de commande</w:t>
      </w:r>
      <w:bookmarkEnd w:id="58"/>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2E4F80" w:rsidRDefault="2D113B91" w:rsidP="2D113B91">
      <w:pPr>
        <w:suppressAutoHyphens w:val="0"/>
        <w:rPr>
          <w:rFonts w:eastAsia="Calibri" w:cs="Arial"/>
          <w:color w:val="000000" w:themeColor="text2"/>
          <w:lang w:eastAsia="en-US"/>
        </w:rPr>
      </w:pPr>
      <w:r w:rsidRPr="2D113B91">
        <w:rPr>
          <w:rFonts w:eastAsia="Calibri" w:cs="Arial"/>
          <w:lang w:eastAsia="en-US"/>
        </w:rPr>
        <w:t xml:space="preserve">Le </w:t>
      </w:r>
      <w:r w:rsidRPr="002E4F80">
        <w:rPr>
          <w:rFonts w:eastAsia="Calibri" w:cs="Arial"/>
          <w:color w:val="000000" w:themeColor="text2"/>
          <w:lang w:eastAsia="en-US"/>
        </w:rPr>
        <w:t xml:space="preserve">contenu des bons de commande est impératif. </w:t>
      </w:r>
    </w:p>
    <w:p w14:paraId="322D4547" w14:textId="78B344D6" w:rsidR="00D644E5" w:rsidRPr="002E4F80" w:rsidRDefault="2D113B91" w:rsidP="2D113B91">
      <w:pPr>
        <w:suppressAutoHyphens w:val="0"/>
        <w:rPr>
          <w:rFonts w:eastAsia="Calibri" w:cs="Arial"/>
          <w:color w:val="000000" w:themeColor="text2"/>
          <w:lang w:eastAsia="en-US"/>
        </w:rPr>
      </w:pPr>
      <w:r w:rsidRPr="002E4F80">
        <w:rPr>
          <w:rFonts w:eastAsia="Calibri" w:cs="Arial"/>
          <w:color w:val="000000" w:themeColor="text2"/>
          <w:lang w:eastAsia="en-US"/>
        </w:rPr>
        <w:t xml:space="preserve">Par dérogation à l’article 3.7.2 du CCAG FCS, à compter de la réception de la commande, le Titulaire dispose d’un délai de </w:t>
      </w:r>
      <w:r w:rsidR="002E4F80" w:rsidRPr="002E4F80">
        <w:rPr>
          <w:rFonts w:eastAsia="Calibri" w:cs="Arial"/>
          <w:color w:val="000000" w:themeColor="text2"/>
          <w:lang w:eastAsia="en-US"/>
        </w:rPr>
        <w:t>5</w:t>
      </w:r>
      <w:r w:rsidRPr="002E4F80">
        <w:rPr>
          <w:rFonts w:eastAsia="Calibri" w:cs="Arial"/>
          <w:color w:val="000000" w:themeColor="text2"/>
          <w:lang w:eastAsia="en-US"/>
        </w:rPr>
        <w:t xml:space="preserve"> jours ouvrés pour émettre des observations, par écrit au service Achats.</w:t>
      </w:r>
    </w:p>
    <w:p w14:paraId="0DC78186" w14:textId="77777777" w:rsidR="00D644E5" w:rsidRPr="002E4F80" w:rsidRDefault="2D113B91" w:rsidP="2D113B91">
      <w:pPr>
        <w:suppressAutoHyphens w:val="0"/>
        <w:rPr>
          <w:rFonts w:eastAsia="Calibri" w:cs="Arial"/>
          <w:color w:val="000000" w:themeColor="text2"/>
          <w:lang w:eastAsia="en-US"/>
        </w:rPr>
      </w:pPr>
      <w:r w:rsidRPr="002E4F80">
        <w:rPr>
          <w:rFonts w:eastAsia="Calibri" w:cs="Arial"/>
          <w:color w:val="000000" w:themeColor="text2"/>
          <w:lang w:eastAsia="en-US"/>
        </w:rPr>
        <w:t xml:space="preserve">Paragraphes à insérer dans l’hypothèse d’un unique bon de commande émis annuellement : </w:t>
      </w:r>
    </w:p>
    <w:p w14:paraId="2E8CC134" w14:textId="77777777" w:rsidR="00D644E5" w:rsidRPr="002E4F80" w:rsidRDefault="2D113B91" w:rsidP="2D113B91">
      <w:pPr>
        <w:suppressAutoHyphens w:val="0"/>
        <w:rPr>
          <w:rFonts w:eastAsia="Calibri" w:cs="Arial"/>
          <w:color w:val="000000" w:themeColor="text2"/>
          <w:lang w:eastAsia="en-US"/>
        </w:rPr>
      </w:pPr>
      <w:r w:rsidRPr="002E4F80">
        <w:rPr>
          <w:rFonts w:eastAsia="Calibri" w:cs="Arial"/>
          <w:color w:val="000000" w:themeColor="text2"/>
          <w:lang w:eastAsia="en-US"/>
        </w:rPr>
        <w:t>Le délai d’exécution minimal des bons de commandes est de cinq (5) jours.</w:t>
      </w:r>
    </w:p>
    <w:p w14:paraId="68DCC147" w14:textId="4EBCC513" w:rsidR="00D644E5" w:rsidRPr="002E4F80" w:rsidRDefault="2D113B91" w:rsidP="2D113B91">
      <w:pPr>
        <w:suppressAutoHyphens w:val="0"/>
        <w:rPr>
          <w:rFonts w:eastAsia="Calibri" w:cs="Arial"/>
          <w:color w:val="000000" w:themeColor="text2"/>
          <w:lang w:eastAsia="en-US"/>
        </w:rPr>
      </w:pPr>
      <w:r w:rsidRPr="002E4F80">
        <w:rPr>
          <w:rFonts w:eastAsia="Calibri" w:cs="Arial"/>
          <w:color w:val="000000" w:themeColor="text2"/>
          <w:lang w:eastAsia="en-US"/>
        </w:rPr>
        <w:t xml:space="preserve">Le Titulaire est tenu d’exécuter les bons de commande dont les délais d’exécution vont au-delà de la durée du marché public dès lors que ceux-ci lui ont été notifiés avant l’expiration de cette dernière, et ce, dans la limite de </w:t>
      </w:r>
      <w:r w:rsidR="002E4F80" w:rsidRPr="002E4F80">
        <w:rPr>
          <w:rFonts w:eastAsia="Calibri" w:cs="Arial"/>
          <w:color w:val="000000" w:themeColor="text2"/>
          <w:lang w:eastAsia="en-US"/>
        </w:rPr>
        <w:t>trois (3</w:t>
      </w:r>
      <w:r w:rsidRPr="002E4F80">
        <w:rPr>
          <w:rFonts w:eastAsia="Calibri" w:cs="Arial"/>
          <w:color w:val="000000" w:themeColor="text2"/>
          <w:lang w:eastAsia="en-US"/>
        </w:rPr>
        <w:t>) mois à compter de la date d’échéance du marché public. Le prix de règlement est le prix en vigueur à la date de commande.</w:t>
      </w:r>
    </w:p>
    <w:p w14:paraId="77EFB561" w14:textId="77777777" w:rsidR="00D644E5" w:rsidRPr="002E4F80" w:rsidRDefault="2D113B91" w:rsidP="2D113B91">
      <w:pPr>
        <w:suppressAutoHyphens w:val="0"/>
        <w:rPr>
          <w:rFonts w:eastAsia="Calibri" w:cs="Arial"/>
          <w:color w:val="000000" w:themeColor="text2"/>
          <w:lang w:eastAsia="en-US"/>
        </w:rPr>
      </w:pPr>
      <w:r w:rsidRPr="002E4F80">
        <w:rPr>
          <w:rFonts w:eastAsia="Calibri" w:cs="Arial"/>
          <w:color w:val="000000" w:themeColor="text2"/>
          <w:lang w:eastAsia="en-US"/>
        </w:rPr>
        <w:t>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nature de ces difficultés. Il formule en même temps une demande de prolongation du délai d’exécution.</w:t>
      </w:r>
    </w:p>
    <w:p w14:paraId="420E3C5B" w14:textId="076CF284" w:rsidR="00D644E5" w:rsidRPr="002E4F80" w:rsidRDefault="00D644E5" w:rsidP="2D113B91">
      <w:pPr>
        <w:suppressAutoHyphens w:val="0"/>
        <w:rPr>
          <w:rFonts w:cs="Arial"/>
          <w:color w:val="000000" w:themeColor="text2"/>
          <w:lang w:eastAsia="fr-FR"/>
        </w:rPr>
      </w:pPr>
      <w:r w:rsidRPr="002E4F80">
        <w:rPr>
          <w:rFonts w:eastAsia="Calibri" w:cs="Arial"/>
          <w:color w:val="000000" w:themeColor="text2"/>
          <w:lang w:eastAsia="en-US"/>
        </w:rPr>
        <w:t>Lors du démarrage de l’utilisation d’une nouvelle Fourniture, le Titulaire s’engage à livrer, dans les quinze (15) jours à compter de la réception des bons de commande, la quantité de Fournitures définie par le RPA nécessaire à l’adaptation et à la validation des techniques de productio</w:t>
      </w:r>
      <w:bookmarkStart w:id="59" w:name="_Toc20478110"/>
      <w:r w:rsidR="00AC35E4" w:rsidRPr="002E4F80">
        <w:rPr>
          <w:rFonts w:eastAsia="Calibri" w:cs="Arial"/>
          <w:color w:val="000000" w:themeColor="text2"/>
          <w:lang w:eastAsia="en-US"/>
        </w:rPr>
        <w:t>n.</w:t>
      </w:r>
    </w:p>
    <w:p w14:paraId="26D1AC4D" w14:textId="545D67DA" w:rsidR="00D644E5" w:rsidRPr="00EB5D58" w:rsidRDefault="00D644E5" w:rsidP="2D113B91">
      <w:pPr>
        <w:pStyle w:val="Titre4"/>
        <w:numPr>
          <w:ilvl w:val="3"/>
          <w:numId w:val="10"/>
        </w:numPr>
        <w:rPr>
          <w:b/>
          <w:bCs/>
          <w:color w:val="FF0000"/>
          <w:sz w:val="22"/>
          <w:szCs w:val="22"/>
        </w:rPr>
      </w:pPr>
      <w:bookmarkStart w:id="60" w:name="_Toc20478135"/>
      <w:bookmarkEnd w:id="59"/>
      <w:r w:rsidRPr="00E430DA">
        <w:t>Vérification et admission</w:t>
      </w:r>
      <w:r w:rsidRPr="00000C44">
        <w:t xml:space="preserve"> </w:t>
      </w:r>
      <w:r>
        <w:t xml:space="preserve">des </w:t>
      </w:r>
      <w:bookmarkEnd w:id="60"/>
      <w:r w:rsidR="00E84F3C">
        <w:t>prestations</w:t>
      </w:r>
    </w:p>
    <w:p w14:paraId="78319621" w14:textId="77777777" w:rsidR="002E4F80" w:rsidRPr="002E4F80" w:rsidRDefault="002E4F80" w:rsidP="002E4F80">
      <w:pPr>
        <w:rPr>
          <w:rFonts w:cs="Arial"/>
          <w:color w:val="000000" w:themeColor="text2"/>
        </w:rPr>
      </w:pPr>
      <w:bookmarkStart w:id="61" w:name="_Toc20478136"/>
      <w:r w:rsidRPr="002E4F80">
        <w:rPr>
          <w:rFonts w:cs="Arial"/>
          <w:color w:val="000000" w:themeColor="text2"/>
        </w:rPr>
        <w:t xml:space="preserve">Par dérogation aux opérations de vérifications décrites au CCAG FCS, les opérations de vérification et de réception se dérouleront dans les conditions suivantes : </w:t>
      </w:r>
    </w:p>
    <w:p w14:paraId="21596807" w14:textId="77777777" w:rsidR="002E4F80" w:rsidRPr="002E4F80" w:rsidRDefault="002E4F80" w:rsidP="002E4F80">
      <w:pPr>
        <w:rPr>
          <w:rFonts w:cs="Arial"/>
          <w:color w:val="000000" w:themeColor="text2"/>
        </w:rPr>
      </w:pPr>
    </w:p>
    <w:p w14:paraId="7DF887B7" w14:textId="77777777" w:rsidR="002E4F80" w:rsidRPr="002E4F80" w:rsidRDefault="002E4F80" w:rsidP="002E4F80">
      <w:pPr>
        <w:pStyle w:val="Paragraphedeliste"/>
        <w:numPr>
          <w:ilvl w:val="0"/>
          <w:numId w:val="28"/>
        </w:numPr>
        <w:suppressAutoHyphens w:val="0"/>
        <w:spacing w:before="0" w:after="160" w:line="259" w:lineRule="auto"/>
        <w:contextualSpacing/>
        <w:rPr>
          <w:rFonts w:cs="Arial"/>
          <w:color w:val="000000" w:themeColor="text2"/>
          <w:u w:val="single"/>
        </w:rPr>
      </w:pPr>
      <w:r w:rsidRPr="002E4F80">
        <w:rPr>
          <w:rFonts w:cs="Arial"/>
          <w:color w:val="000000" w:themeColor="text2"/>
          <w:u w:val="single"/>
        </w:rPr>
        <w:t>Notices</w:t>
      </w:r>
    </w:p>
    <w:p w14:paraId="427B7A01" w14:textId="77777777" w:rsidR="002E4F80" w:rsidRPr="002E4F80" w:rsidRDefault="002E4F80" w:rsidP="002E4F80">
      <w:pPr>
        <w:rPr>
          <w:rFonts w:cs="Arial"/>
          <w:color w:val="000000" w:themeColor="text2"/>
        </w:rPr>
      </w:pPr>
      <w:r w:rsidRPr="002E4F80">
        <w:rPr>
          <w:rFonts w:cs="Arial"/>
          <w:color w:val="000000" w:themeColor="text2"/>
        </w:rPr>
        <w:t>Le contrôle de la prestation d’indexation est réalisé par la Direction nationale de la communication qui a la possibilité d’accepter ou de rejeter les notices indexées par le Titulaire.</w:t>
      </w:r>
    </w:p>
    <w:p w14:paraId="16046264" w14:textId="77777777" w:rsidR="002E4F80" w:rsidRPr="002E4F80" w:rsidRDefault="002E4F80" w:rsidP="002E4F80">
      <w:pPr>
        <w:rPr>
          <w:rFonts w:cs="Arial"/>
          <w:color w:val="000000" w:themeColor="text2"/>
        </w:rPr>
      </w:pPr>
    </w:p>
    <w:p w14:paraId="413F4AA1" w14:textId="77777777" w:rsidR="002E4F80" w:rsidRPr="002E4F80" w:rsidRDefault="002E4F80" w:rsidP="002E4F80">
      <w:pPr>
        <w:autoSpaceDE w:val="0"/>
        <w:autoSpaceDN w:val="0"/>
        <w:adjustRightInd w:val="0"/>
        <w:rPr>
          <w:rFonts w:cs="Arial"/>
          <w:color w:val="000000" w:themeColor="text2"/>
        </w:rPr>
      </w:pPr>
      <w:r w:rsidRPr="002E4F80">
        <w:rPr>
          <w:rFonts w:cs="Arial"/>
          <w:color w:val="000000" w:themeColor="text2"/>
        </w:rPr>
        <w:t>Les notices font l’objet régulièrement par la Direction nationale de la communication d’un contrôle à deux niveaux : contrôle quantitatif (exhaustivité des médias indexés, conformité des notices et des médias associés) et qualitatif.</w:t>
      </w:r>
    </w:p>
    <w:p w14:paraId="341ED416" w14:textId="77777777" w:rsidR="002E4F80" w:rsidRPr="002E4F80" w:rsidRDefault="002E4F80" w:rsidP="002E4F80">
      <w:pPr>
        <w:autoSpaceDE w:val="0"/>
        <w:autoSpaceDN w:val="0"/>
        <w:adjustRightInd w:val="0"/>
        <w:rPr>
          <w:rFonts w:cs="Arial"/>
          <w:color w:val="000000" w:themeColor="text2"/>
        </w:rPr>
      </w:pPr>
    </w:p>
    <w:p w14:paraId="1DBB226A" w14:textId="77777777" w:rsidR="002E4F80" w:rsidRPr="002E4F80" w:rsidRDefault="002E4F80" w:rsidP="002E4F80">
      <w:pPr>
        <w:autoSpaceDE w:val="0"/>
        <w:autoSpaceDN w:val="0"/>
        <w:adjustRightInd w:val="0"/>
        <w:rPr>
          <w:rFonts w:cs="Arial"/>
          <w:color w:val="000000" w:themeColor="text2"/>
        </w:rPr>
      </w:pPr>
      <w:r w:rsidRPr="002E4F80">
        <w:rPr>
          <w:rFonts w:cs="Arial"/>
          <w:color w:val="000000" w:themeColor="text2"/>
        </w:rPr>
        <w:t>Le contrôle de la qualité de l’indexation des ressources est réalisé au plus tard dans un délai d’un mois après réception de la livraison des notices indexées.</w:t>
      </w:r>
    </w:p>
    <w:p w14:paraId="2F240EDB" w14:textId="77777777" w:rsidR="002E4F80" w:rsidRPr="002E4F80" w:rsidRDefault="002E4F80" w:rsidP="002E4F80">
      <w:pPr>
        <w:spacing w:before="240"/>
        <w:rPr>
          <w:rFonts w:cs="Arial"/>
          <w:color w:val="000000" w:themeColor="text2"/>
        </w:rPr>
      </w:pPr>
      <w:r w:rsidRPr="002E4F80">
        <w:rPr>
          <w:rFonts w:cs="Arial"/>
          <w:color w:val="000000" w:themeColor="text2"/>
        </w:rPr>
        <w:lastRenderedPageBreak/>
        <w:t xml:space="preserve">Si des erreurs sont détectées, </w:t>
      </w:r>
      <w:r w:rsidRPr="002E4F80">
        <w:rPr>
          <w:rFonts w:eastAsia="Calibri" w:cs="Arial"/>
          <w:noProof/>
          <w:color w:val="000000" w:themeColor="text2"/>
        </w:rPr>
        <w:t>le Titulaire doit effectuer les corrections nécessaires.</w:t>
      </w:r>
    </w:p>
    <w:p w14:paraId="155AB2F0" w14:textId="77777777" w:rsidR="002E4F80" w:rsidRPr="002E4F80" w:rsidRDefault="002E4F80" w:rsidP="002E4F80">
      <w:pPr>
        <w:autoSpaceDE w:val="0"/>
        <w:autoSpaceDN w:val="0"/>
        <w:adjustRightInd w:val="0"/>
        <w:rPr>
          <w:rFonts w:cs="Arial"/>
          <w:color w:val="000000" w:themeColor="text2"/>
        </w:rPr>
      </w:pPr>
    </w:p>
    <w:p w14:paraId="40E2DF10" w14:textId="43DAB0F3" w:rsidR="002E4F80" w:rsidRPr="00282A41" w:rsidRDefault="002E4F80" w:rsidP="00282A41">
      <w:pPr>
        <w:pStyle w:val="Paragraphedeliste"/>
        <w:numPr>
          <w:ilvl w:val="0"/>
          <w:numId w:val="28"/>
        </w:numPr>
        <w:suppressAutoHyphens w:val="0"/>
        <w:autoSpaceDE w:val="0"/>
        <w:autoSpaceDN w:val="0"/>
        <w:adjustRightInd w:val="0"/>
        <w:spacing w:before="0" w:after="0" w:line="259" w:lineRule="auto"/>
        <w:contextualSpacing/>
        <w:rPr>
          <w:rFonts w:cs="Arial"/>
          <w:color w:val="000000" w:themeColor="text2"/>
          <w:u w:val="single"/>
        </w:rPr>
      </w:pPr>
      <w:r w:rsidRPr="002E4F80">
        <w:rPr>
          <w:rFonts w:cs="Arial"/>
          <w:color w:val="000000" w:themeColor="text2"/>
          <w:u w:val="single"/>
        </w:rPr>
        <w:t>Tableau d’indexation</w:t>
      </w:r>
    </w:p>
    <w:p w14:paraId="5A943B75" w14:textId="77777777" w:rsidR="002E4F80" w:rsidRPr="002E4F80" w:rsidRDefault="002E4F80" w:rsidP="002E4F80">
      <w:pPr>
        <w:autoSpaceDE w:val="0"/>
        <w:autoSpaceDN w:val="0"/>
        <w:adjustRightInd w:val="0"/>
        <w:spacing w:line="276" w:lineRule="auto"/>
        <w:rPr>
          <w:rFonts w:cs="Arial"/>
          <w:color w:val="000000" w:themeColor="text2"/>
        </w:rPr>
      </w:pPr>
      <w:r w:rsidRPr="002E4F80">
        <w:rPr>
          <w:rFonts w:cs="Arial"/>
          <w:color w:val="000000" w:themeColor="text2"/>
        </w:rPr>
        <w:t xml:space="preserve">Le Titulaire effectue un </w:t>
      </w:r>
      <w:proofErr w:type="spellStart"/>
      <w:r w:rsidRPr="002E4F80">
        <w:rPr>
          <w:rFonts w:cs="Arial"/>
          <w:color w:val="000000" w:themeColor="text2"/>
        </w:rPr>
        <w:t>reporting</w:t>
      </w:r>
      <w:proofErr w:type="spellEnd"/>
      <w:r w:rsidRPr="002E4F80">
        <w:rPr>
          <w:rFonts w:cs="Arial"/>
          <w:color w:val="000000" w:themeColor="text2"/>
        </w:rPr>
        <w:t xml:space="preserve"> mensuel de sa prestation d’indexation. </w:t>
      </w:r>
    </w:p>
    <w:p w14:paraId="03B9DEC2" w14:textId="74CB91D9" w:rsidR="002E4F80" w:rsidRDefault="002E4F80" w:rsidP="002E4F80">
      <w:pPr>
        <w:pStyle w:val="Corpsdetexte"/>
        <w:spacing w:line="276" w:lineRule="auto"/>
        <w:rPr>
          <w:b w:val="0"/>
          <w:color w:val="000000" w:themeColor="text2"/>
          <w:sz w:val="22"/>
        </w:rPr>
      </w:pPr>
      <w:r w:rsidRPr="00524226">
        <w:rPr>
          <w:b w:val="0"/>
          <w:color w:val="000000" w:themeColor="text2"/>
          <w:sz w:val="22"/>
        </w:rPr>
        <w:t xml:space="preserve">A ce titre, il remet chaque mois à la Direction nationale de la communication &amp; de la marque un document établissant le </w:t>
      </w:r>
      <w:proofErr w:type="spellStart"/>
      <w:r w:rsidRPr="00524226">
        <w:rPr>
          <w:b w:val="0"/>
          <w:color w:val="000000" w:themeColor="text2"/>
          <w:sz w:val="22"/>
        </w:rPr>
        <w:t>reporting</w:t>
      </w:r>
      <w:proofErr w:type="spellEnd"/>
      <w:r w:rsidRPr="00524226">
        <w:rPr>
          <w:b w:val="0"/>
          <w:color w:val="000000" w:themeColor="text2"/>
          <w:sz w:val="22"/>
        </w:rPr>
        <w:t xml:space="preserve"> de l’indexation effectuée (nombre de photos reçues /photos traitées, thèmes abordés…).</w:t>
      </w:r>
    </w:p>
    <w:p w14:paraId="40A729A5" w14:textId="2F7568B7" w:rsidR="00536E12" w:rsidRDefault="00536E12" w:rsidP="002E4F80">
      <w:pPr>
        <w:pStyle w:val="Corpsdetexte"/>
        <w:spacing w:line="276" w:lineRule="auto"/>
        <w:rPr>
          <w:b w:val="0"/>
          <w:color w:val="000000" w:themeColor="text2"/>
          <w:sz w:val="22"/>
        </w:rPr>
      </w:pPr>
    </w:p>
    <w:p w14:paraId="534EDCBD" w14:textId="00A07510" w:rsidR="00536E12" w:rsidRDefault="00536E12" w:rsidP="00536E12">
      <w:pPr>
        <w:rPr>
          <w:rFonts w:cs="Arial"/>
          <w:color w:val="000000" w:themeColor="text2"/>
        </w:rPr>
      </w:pPr>
      <w:r w:rsidRPr="00536E12">
        <w:rPr>
          <w:rFonts w:cs="Arial"/>
          <w:color w:val="000000" w:themeColor="text2"/>
        </w:rPr>
        <w:t>A l’issue des opérations de vérification, l’EFS prend, dans un délai d’une semaine, une décision de réception, d’ajournement, de réfaction ou de rejet. Si l’EFS ne notifie pas sa décision dans le délai mentionné ci-dessus, les prestations sont considérées comme reçues, avec effet à co</w:t>
      </w:r>
      <w:r>
        <w:rPr>
          <w:rFonts w:cs="Arial"/>
          <w:color w:val="000000" w:themeColor="text2"/>
        </w:rPr>
        <w:t>mpter de l’expiration du délai.</w:t>
      </w:r>
    </w:p>
    <w:p w14:paraId="199F9C28" w14:textId="6F1178B6" w:rsidR="00536E12" w:rsidRPr="00536E12" w:rsidRDefault="00536E12" w:rsidP="00536E12">
      <w:pPr>
        <w:pStyle w:val="Titre4"/>
        <w:rPr>
          <w:b/>
          <w:bCs/>
          <w:color w:val="FF0000"/>
          <w:sz w:val="22"/>
          <w:szCs w:val="22"/>
        </w:rPr>
      </w:pPr>
      <w:r>
        <w:t>Décision après vérification</w:t>
      </w:r>
    </w:p>
    <w:p w14:paraId="13772DA2" w14:textId="77777777" w:rsidR="00536E12" w:rsidRPr="00536E12" w:rsidRDefault="00536E12" w:rsidP="00536E12">
      <w:pPr>
        <w:numPr>
          <w:ilvl w:val="0"/>
          <w:numId w:val="34"/>
        </w:numPr>
        <w:tabs>
          <w:tab w:val="clear" w:pos="1236"/>
        </w:tabs>
        <w:suppressAutoHyphens w:val="0"/>
        <w:spacing w:before="0" w:after="0"/>
        <w:ind w:left="360"/>
        <w:rPr>
          <w:rFonts w:cs="Arial"/>
          <w:b/>
          <w:color w:val="000000" w:themeColor="text2"/>
        </w:rPr>
      </w:pPr>
      <w:r w:rsidRPr="00536E12">
        <w:rPr>
          <w:rFonts w:cs="Arial"/>
          <w:b/>
          <w:color w:val="000000" w:themeColor="text2"/>
        </w:rPr>
        <w:t>Réception :</w:t>
      </w:r>
    </w:p>
    <w:p w14:paraId="5E1E53B3" w14:textId="77777777" w:rsidR="00536E12" w:rsidRPr="00536E12" w:rsidRDefault="00536E12" w:rsidP="00536E12">
      <w:pPr>
        <w:rPr>
          <w:rFonts w:cs="Arial"/>
          <w:color w:val="000000" w:themeColor="text2"/>
        </w:rPr>
      </w:pPr>
      <w:r w:rsidRPr="00536E12">
        <w:rPr>
          <w:rFonts w:cs="Arial"/>
          <w:color w:val="000000" w:themeColor="text2"/>
        </w:rPr>
        <w:t>L’EFS prononce la réception des prestations si celles-ci répondent aux stipulations du marché public. La réception prend effet à la date de notification de la décision de réception au Titulaire.</w:t>
      </w:r>
    </w:p>
    <w:p w14:paraId="4C7DEE8A" w14:textId="77777777" w:rsidR="00536E12" w:rsidRPr="00536E12" w:rsidRDefault="00536E12" w:rsidP="00536E12">
      <w:pPr>
        <w:rPr>
          <w:rFonts w:cs="Arial"/>
          <w:color w:val="000000" w:themeColor="text2"/>
        </w:rPr>
      </w:pPr>
    </w:p>
    <w:p w14:paraId="16350F48" w14:textId="77777777" w:rsidR="00536E12" w:rsidRPr="00536E12" w:rsidRDefault="00536E12" w:rsidP="00536E12">
      <w:pPr>
        <w:numPr>
          <w:ilvl w:val="0"/>
          <w:numId w:val="34"/>
        </w:numPr>
        <w:tabs>
          <w:tab w:val="clear" w:pos="1236"/>
        </w:tabs>
        <w:suppressAutoHyphens w:val="0"/>
        <w:spacing w:before="0" w:after="0"/>
        <w:ind w:left="360"/>
        <w:rPr>
          <w:rFonts w:cs="Arial"/>
          <w:b/>
          <w:color w:val="000000" w:themeColor="text2"/>
        </w:rPr>
      </w:pPr>
      <w:r w:rsidRPr="00536E12">
        <w:rPr>
          <w:rFonts w:cs="Arial"/>
          <w:b/>
          <w:color w:val="000000" w:themeColor="text2"/>
        </w:rPr>
        <w:t>Ajournement :</w:t>
      </w:r>
    </w:p>
    <w:p w14:paraId="4041571F" w14:textId="5CEC27B8" w:rsidR="00536E12" w:rsidRPr="00536E12" w:rsidRDefault="00536E12" w:rsidP="00536E12">
      <w:pPr>
        <w:rPr>
          <w:rFonts w:cs="Arial"/>
          <w:color w:val="000000" w:themeColor="text2"/>
        </w:rPr>
      </w:pPr>
      <w:r w:rsidRPr="00536E12">
        <w:rPr>
          <w:rFonts w:cs="Arial"/>
          <w:color w:val="000000" w:themeColor="text2"/>
        </w:rPr>
        <w:t>Lorsque l’EFS estime que des prestations ne peuvent être reçues que moyennant certaines mises au point, elle peut décider d’ajourner la réception des prestations par une décision motivée. Cette décision invite le Titulaire à présenter à nouveau à l’EFS, les prestations mises au point, dans un délai de cinq (5) jours.</w:t>
      </w:r>
    </w:p>
    <w:p w14:paraId="22892C39" w14:textId="786B0C70" w:rsidR="00536E12" w:rsidRPr="00536E12" w:rsidRDefault="00536E12" w:rsidP="00536E12">
      <w:pPr>
        <w:rPr>
          <w:rFonts w:cs="Arial"/>
          <w:color w:val="000000" w:themeColor="text2"/>
        </w:rPr>
      </w:pPr>
      <w:r w:rsidRPr="00536E12">
        <w:rPr>
          <w:rFonts w:cs="Arial"/>
          <w:color w:val="000000" w:themeColor="text2"/>
        </w:rPr>
        <w:t xml:space="preserve">Le Titulaire doit faire connaître son acceptation dans un délai de trois (3) jours à compter de la notification de la décision d’ajournement. </w:t>
      </w:r>
    </w:p>
    <w:p w14:paraId="5370893E" w14:textId="03A958A8" w:rsidR="00536E12" w:rsidRPr="00536E12" w:rsidRDefault="00536E12" w:rsidP="00536E12">
      <w:pPr>
        <w:rPr>
          <w:rFonts w:cs="Arial"/>
          <w:color w:val="000000" w:themeColor="text2"/>
        </w:rPr>
      </w:pPr>
      <w:r w:rsidRPr="00536E12">
        <w:rPr>
          <w:rFonts w:cs="Arial"/>
          <w:color w:val="000000" w:themeColor="text2"/>
        </w:rPr>
        <w:t>En cas de refus du Titulaire ou de silence gardé par lui durant ce délai, l’EFS a le choix de prononcer la réception des prestations avec réfaction ou de les rejeter, dans les conditions fixées ci-dessous, dans un délai de cinq jours courant à partir de la notification du refus du Titulaire ou à partir de l’expiration du délai de cinq (5) jours ci-dessus mentionné.</w:t>
      </w:r>
    </w:p>
    <w:p w14:paraId="1F4DE312" w14:textId="77777777" w:rsidR="00536E12" w:rsidRPr="00536E12" w:rsidRDefault="00536E12" w:rsidP="00536E12">
      <w:pPr>
        <w:rPr>
          <w:rFonts w:cs="Arial"/>
          <w:color w:val="000000" w:themeColor="text2"/>
        </w:rPr>
      </w:pPr>
      <w:r w:rsidRPr="00536E12">
        <w:rPr>
          <w:rFonts w:cs="Arial"/>
          <w:color w:val="000000" w:themeColor="text2"/>
        </w:rPr>
        <w:t>Le silence de l’EFS au-delà de ce délai de quinze (15) jours vaut décision de rejet des prestations.</w:t>
      </w:r>
    </w:p>
    <w:p w14:paraId="2D92B114" w14:textId="042C3E51" w:rsidR="00536E12" w:rsidRPr="00536E12" w:rsidRDefault="00536E12" w:rsidP="00536E12">
      <w:pPr>
        <w:rPr>
          <w:rFonts w:cs="Arial"/>
          <w:color w:val="000000" w:themeColor="text2"/>
        </w:rPr>
      </w:pPr>
      <w:r w:rsidRPr="00536E12">
        <w:rPr>
          <w:rFonts w:cs="Arial"/>
          <w:color w:val="000000" w:themeColor="text2"/>
        </w:rPr>
        <w:t>Si le Titulaire présente à nouveau les prestations mises au point, après la décision d’ajournement des prestations, l’EFS dispose à nouveau de la totalité du délai prévu pour procéder aux vérifications des prestations, à compter de leur nouvelle présentation par le Titulaire.</w:t>
      </w:r>
    </w:p>
    <w:p w14:paraId="6FA02162" w14:textId="77777777" w:rsidR="00536E12" w:rsidRPr="00536E12" w:rsidRDefault="00536E12" w:rsidP="00536E12">
      <w:pPr>
        <w:rPr>
          <w:rFonts w:cs="Arial"/>
          <w:color w:val="000000" w:themeColor="text2"/>
        </w:rPr>
      </w:pPr>
      <w:r w:rsidRPr="00536E12">
        <w:rPr>
          <w:rFonts w:cs="Arial"/>
          <w:color w:val="000000" w:themeColor="text2"/>
        </w:rPr>
        <w:t>Dans le cas où les opérations de vérification ont été effectuées dans les locaux de l’EFS, le Titulaire dispose d’un délai de quinze (15) jours à compter de la notification de la décision d’ajournement pour enlever les éventuelles fournitures livrées au titre des prestations ayant fait l’objet de la décision d’ajournement.</w:t>
      </w:r>
    </w:p>
    <w:p w14:paraId="6D2D93A0" w14:textId="77777777" w:rsidR="00536E12" w:rsidRPr="00536E12" w:rsidRDefault="00536E12" w:rsidP="00536E12">
      <w:pPr>
        <w:rPr>
          <w:rFonts w:cs="Arial"/>
          <w:color w:val="000000" w:themeColor="text2"/>
        </w:rPr>
      </w:pPr>
    </w:p>
    <w:p w14:paraId="0885580A" w14:textId="77777777" w:rsidR="00536E12" w:rsidRPr="00536E12" w:rsidRDefault="00536E12" w:rsidP="00536E12">
      <w:pPr>
        <w:rPr>
          <w:rFonts w:cs="Arial"/>
          <w:color w:val="000000" w:themeColor="text2"/>
        </w:rPr>
      </w:pPr>
      <w:r w:rsidRPr="00536E12">
        <w:rPr>
          <w:rFonts w:cs="Arial"/>
          <w:color w:val="000000" w:themeColor="text2"/>
        </w:rPr>
        <w:t>Passé ce délai, ces fournitures peuvent être évacuées ou détruites par l’EFS, aux frais du Titulaire.</w:t>
      </w:r>
    </w:p>
    <w:p w14:paraId="7E8F354C" w14:textId="77777777" w:rsidR="00536E12" w:rsidRPr="00536E12" w:rsidRDefault="00536E12" w:rsidP="00536E12">
      <w:pPr>
        <w:rPr>
          <w:rFonts w:cs="Arial"/>
          <w:color w:val="000000" w:themeColor="text2"/>
        </w:rPr>
      </w:pPr>
    </w:p>
    <w:p w14:paraId="56FC9141" w14:textId="77777777" w:rsidR="00536E12" w:rsidRPr="00536E12" w:rsidRDefault="00536E12" w:rsidP="00536E12">
      <w:pPr>
        <w:numPr>
          <w:ilvl w:val="0"/>
          <w:numId w:val="34"/>
        </w:numPr>
        <w:tabs>
          <w:tab w:val="clear" w:pos="1236"/>
        </w:tabs>
        <w:suppressAutoHyphens w:val="0"/>
        <w:spacing w:before="0" w:after="0"/>
        <w:ind w:left="360"/>
        <w:rPr>
          <w:rFonts w:cs="Arial"/>
          <w:b/>
          <w:color w:val="000000" w:themeColor="text2"/>
        </w:rPr>
      </w:pPr>
      <w:r w:rsidRPr="00536E12">
        <w:rPr>
          <w:rFonts w:cs="Arial"/>
          <w:b/>
          <w:color w:val="000000" w:themeColor="text2"/>
        </w:rPr>
        <w:lastRenderedPageBreak/>
        <w:t>Réfaction :</w:t>
      </w:r>
    </w:p>
    <w:p w14:paraId="325D5324" w14:textId="77777777" w:rsidR="00536E12" w:rsidRPr="00536E12" w:rsidRDefault="00536E12" w:rsidP="00536E12">
      <w:pPr>
        <w:rPr>
          <w:rFonts w:cs="Arial"/>
          <w:color w:val="000000" w:themeColor="text2"/>
        </w:rPr>
      </w:pPr>
      <w:r w:rsidRPr="00536E12">
        <w:rPr>
          <w:rFonts w:cs="Arial"/>
          <w:color w:val="000000" w:themeColor="text2"/>
        </w:rPr>
        <w:t>Lorsque l’EFS estime que des prestations, sans être entièrement conformes aux stipulations du marché public, peuvent néanmoins être reçues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414B4E77" w14:textId="77777777" w:rsidR="00536E12" w:rsidRPr="00536E12" w:rsidRDefault="00536E12" w:rsidP="00536E12">
      <w:pPr>
        <w:rPr>
          <w:rFonts w:cs="Arial"/>
          <w:color w:val="000000" w:themeColor="text2"/>
        </w:rPr>
      </w:pPr>
      <w:r w:rsidRPr="00536E12">
        <w:rPr>
          <w:rFonts w:cs="Arial"/>
          <w:color w:val="000000" w:themeColor="text2"/>
        </w:rPr>
        <w:t>Si le Titulaire ne présente pas d’observations dans les quinze (15) jours suivant la décision de réception avec réfaction, il est réputé l’avoir acceptée. Si le Titulaire formule des observations dans ce délai, l’EFS dispose ensuite de quinze (15) jours pour lui notifier une nouvelle décision. A défaut d’une telle notification, l’EFS est réputée avoir accepté les observations du Titulaire.</w:t>
      </w:r>
    </w:p>
    <w:p w14:paraId="1183999C" w14:textId="63F14E05" w:rsidR="00536E12" w:rsidRPr="00536E12" w:rsidRDefault="00536E12" w:rsidP="00536E12">
      <w:pPr>
        <w:rPr>
          <w:rFonts w:cs="Arial"/>
          <w:color w:val="000000" w:themeColor="text2"/>
        </w:rPr>
      </w:pPr>
    </w:p>
    <w:p w14:paraId="00A8C1BB" w14:textId="77777777" w:rsidR="00536E12" w:rsidRPr="00536E12" w:rsidRDefault="00536E12" w:rsidP="00536E12">
      <w:pPr>
        <w:numPr>
          <w:ilvl w:val="0"/>
          <w:numId w:val="34"/>
        </w:numPr>
        <w:tabs>
          <w:tab w:val="clear" w:pos="1236"/>
        </w:tabs>
        <w:suppressAutoHyphens w:val="0"/>
        <w:spacing w:before="0" w:after="0"/>
        <w:ind w:left="360"/>
        <w:rPr>
          <w:rFonts w:cs="Arial"/>
          <w:b/>
          <w:color w:val="000000" w:themeColor="text2"/>
        </w:rPr>
      </w:pPr>
      <w:r w:rsidRPr="00536E12">
        <w:rPr>
          <w:rFonts w:cs="Arial"/>
          <w:b/>
          <w:color w:val="000000" w:themeColor="text2"/>
        </w:rPr>
        <w:t>Rejet :</w:t>
      </w:r>
    </w:p>
    <w:p w14:paraId="1C6D5200" w14:textId="47789427" w:rsidR="00536E12" w:rsidRPr="00536E12" w:rsidRDefault="00536E12" w:rsidP="00536E12">
      <w:pPr>
        <w:rPr>
          <w:rFonts w:cs="Arial"/>
          <w:color w:val="000000" w:themeColor="text2"/>
        </w:rPr>
      </w:pPr>
      <w:r w:rsidRPr="00536E12">
        <w:rPr>
          <w:rFonts w:cs="Arial"/>
          <w:color w:val="000000" w:themeColor="text2"/>
        </w:rPr>
        <w:t>Lorsque l’EFS estime que les prestations sont non conformes aux stipulations du marché public et ne peuvent être reçues en l’état, il en prononce le rejet partiel ou total.</w:t>
      </w:r>
    </w:p>
    <w:p w14:paraId="07E3F507" w14:textId="5B8FD0CC" w:rsidR="00536E12" w:rsidRPr="00536E12" w:rsidRDefault="00536E12" w:rsidP="00536E12">
      <w:pPr>
        <w:rPr>
          <w:rFonts w:cs="Arial"/>
          <w:color w:val="000000" w:themeColor="text2"/>
        </w:rPr>
      </w:pPr>
      <w:r w:rsidRPr="00536E12">
        <w:rPr>
          <w:rFonts w:cs="Arial"/>
          <w:color w:val="000000" w:themeColor="text2"/>
        </w:rPr>
        <w:t>La décision de rejet sera motivée. Elle ne peut être prise qu’après que le Titulaire a été mis à même de présenter ses observations.</w:t>
      </w:r>
    </w:p>
    <w:p w14:paraId="463F0062" w14:textId="627C906E" w:rsidR="00536E12" w:rsidRPr="00536E12" w:rsidRDefault="00536E12" w:rsidP="00536E12">
      <w:pPr>
        <w:rPr>
          <w:rFonts w:cs="Arial"/>
          <w:color w:val="000000" w:themeColor="text2"/>
        </w:rPr>
      </w:pPr>
      <w:r w:rsidRPr="00536E12">
        <w:rPr>
          <w:rFonts w:cs="Arial"/>
          <w:color w:val="000000" w:themeColor="text2"/>
        </w:rPr>
        <w:t>En cas de rejet, le Titulaire est tenu d’exécuter à nouveau la prestation prévue par le marché public.</w:t>
      </w:r>
    </w:p>
    <w:p w14:paraId="2AAC9360" w14:textId="77777777" w:rsidR="00D644E5" w:rsidRPr="00E430DA" w:rsidRDefault="00D644E5" w:rsidP="00234EE9">
      <w:pPr>
        <w:pStyle w:val="Titre2"/>
        <w:numPr>
          <w:ilvl w:val="1"/>
          <w:numId w:val="10"/>
        </w:numPr>
      </w:pPr>
      <w:bookmarkStart w:id="62" w:name="_Toc190784042"/>
      <w:r w:rsidRPr="00E430DA">
        <w:t>Pénalités</w:t>
      </w:r>
      <w:bookmarkEnd w:id="61"/>
      <w:bookmarkEnd w:id="62"/>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78A5CCD8" w14:textId="2DB136A5" w:rsidR="00D644E5" w:rsidRPr="00EF5DC9" w:rsidRDefault="2D113B91" w:rsidP="2D113B91">
      <w:pPr>
        <w:suppressAutoHyphens w:val="0"/>
        <w:rPr>
          <w:rFonts w:cs="Arial"/>
          <w:color w:val="000000" w:themeColor="text2"/>
          <w:lang w:eastAsia="fr-FR"/>
        </w:rPr>
      </w:pPr>
      <w:r w:rsidRPr="00EF5DC9">
        <w:rPr>
          <w:rFonts w:cs="Arial"/>
          <w:color w:val="000000" w:themeColor="text2"/>
          <w:lang w:eastAsia="fr-FR"/>
        </w:rPr>
        <w:t xml:space="preserve">Par dérogation à l’article 14.1.3 du CCAG FCS, aucune exonération de pénalité n’est prévue. </w:t>
      </w:r>
    </w:p>
    <w:p w14:paraId="380A4706" w14:textId="77777777" w:rsidR="00D644E5" w:rsidRPr="009754E7" w:rsidRDefault="2D113B91" w:rsidP="2D113B91">
      <w:pPr>
        <w:suppressAutoHyphens w:val="0"/>
        <w:rPr>
          <w:rFonts w:cs="Arial"/>
          <w:lang w:eastAsia="fr-FR"/>
        </w:rPr>
      </w:pPr>
      <w:r w:rsidRPr="2D113B91">
        <w:rPr>
          <w:rFonts w:cs="Arial"/>
          <w:lang w:eastAsia="fr-FR"/>
        </w:rPr>
        <w:t>En cas de résiliation du marché public, les pénalités de retard sont, le cas échéant, appliquées jusqu’à la veille incluse de la date d’effet de la résiliation.</w:t>
      </w:r>
    </w:p>
    <w:p w14:paraId="7D5394C2" w14:textId="77777777" w:rsidR="00D644E5" w:rsidRPr="009754E7" w:rsidRDefault="00D644E5" w:rsidP="2D113B91">
      <w:pPr>
        <w:pStyle w:val="Titre3"/>
        <w:numPr>
          <w:ilvl w:val="2"/>
          <w:numId w:val="10"/>
        </w:numPr>
        <w:rPr>
          <w:lang w:eastAsia="en-US"/>
        </w:rPr>
      </w:pPr>
      <w:bookmarkStart w:id="63" w:name="_Toc81992904"/>
      <w:r w:rsidRPr="009754E7">
        <w:rPr>
          <w:lang w:eastAsia="en-US"/>
        </w:rPr>
        <w:t>Pénalités de retard</w:t>
      </w:r>
      <w:bookmarkEnd w:id="63"/>
    </w:p>
    <w:p w14:paraId="3B8C2A96" w14:textId="77777777" w:rsidR="00D644E5" w:rsidRPr="00EF5DC9" w:rsidRDefault="2D113B91" w:rsidP="2D113B91">
      <w:pPr>
        <w:suppressAutoHyphens w:val="0"/>
        <w:rPr>
          <w:rFonts w:cs="Arial"/>
          <w:color w:val="000000" w:themeColor="text2"/>
          <w:lang w:eastAsia="fr-FR"/>
        </w:rPr>
      </w:pPr>
      <w:r w:rsidRPr="00EF5DC9">
        <w:rPr>
          <w:rFonts w:cs="Arial"/>
          <w:color w:val="000000" w:themeColor="text2"/>
          <w:lang w:eastAsia="fr-FR"/>
        </w:rPr>
        <w:t>Les pénalités sont calculées par rapport aux engagements pris par le Titulaire ou, à défaut, par rapport aux délais maximaux fixés dans le marché public à compter du premier jour calendaire de retard et pour chaque bon de commande.</w:t>
      </w:r>
    </w:p>
    <w:p w14:paraId="0B4A9510" w14:textId="36B4F27B" w:rsidR="00D644E5" w:rsidRPr="00EF5DC9" w:rsidRDefault="2D113B91" w:rsidP="2D113B91">
      <w:pPr>
        <w:suppressAutoHyphens w:val="0"/>
        <w:rPr>
          <w:rFonts w:cs="Arial"/>
          <w:color w:val="000000" w:themeColor="text2"/>
          <w:lang w:eastAsia="fr-FR"/>
        </w:rPr>
      </w:pPr>
      <w:r w:rsidRPr="00EF5DC9">
        <w:rPr>
          <w:rFonts w:cs="Arial"/>
          <w:color w:val="000000" w:themeColor="text2"/>
          <w:lang w:eastAsia="fr-FR"/>
        </w:rPr>
        <w:t xml:space="preserve">Les manquements du Titulaire à ses obligations sont établis par constat direct </w:t>
      </w:r>
      <w:r w:rsidR="00EF5DC9">
        <w:rPr>
          <w:rFonts w:cs="Arial"/>
          <w:color w:val="000000" w:themeColor="text2"/>
          <w:lang w:eastAsia="fr-FR"/>
        </w:rPr>
        <w:t>du</w:t>
      </w:r>
      <w:r w:rsidRPr="00EF5DC9">
        <w:rPr>
          <w:rFonts w:cs="Arial"/>
          <w:color w:val="000000" w:themeColor="text2"/>
          <w:lang w:eastAsia="fr-FR"/>
        </w:rPr>
        <w:t xml:space="preserve"> RPA.</w:t>
      </w:r>
    </w:p>
    <w:p w14:paraId="49EFD9E9" w14:textId="327218BA" w:rsidR="00D644E5" w:rsidRPr="00EF5DC9" w:rsidRDefault="2D113B91" w:rsidP="2D113B91">
      <w:pPr>
        <w:suppressAutoHyphens w:val="0"/>
        <w:rPr>
          <w:rFonts w:cs="Arial"/>
          <w:color w:val="000000" w:themeColor="text2"/>
          <w:lang w:eastAsia="fr-FR"/>
        </w:rPr>
      </w:pPr>
      <w:r w:rsidRPr="00EF5DC9">
        <w:rPr>
          <w:rFonts w:cs="Arial"/>
          <w:color w:val="000000" w:themeColor="text2"/>
          <w:lang w:eastAsia="fr-FR"/>
        </w:rPr>
        <w:t>En cas de retard par rapport aux délais d’exécution du marché public, le Titulaire encourt, de plein droit, et sans mise en demeure préalable, une pénalité de r</w:t>
      </w:r>
      <w:r w:rsidR="00EF5DC9" w:rsidRPr="00EF5DC9">
        <w:rPr>
          <w:rFonts w:cs="Arial"/>
          <w:color w:val="000000" w:themeColor="text2"/>
          <w:lang w:eastAsia="fr-FR"/>
        </w:rPr>
        <w:t>etard par jour calendaire de retard égale à 50</w:t>
      </w:r>
      <w:r w:rsidRPr="00EF5DC9">
        <w:rPr>
          <w:rFonts w:cs="Arial"/>
          <w:color w:val="000000" w:themeColor="text2"/>
          <w:lang w:eastAsia="fr-FR"/>
        </w:rPr>
        <w:t xml:space="preserve"> €. </w:t>
      </w:r>
    </w:p>
    <w:p w14:paraId="2339B72C" w14:textId="77777777" w:rsidR="00D644E5" w:rsidRPr="00F80723" w:rsidRDefault="00D644E5" w:rsidP="2D113B91">
      <w:pPr>
        <w:pStyle w:val="Titre3"/>
        <w:numPr>
          <w:ilvl w:val="2"/>
          <w:numId w:val="10"/>
        </w:numPr>
        <w:rPr>
          <w:lang w:eastAsia="en-US"/>
        </w:rPr>
      </w:pPr>
      <w:bookmarkStart w:id="64" w:name="_Toc81992905"/>
      <w:r w:rsidRPr="009754E7">
        <w:rPr>
          <w:lang w:eastAsia="en-US"/>
        </w:rPr>
        <w:t>Pénalités pour mauvaise exécution</w:t>
      </w:r>
      <w:bookmarkEnd w:id="64"/>
    </w:p>
    <w:p w14:paraId="7834D3B8" w14:textId="4926FA8D" w:rsidR="00D644E5" w:rsidRPr="009754E7" w:rsidRDefault="2D113B91" w:rsidP="2D113B91">
      <w:pPr>
        <w:suppressAutoHyphens w:val="0"/>
        <w:rPr>
          <w:rFonts w:cs="Arial"/>
          <w:lang w:eastAsia="fr-FR"/>
        </w:rPr>
      </w:pPr>
      <w:r w:rsidRPr="2D113B91">
        <w:rPr>
          <w:rFonts w:cs="Arial"/>
          <w:lang w:eastAsia="fr-FR"/>
        </w:rPr>
        <w:t xml:space="preserve">En cas de manquement grave ou répété du Titulaire dans l’exécution des prestations, l’EFS pourra lui appliquer une pénalité forfaitaire </w:t>
      </w:r>
      <w:r w:rsidRPr="00EF5DC9">
        <w:rPr>
          <w:rFonts w:cs="Arial"/>
          <w:color w:val="000000" w:themeColor="text2"/>
          <w:lang w:eastAsia="fr-FR"/>
        </w:rPr>
        <w:t>de</w:t>
      </w:r>
      <w:r w:rsidR="00EF5DC9" w:rsidRPr="00EF5DC9">
        <w:rPr>
          <w:rFonts w:cs="Arial"/>
          <w:color w:val="000000" w:themeColor="text2"/>
          <w:lang w:eastAsia="fr-FR"/>
        </w:rPr>
        <w:t xml:space="preserve"> 100</w:t>
      </w:r>
      <w:r w:rsidRPr="00EF5DC9">
        <w:rPr>
          <w:rFonts w:cs="Arial"/>
          <w:color w:val="000000" w:themeColor="text2"/>
          <w:lang w:eastAsia="fr-FR"/>
        </w:rPr>
        <w:t xml:space="preserve"> euros </w:t>
      </w:r>
      <w:r w:rsidRPr="2D113B91">
        <w:rPr>
          <w:rFonts w:cs="Arial"/>
          <w:lang w:eastAsia="fr-FR"/>
        </w:rPr>
        <w:t>par manquement constaté.</w:t>
      </w:r>
    </w:p>
    <w:p w14:paraId="542AEAE4" w14:textId="77777777" w:rsidR="00D644E5" w:rsidRPr="009754E7" w:rsidRDefault="2D113B91" w:rsidP="2D113B91">
      <w:pPr>
        <w:pStyle w:val="Titre3"/>
        <w:numPr>
          <w:ilvl w:val="2"/>
          <w:numId w:val="10"/>
        </w:numPr>
        <w:rPr>
          <w:lang w:eastAsia="en-US"/>
        </w:rPr>
      </w:pPr>
      <w:bookmarkStart w:id="65" w:name="_Toc81992906"/>
      <w:r w:rsidRPr="2D113B91">
        <w:rPr>
          <w:lang w:eastAsia="en-US"/>
        </w:rPr>
        <w:lastRenderedPageBreak/>
        <w:t>Pénalité pour non-respect des obligations du Titulaire en matière d’interprétariat</w:t>
      </w:r>
      <w:bookmarkEnd w:id="65"/>
    </w:p>
    <w:p w14:paraId="0D81FC7B" w14:textId="77777777" w:rsidR="00D644E5" w:rsidRPr="009754E7" w:rsidRDefault="2D113B91" w:rsidP="2D113B91">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w:t>
      </w:r>
      <w:r w:rsidRPr="00EF5DC9">
        <w:rPr>
          <w:rFonts w:eastAsia="Arial" w:cs="Arial"/>
          <w:color w:val="000000" w:themeColor="text2"/>
          <w:lang w:eastAsia="en-US"/>
        </w:rPr>
        <w:t xml:space="preserve">correspondant aux frais consécutifs pour le pouvoir adjudicateur, assortie d’une pénalité forfaitaire de cent (100) euros </w:t>
      </w:r>
      <w:r w:rsidRPr="2D113B91">
        <w:rPr>
          <w:rFonts w:eastAsia="Arial" w:cs="Arial"/>
          <w:lang w:eastAsia="en-US"/>
        </w:rPr>
        <w:t>par jour de carence constaté.</w:t>
      </w:r>
    </w:p>
    <w:p w14:paraId="4EBFB161" w14:textId="24FE4B7C" w:rsidR="00D644E5" w:rsidRDefault="00D644E5" w:rsidP="2D113B91">
      <w:pPr>
        <w:pStyle w:val="Titre2"/>
        <w:numPr>
          <w:ilvl w:val="1"/>
          <w:numId w:val="10"/>
        </w:numPr>
        <w:rPr>
          <w:color w:val="2F5496"/>
        </w:rPr>
      </w:pPr>
      <w:bookmarkStart w:id="66" w:name="_Toc190784043"/>
      <w:bookmarkStart w:id="67" w:name="_Toc20478141"/>
      <w:r w:rsidRPr="00DE03AC">
        <w:rPr>
          <w:color w:val="1F356A" w:themeColor="accent2"/>
        </w:rPr>
        <w:t>Sous-traitance</w:t>
      </w:r>
      <w:bookmarkEnd w:id="66"/>
      <w:r w:rsidRPr="00DE03AC">
        <w:rPr>
          <w:color w:val="1F356A" w:themeColor="accent2"/>
        </w:rPr>
        <w:t xml:space="preserve"> </w:t>
      </w:r>
      <w:bookmarkEnd w:id="67"/>
    </w:p>
    <w:p w14:paraId="7153595C" w14:textId="77777777" w:rsidR="00D644E5" w:rsidRPr="00C655C3" w:rsidRDefault="2D113B91" w:rsidP="2D113B91">
      <w:pPr>
        <w:suppressAutoHyphens w:val="0"/>
        <w:rPr>
          <w:rFonts w:cs="Arial"/>
          <w:lang w:eastAsia="fr-FR"/>
        </w:rPr>
      </w:pPr>
      <w:r w:rsidRPr="2D113B91">
        <w:rPr>
          <w:rFonts w:cs="Arial"/>
          <w:lang w:eastAsia="fr-FR"/>
        </w:rPr>
        <w:t>En application des articles L.2193-4,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2598231F" w14:textId="77777777" w:rsidR="00D644E5" w:rsidRPr="00C655C3" w:rsidRDefault="2D113B91" w:rsidP="2D113B91">
      <w:pPr>
        <w:suppressAutoHyphens w:val="0"/>
        <w:rPr>
          <w:rFonts w:cs="Arial"/>
          <w:lang w:eastAsia="fr-FR"/>
        </w:rPr>
      </w:pPr>
      <w:r w:rsidRPr="2D113B91">
        <w:rPr>
          <w:rFonts w:cs="Arial"/>
          <w:lang w:eastAsia="fr-FR"/>
        </w:rPr>
        <w:t>Dans ce cas, le Titulaire doit fournir au pouvoir adjudicateur une déclaration (ou DC4) mentionnant notamment:</w:t>
      </w:r>
    </w:p>
    <w:p w14:paraId="58882A1C" w14:textId="6256BC2A"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La nature des prestations sous-traitées ;</w:t>
      </w:r>
    </w:p>
    <w:p w14:paraId="7AC469CE" w14:textId="22A99A0C"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nom, la raison ou la dénomination sociale et l’adresse du sous-traitant proposé ;</w:t>
      </w:r>
    </w:p>
    <w:p w14:paraId="5C1C0AC8" w14:textId="073B315B"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montant maximum des sommes à verser par paiement direct au sous-traitant ;</w:t>
      </w:r>
    </w:p>
    <w:p w14:paraId="3AD679BE" w14:textId="3138CB4D"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conditions de paiement prévues par le projet de contrat de sous-traitance et, le cas échéant, les modalités de variation des prix ;</w:t>
      </w:r>
    </w:p>
    <w:p w14:paraId="510934C1" w14:textId="39F7E09E"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capacités professionnelles et financières du sous-traitant équivalentes à celles demandées au titulaire</w:t>
      </w:r>
    </w:p>
    <w:p w14:paraId="66EBA846" w14:textId="77777777" w:rsidR="00D644E5" w:rsidRPr="00C655C3" w:rsidRDefault="2D113B91" w:rsidP="2D113B91">
      <w:pPr>
        <w:suppressAutoHyphens w:val="0"/>
        <w:rPr>
          <w:rFonts w:cs="Arial"/>
          <w:lang w:eastAsia="fr-FR"/>
        </w:rPr>
      </w:pPr>
      <w:r w:rsidRPr="2D113B91">
        <w:rPr>
          <w:rFonts w:cs="Arial"/>
          <w:lang w:eastAsia="fr-FR"/>
        </w:rPr>
        <w:t>Il lui remet également une déclaration du sous-traitant indiquant qu’il ne tombe pas sous le coup d’une interdiction d’accéder aux marchés publics.</w:t>
      </w:r>
    </w:p>
    <w:p w14:paraId="79A36735" w14:textId="77777777" w:rsidR="00D644E5" w:rsidRPr="00C655C3" w:rsidRDefault="2D113B91" w:rsidP="2D113B91">
      <w:pPr>
        <w:suppressAutoHyphens w:val="0"/>
        <w:rPr>
          <w:rFonts w:cs="Arial"/>
          <w:lang w:eastAsia="fr-FR"/>
        </w:rPr>
      </w:pPr>
      <w:r w:rsidRPr="2D113B91">
        <w:rPr>
          <w:rFonts w:cs="Arial"/>
          <w:lang w:eastAsia="fr-FR"/>
        </w:rPr>
        <w:t>Si le montant des prestations sous-traitées dépasse 600 € TTC, un RIB original du sous-traitant doit également être fourni avec la déclaration.</w:t>
      </w:r>
    </w:p>
    <w:p w14:paraId="3E628AC0" w14:textId="027997C2" w:rsidR="00EB5D58" w:rsidRDefault="00EB5D58" w:rsidP="00EB5D58">
      <w:pPr>
        <w:pStyle w:val="Titre2"/>
        <w:numPr>
          <w:ilvl w:val="1"/>
          <w:numId w:val="10"/>
        </w:numPr>
      </w:pPr>
      <w:bookmarkStart w:id="68" w:name="_Toc190784044"/>
      <w:r>
        <w:t>Modifications du marché public</w:t>
      </w:r>
      <w:bookmarkEnd w:id="68"/>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lastRenderedPageBreak/>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04D025AB" w:rsidR="00EB5D58" w:rsidRDefault="00EB5D58" w:rsidP="2D113B91">
      <w:r>
        <w:t>-</w:t>
      </w:r>
      <w:r>
        <w:tab/>
        <w:t xml:space="preserve">Emettre </w:t>
      </w:r>
      <w:r w:rsidRPr="00EF5DC9">
        <w:rPr>
          <w:color w:val="000000" w:themeColor="text2"/>
        </w:rPr>
        <w:t xml:space="preserve">un </w:t>
      </w:r>
      <w:r w:rsidR="00EF5DC9" w:rsidRPr="00EF5DC9">
        <w:rPr>
          <w:color w:val="000000" w:themeColor="text2"/>
        </w:rPr>
        <w:t xml:space="preserve">bon de commande </w:t>
      </w:r>
      <w:r w:rsidRPr="00EF5DC9">
        <w:rPr>
          <w:color w:val="000000" w:themeColor="text2"/>
        </w:rPr>
        <w:t xml:space="preserve">auprès </w:t>
      </w:r>
      <w:r>
        <w:t>d’un autre fournisseur en cas d’impossibilité pour le titulaire du présent marché d’exécuter les prestations, dans la limite fixée à l’article R.2194-5 du code de la commande publique ;</w:t>
      </w:r>
    </w:p>
    <w:p w14:paraId="793D1AD9" w14:textId="77777777" w:rsidR="00EB5D58" w:rsidRDefault="00EB5D58" w:rsidP="00EB5D58">
      <w:r>
        <w:t>-</w:t>
      </w:r>
      <w:r>
        <w:tab/>
        <w:t>Accepter temporairement un rallongement des délais d’exécution du marché.</w:t>
      </w:r>
    </w:p>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77777777" w:rsidR="00EB5D58" w:rsidRDefault="2D113B91" w:rsidP="00EB5D58">
      <w:r>
        <w:t>L’accord du RPA est notifié au Titulaire.</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69" w:name="_Toc79485292"/>
      <w:bookmarkStart w:id="70" w:name="_Toc20478145"/>
      <w:r w:rsidRPr="00386CC9">
        <w:rPr>
          <w:lang w:eastAsia="en-US"/>
        </w:rPr>
        <w:t>Evolutions administratives</w:t>
      </w:r>
      <w:bookmarkEnd w:id="69"/>
      <w:bookmarkEnd w:id="70"/>
    </w:p>
    <w:p w14:paraId="78443570" w14:textId="4C474911" w:rsidR="00D644E5" w:rsidRPr="00EF5DC9" w:rsidRDefault="2D113B91" w:rsidP="2D113B91">
      <w:pPr>
        <w:suppressAutoHyphens w:val="0"/>
        <w:rPr>
          <w:rFonts w:cs="Arial"/>
          <w:color w:val="000000" w:themeColor="text2"/>
          <w:lang w:eastAsia="fr-FR"/>
        </w:rPr>
      </w:pPr>
      <w:r w:rsidRPr="2D113B91">
        <w:rPr>
          <w:rFonts w:cs="Arial"/>
          <w:lang w:eastAsia="fr-FR"/>
        </w:rPr>
        <w:t xml:space="preserve">Au cours de l’exécution du marché public, </w:t>
      </w:r>
      <w:r w:rsidRPr="00EF5DC9">
        <w:rPr>
          <w:rFonts w:cs="Arial"/>
          <w:color w:val="000000" w:themeColor="text2"/>
          <w:lang w:eastAsia="fr-FR"/>
        </w:rPr>
        <w:t xml:space="preserve">le Titulaire informe par écrit le RPA de toute modification de désignation ou de référence de Services objets du présent marché public. </w:t>
      </w:r>
    </w:p>
    <w:p w14:paraId="6BC30624" w14:textId="174A58C3" w:rsidR="00D644E5" w:rsidRPr="00386CC9" w:rsidRDefault="2D113B91" w:rsidP="2D113B91">
      <w:pPr>
        <w:suppressAutoHyphens w:val="0"/>
        <w:rPr>
          <w:rFonts w:cs="Arial"/>
          <w:lang w:eastAsia="fr-FR"/>
        </w:rPr>
      </w:pPr>
      <w:r w:rsidRPr="00EF5DC9">
        <w:rPr>
          <w:rFonts w:cs="Arial"/>
          <w:color w:val="000000" w:themeColor="text2"/>
          <w:lang w:eastAsia="fr-FR"/>
        </w:rPr>
        <w:t>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w:t>
      </w:r>
      <w:r w:rsidR="00EF5DC9" w:rsidRPr="00EF5DC9">
        <w:rPr>
          <w:rFonts w:cs="Arial"/>
          <w:color w:val="000000" w:themeColor="text2"/>
          <w:lang w:eastAsia="fr-FR"/>
        </w:rPr>
        <w:t xml:space="preserve"> de la </w:t>
      </w:r>
      <w:r w:rsidRPr="00EF5DC9">
        <w:rPr>
          <w:rFonts w:cs="Arial"/>
          <w:color w:val="000000" w:themeColor="text2"/>
          <w:lang w:eastAsia="fr-FR"/>
        </w:rPr>
        <w:t>Services</w:t>
      </w:r>
      <w:r w:rsidR="00EF5DC9" w:rsidRPr="00EF5DC9">
        <w:rPr>
          <w:rFonts w:cs="Arial"/>
          <w:color w:val="000000" w:themeColor="text2"/>
          <w:lang w:eastAsia="fr-FR"/>
        </w:rPr>
        <w:t xml:space="preserve"> considéré</w:t>
      </w:r>
      <w:r w:rsidRPr="00EF5DC9">
        <w:rPr>
          <w:rFonts w:cs="Arial"/>
          <w:color w:val="000000" w:themeColor="text2"/>
          <w:lang w:eastAsia="fr-FR"/>
        </w:rPr>
        <w:t xml:space="preserve">s, ou l’attribution d’une nouvelle référence à cette Services dont la nature et le prix demeurent </w:t>
      </w:r>
      <w:r w:rsidRPr="2D113B91">
        <w:rPr>
          <w:rFonts w:cs="Arial"/>
          <w:lang w:eastAsia="fr-FR"/>
        </w:rPr>
        <w:t>par ailleurs inchangés.</w:t>
      </w:r>
    </w:p>
    <w:p w14:paraId="33CF880B" w14:textId="77777777" w:rsidR="00D644E5" w:rsidRPr="00386CC9" w:rsidRDefault="00D644E5" w:rsidP="2D113B91">
      <w:pPr>
        <w:pStyle w:val="Titre3"/>
        <w:numPr>
          <w:ilvl w:val="2"/>
          <w:numId w:val="10"/>
        </w:numPr>
        <w:rPr>
          <w:lang w:eastAsia="en-US"/>
        </w:rPr>
      </w:pPr>
      <w:bookmarkStart w:id="71" w:name="_Toc20478146"/>
      <w:r w:rsidRPr="00386CC9">
        <w:rPr>
          <w:lang w:eastAsia="en-US"/>
        </w:rPr>
        <w:t>Evolutions technologiques</w:t>
      </w:r>
      <w:bookmarkEnd w:id="71"/>
      <w:r w:rsidRPr="00386CC9">
        <w:rPr>
          <w:lang w:eastAsia="en-US"/>
        </w:rPr>
        <w:t xml:space="preserve"> </w:t>
      </w:r>
    </w:p>
    <w:p w14:paraId="3BA2D64D" w14:textId="7B2229AB" w:rsidR="00D644E5" w:rsidRPr="00201C89" w:rsidRDefault="2D113B91" w:rsidP="2D113B91">
      <w:pPr>
        <w:suppressAutoHyphens w:val="0"/>
        <w:rPr>
          <w:rFonts w:cs="Arial"/>
          <w:color w:val="000000" w:themeColor="text2"/>
          <w:lang w:eastAsia="fr-FR"/>
        </w:rPr>
      </w:pPr>
      <w:r w:rsidRPr="2D113B91">
        <w:rPr>
          <w:rFonts w:cs="Arial"/>
          <w:lang w:eastAsia="fr-FR"/>
        </w:rPr>
        <w:t>Le Titulaire informe sans délai le RPA de toutes modifications ou évolutions technologiques qu'il e</w:t>
      </w:r>
      <w:r w:rsidRPr="00201C89">
        <w:rPr>
          <w:rFonts w:cs="Arial"/>
          <w:color w:val="000000" w:themeColor="text2"/>
          <w:lang w:eastAsia="fr-FR"/>
        </w:rPr>
        <w:t>ntend apporter aux Services objets du présent marché public.</w:t>
      </w:r>
    </w:p>
    <w:p w14:paraId="71042CAC" w14:textId="31D28BEA" w:rsidR="00D644E5" w:rsidRPr="00201C89" w:rsidRDefault="2D113B91" w:rsidP="2D113B91">
      <w:pPr>
        <w:suppressAutoHyphens w:val="0"/>
        <w:rPr>
          <w:rFonts w:cs="Arial"/>
          <w:color w:val="000000" w:themeColor="text2"/>
          <w:lang w:eastAsia="fr-FR"/>
        </w:rPr>
      </w:pPr>
      <w:r w:rsidRPr="00201C89">
        <w:rPr>
          <w:rFonts w:cs="Arial"/>
          <w:color w:val="000000" w:themeColor="text2"/>
          <w:lang w:eastAsia="fr-FR"/>
        </w:rPr>
        <w:lastRenderedPageBreak/>
        <w:t>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 Services nécessaires à titre gratuit. Le Titulaire ne peut mettre en œuvre les modifications avant réception de la notification de la décision du RPA.</w:t>
      </w:r>
    </w:p>
    <w:p w14:paraId="4832C77B" w14:textId="3F520BBA" w:rsidR="00D644E5" w:rsidRPr="00201C89" w:rsidRDefault="2D113B91" w:rsidP="2D113B91">
      <w:pPr>
        <w:suppressAutoHyphens w:val="0"/>
        <w:rPr>
          <w:rFonts w:cs="Arial"/>
          <w:color w:val="000000" w:themeColor="text2"/>
          <w:lang w:eastAsia="fr-FR"/>
        </w:rPr>
      </w:pPr>
      <w:r w:rsidRPr="00201C89">
        <w:rPr>
          <w:rFonts w:cs="Arial"/>
          <w:color w:val="000000" w:themeColor="text2"/>
          <w:lang w:eastAsia="fr-FR"/>
        </w:rPr>
        <w:t>A l’exception des cas de mise à disposition de nouvelles Fournitures, toute évolution technologique acceptée par le RPA, dans les conditions décrites au présent article, est sans incidence sur les e</w:t>
      </w:r>
      <w:r w:rsidR="00201C89" w:rsidRPr="00201C89">
        <w:rPr>
          <w:rFonts w:cs="Arial"/>
          <w:color w:val="000000" w:themeColor="text2"/>
          <w:lang w:eastAsia="fr-FR"/>
        </w:rPr>
        <w:t xml:space="preserve">ngagements contractuels volumes maxima de </w:t>
      </w:r>
      <w:r w:rsidRPr="00201C89">
        <w:rPr>
          <w:rFonts w:cs="Arial"/>
          <w:color w:val="000000" w:themeColor="text2"/>
          <w:lang w:eastAsia="fr-FR"/>
        </w:rPr>
        <w:t>services indiqués ci-dessus, ou sur les prix du marché public.</w:t>
      </w:r>
    </w:p>
    <w:p w14:paraId="5F1BA368" w14:textId="152ADEAD" w:rsidR="00D644E5" w:rsidRPr="00201C89" w:rsidRDefault="2D113B91" w:rsidP="2D113B91">
      <w:pPr>
        <w:suppressAutoHyphens w:val="0"/>
        <w:rPr>
          <w:rFonts w:cs="Arial"/>
          <w:color w:val="000000" w:themeColor="text2"/>
          <w:lang w:eastAsia="fr-FR"/>
        </w:rPr>
      </w:pPr>
      <w:r w:rsidRPr="00201C89">
        <w:rPr>
          <w:rFonts w:cs="Arial"/>
          <w:color w:val="000000" w:themeColor="text2"/>
          <w:lang w:eastAsia="fr-FR"/>
        </w:rPr>
        <w:t>En tout état de cause, toute évolution technologique ou l’introduction de nouvelles Services dans le cadre du marché public donnent lieu à la conclusion d’un avenant.</w:t>
      </w:r>
    </w:p>
    <w:p w14:paraId="4258B1EF" w14:textId="77777777" w:rsidR="00D644E5" w:rsidRDefault="2D113B91" w:rsidP="2D113B91">
      <w:pPr>
        <w:suppressAutoHyphens w:val="0"/>
        <w:spacing w:before="240"/>
        <w:rPr>
          <w:rFonts w:cs="Arial"/>
          <w:lang w:eastAsia="fr-FR"/>
        </w:rPr>
      </w:pPr>
      <w:r w:rsidRPr="2D113B91">
        <w:rPr>
          <w:rFonts w:cs="Arial"/>
          <w:lang w:eastAsia="fr-FR"/>
        </w:rPr>
        <w:t>Toute modification acceptée par le RPA donne lieu à une mise à jour de la documentation par le Titulaire. La documentation mise à jour est adressée dans les meilleurs délais par le Titulaire aux RPA.</w:t>
      </w: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72" w:name="_Toc20478151"/>
      <w:bookmarkStart w:id="73" w:name="_Toc190784045"/>
      <w:r w:rsidRPr="002B5684">
        <w:t>Défaillance du Titulaire</w:t>
      </w:r>
      <w:bookmarkEnd w:id="72"/>
      <w:bookmarkEnd w:id="73"/>
    </w:p>
    <w:p w14:paraId="0E698792" w14:textId="0BB3CAE7" w:rsidR="00D644E5" w:rsidRDefault="2D113B91" w:rsidP="2D113B91">
      <w:pPr>
        <w:suppressAutoHyphens w:val="0"/>
        <w:spacing w:line="240" w:lineRule="atLeast"/>
        <w:rPr>
          <w:rFonts w:eastAsia="Arial" w:cs="Arial"/>
        </w:rPr>
      </w:pPr>
      <w:r w:rsidRPr="2D113B91">
        <w:rPr>
          <w:rFonts w:eastAsia="Arial" w:cs="Arial"/>
        </w:rPr>
        <w:t xml:space="preserve">En cas </w:t>
      </w:r>
      <w:r w:rsidR="00201C89" w:rsidRPr="00201C89">
        <w:rPr>
          <w:rFonts w:eastAsia="Arial" w:cs="Arial"/>
          <w:color w:val="000000" w:themeColor="text2"/>
        </w:rPr>
        <w:t xml:space="preserve">d’inexécution </w:t>
      </w:r>
      <w:r w:rsidRPr="00201C89">
        <w:rPr>
          <w:rFonts w:eastAsia="Arial" w:cs="Arial"/>
          <w:color w:val="000000" w:themeColor="text2"/>
        </w:rPr>
        <w:t>du Service</w:t>
      </w:r>
      <w:r w:rsidRPr="2D113B91">
        <w:rPr>
          <w:rFonts w:eastAsia="Arial" w:cs="Arial"/>
        </w:rPr>
        <w:t>,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2459D72D" w:rsidR="00D644E5" w:rsidRPr="006F7AFA" w:rsidRDefault="00D33478" w:rsidP="00234EE9">
      <w:pPr>
        <w:pStyle w:val="Titre2"/>
        <w:numPr>
          <w:ilvl w:val="1"/>
          <w:numId w:val="10"/>
        </w:numPr>
        <w:jc w:val="left"/>
      </w:pPr>
      <w:bookmarkStart w:id="74" w:name="_Toc20478152"/>
      <w:bookmarkStart w:id="75" w:name="_Toc190784046"/>
      <w:r>
        <w:t xml:space="preserve">Règlement financier </w:t>
      </w:r>
      <w:r w:rsidRPr="002B5684">
        <w:t>du marche</w:t>
      </w:r>
      <w:bookmarkEnd w:id="74"/>
      <w:bookmarkEnd w:id="75"/>
    </w:p>
    <w:p w14:paraId="0CB54B0A" w14:textId="77777777" w:rsidR="00D644E5" w:rsidRPr="004455C5" w:rsidRDefault="00D644E5" w:rsidP="2D113B91">
      <w:pPr>
        <w:pStyle w:val="Titre3"/>
        <w:numPr>
          <w:ilvl w:val="2"/>
          <w:numId w:val="10"/>
        </w:numPr>
        <w:rPr>
          <w:lang w:eastAsia="en-US"/>
        </w:rPr>
      </w:pPr>
      <w:bookmarkStart w:id="76" w:name="_Toc81992916"/>
      <w:r w:rsidRPr="004455C5">
        <w:t>Contenu des prix</w:t>
      </w:r>
      <w:bookmarkEnd w:id="76"/>
    </w:p>
    <w:p w14:paraId="220C80A6" w14:textId="77777777" w:rsidR="00D644E5" w:rsidRPr="004455C5" w:rsidRDefault="2D113B91" w:rsidP="2D113B91">
      <w:pPr>
        <w:rPr>
          <w:rFonts w:cs="Arial"/>
          <w:color w:val="0000FF"/>
          <w:lang w:eastAsia="fr-FR"/>
        </w:rPr>
      </w:pPr>
      <w:r w:rsidRPr="2D113B91">
        <w:rPr>
          <w:rFonts w:cs="Arial"/>
          <w:lang w:eastAsia="fr-FR"/>
        </w:rPr>
        <w:t xml:space="preserve">Les prix du marché public sont les prix, exprimés en euros HT et TTC, mentionnés dans </w:t>
      </w:r>
      <w:r w:rsidRPr="00201C89">
        <w:rPr>
          <w:rFonts w:cs="Arial"/>
          <w:color w:val="000000" w:themeColor="text2"/>
          <w:lang w:eastAsia="fr-FR"/>
        </w:rPr>
        <w:t xml:space="preserve">l’annexe financière. </w:t>
      </w:r>
    </w:p>
    <w:p w14:paraId="03D24BCD" w14:textId="10ED882C" w:rsidR="00D644E5" w:rsidRPr="004455C5" w:rsidRDefault="2D113B91" w:rsidP="2D113B91">
      <w:pPr>
        <w:rPr>
          <w:rFonts w:cs="Arial"/>
          <w:lang w:eastAsia="fr-FR"/>
        </w:rPr>
      </w:pPr>
      <w:r w:rsidRPr="2D113B91">
        <w:rPr>
          <w:rFonts w:cs="Arial"/>
          <w:lang w:eastAsia="fr-FR"/>
        </w:rPr>
        <w:t>Ils sont réputés comprendre toutes les charges fiscales, parafiscales ou autres, frappant obligatoirement les Fournitures, ainsi que toutes les autres dépenses nécessaires à l'exécution des prestations, les marges pour risque et les marges bénéficiaires du Titulaire.</w:t>
      </w:r>
    </w:p>
    <w:p w14:paraId="35B29BBD" w14:textId="77777777" w:rsidR="00D644E5" w:rsidRPr="004455C5" w:rsidRDefault="2D113B91" w:rsidP="2D113B91">
      <w:pPr>
        <w:rPr>
          <w:rFonts w:cs="Arial"/>
          <w:lang w:eastAsia="fr-FR"/>
        </w:rPr>
      </w:pPr>
      <w:r w:rsidRPr="2D113B91">
        <w:rPr>
          <w:rFonts w:cs="Arial"/>
          <w:lang w:eastAsia="fr-FR"/>
        </w:rPr>
        <w:t>Les prix sont exprimés en euros hors taxe et tous frais compris. La TVA est appliquée au taux légal en vigueur le jour de la livraison.</w:t>
      </w:r>
    </w:p>
    <w:p w14:paraId="200D7834" w14:textId="77777777" w:rsidR="00D644E5" w:rsidRPr="004455C5" w:rsidRDefault="00D644E5" w:rsidP="2D113B91">
      <w:pPr>
        <w:pStyle w:val="Titre3"/>
        <w:numPr>
          <w:ilvl w:val="2"/>
          <w:numId w:val="10"/>
        </w:numPr>
        <w:rPr>
          <w:lang w:eastAsia="en-US"/>
        </w:rPr>
      </w:pPr>
      <w:bookmarkStart w:id="77" w:name="_Toc81992917"/>
      <w:r w:rsidRPr="004455C5">
        <w:t>Forme et évolution des prix</w:t>
      </w:r>
      <w:bookmarkEnd w:id="77"/>
    </w:p>
    <w:p w14:paraId="0E2F2C36" w14:textId="7538684B" w:rsidR="2D113B91" w:rsidRDefault="2D113B91" w:rsidP="2D113B91">
      <w:pPr>
        <w:rPr>
          <w:rFonts w:cs="Arial"/>
          <w:lang w:eastAsia="fr-FR"/>
        </w:rPr>
      </w:pPr>
      <w:r w:rsidRPr="2D113B91">
        <w:rPr>
          <w:rFonts w:cs="Arial"/>
          <w:lang w:eastAsia="fr-FR"/>
        </w:rPr>
        <w:t>Les prix du marché public sont ferm</w:t>
      </w:r>
      <w:r w:rsidR="00977004">
        <w:rPr>
          <w:rFonts w:cs="Arial"/>
          <w:lang w:eastAsia="fr-FR"/>
        </w:rPr>
        <w:t xml:space="preserve">es sur toute la durée du marché, reconduction comprise. </w:t>
      </w:r>
    </w:p>
    <w:p w14:paraId="0906E727" w14:textId="77777777" w:rsidR="00D644E5" w:rsidRPr="004455C5" w:rsidRDefault="00D644E5" w:rsidP="2D113B91">
      <w:pPr>
        <w:pStyle w:val="Titre3"/>
        <w:numPr>
          <w:ilvl w:val="2"/>
          <w:numId w:val="10"/>
        </w:numPr>
        <w:rPr>
          <w:lang w:eastAsia="en-US"/>
        </w:rPr>
      </w:pPr>
      <w:bookmarkStart w:id="78" w:name="_Toc20478155"/>
      <w:r w:rsidRPr="004455C5">
        <w:rPr>
          <w:lang w:eastAsia="en-US"/>
        </w:rPr>
        <w:t>Avance</w:t>
      </w:r>
      <w:bookmarkEnd w:id="78"/>
    </w:p>
    <w:p w14:paraId="68DE7644" w14:textId="77777777" w:rsidR="00D644E5" w:rsidRPr="00201C89" w:rsidRDefault="00D644E5" w:rsidP="2D113B91">
      <w:pPr>
        <w:rPr>
          <w:color w:val="000000" w:themeColor="text2"/>
        </w:rPr>
      </w:pPr>
      <w:bookmarkStart w:id="79"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396C0A43" w14:textId="4D99F2F2" w:rsidR="00D644E5" w:rsidRPr="00201C89" w:rsidRDefault="2D113B91" w:rsidP="2D113B91">
      <w:pPr>
        <w:rPr>
          <w:i/>
          <w:iCs/>
          <w:color w:val="000000" w:themeColor="text2"/>
          <w:sz w:val="20"/>
        </w:rPr>
      </w:pPr>
      <w:r w:rsidRPr="00201C89">
        <w:rPr>
          <w:color w:val="000000" w:themeColor="text2"/>
        </w:rPr>
        <w:t>Par dérogation à l’article 11.1 du CCAG FCS, le taux de l’avance est de </w:t>
      </w:r>
      <w:r w:rsidR="00201C89" w:rsidRPr="00201C89">
        <w:rPr>
          <w:color w:val="000000" w:themeColor="text2"/>
        </w:rPr>
        <w:t>10%.</w:t>
      </w:r>
    </w:p>
    <w:p w14:paraId="24B7E3D0" w14:textId="77777777" w:rsidR="00D644E5" w:rsidRPr="004455C5" w:rsidRDefault="2D113B91" w:rsidP="009820BF">
      <w:r>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lastRenderedPageBreak/>
        <w:t xml:space="preserve">Modalités de facturation et de règlement </w:t>
      </w:r>
      <w:bookmarkEnd w:id="79"/>
    </w:p>
    <w:p w14:paraId="7197B4BA" w14:textId="77777777" w:rsidR="00D644E5" w:rsidRPr="00386CC9" w:rsidRDefault="00D644E5" w:rsidP="2D113B91">
      <w:pPr>
        <w:pStyle w:val="Titre4"/>
        <w:numPr>
          <w:ilvl w:val="3"/>
          <w:numId w:val="10"/>
        </w:numPr>
        <w:rPr>
          <w:lang w:eastAsia="en-US"/>
        </w:rPr>
      </w:pPr>
      <w:bookmarkStart w:id="80" w:name="_Toc20478157"/>
      <w:bookmarkStart w:id="81" w:name="_Toc193709717"/>
      <w:r w:rsidRPr="00386CC9">
        <w:rPr>
          <w:lang w:eastAsia="en-US"/>
        </w:rPr>
        <w:t>Facturation</w:t>
      </w:r>
      <w:bookmarkEnd w:id="80"/>
    </w:p>
    <w:p w14:paraId="63FD29C5" w14:textId="2F4DE69E" w:rsidR="00D644E5" w:rsidRPr="00386CC9" w:rsidRDefault="2D113B91" w:rsidP="2D113B91">
      <w:pPr>
        <w:suppressAutoHyphens w:val="0"/>
        <w:rPr>
          <w:rFonts w:cs="Arial"/>
          <w:lang w:eastAsia="fr-FR"/>
        </w:rPr>
      </w:pPr>
      <w:r w:rsidRPr="00201C89">
        <w:rPr>
          <w:rFonts w:cs="Arial"/>
          <w:color w:val="000000" w:themeColor="text2"/>
          <w:lang w:eastAsia="fr-FR"/>
        </w:rPr>
        <w:t>Ap</w:t>
      </w:r>
      <w:r w:rsidR="00201C89" w:rsidRPr="00201C89">
        <w:rPr>
          <w:rFonts w:cs="Arial"/>
          <w:color w:val="000000" w:themeColor="text2"/>
          <w:lang w:eastAsia="fr-FR"/>
        </w:rPr>
        <w:t xml:space="preserve">rès exécution </w:t>
      </w:r>
      <w:r w:rsidRPr="00201C89">
        <w:rPr>
          <w:rFonts w:cs="Arial"/>
          <w:color w:val="000000" w:themeColor="text2"/>
          <w:lang w:eastAsia="fr-FR"/>
        </w:rPr>
        <w:t xml:space="preserve">de chaque bon de commande, le </w:t>
      </w:r>
      <w:r w:rsidRPr="2D113B91">
        <w:rPr>
          <w:rFonts w:cs="Arial"/>
          <w:lang w:eastAsia="fr-FR"/>
        </w:rPr>
        <w:t>Titulaire transmet à chaque RPA un exemplaire d’une facture indiquant, outre les mentions légales,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t>Les factures comprennent notamment :</w:t>
      </w:r>
    </w:p>
    <w:p w14:paraId="3CEE078A" w14:textId="77777777"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les</w:t>
      </w:r>
      <w:proofErr w:type="gramEnd"/>
      <w:r w:rsidRPr="2D113B91">
        <w:rPr>
          <w:rFonts w:eastAsia="Arial"/>
          <w:lang w:eastAsia="en-US"/>
        </w:rPr>
        <w:t xml:space="preserve"> nom et adresse du créancier ;</w:t>
      </w:r>
    </w:p>
    <w:p w14:paraId="12A41AC4" w14:textId="568C8F0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marché public ;</w:t>
      </w:r>
    </w:p>
    <w:p w14:paraId="3CA39EAE" w14:textId="7E5A293F"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commande ;</w:t>
      </w:r>
    </w:p>
    <w:p w14:paraId="6C0B4C01" w14:textId="42F4AA9F"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livraison ;</w:t>
      </w:r>
    </w:p>
    <w:p w14:paraId="086FB78E" w14:textId="74950D94" w:rsidR="009820BF" w:rsidRPr="00201C89" w:rsidRDefault="2D113B91" w:rsidP="2D113B91">
      <w:pPr>
        <w:pStyle w:val="Paragraphedeliste"/>
        <w:numPr>
          <w:ilvl w:val="0"/>
          <w:numId w:val="19"/>
        </w:numPr>
        <w:rPr>
          <w:rFonts w:eastAsia="Arial"/>
          <w:color w:val="000000" w:themeColor="text2"/>
          <w:lang w:eastAsia="en-US"/>
        </w:rPr>
      </w:pPr>
      <w:proofErr w:type="gramStart"/>
      <w:r w:rsidRPr="2D113B91">
        <w:rPr>
          <w:rFonts w:eastAsia="Arial"/>
          <w:lang w:eastAsia="en-US"/>
        </w:rPr>
        <w:t>la</w:t>
      </w:r>
      <w:proofErr w:type="gramEnd"/>
      <w:r w:rsidRPr="2D113B91">
        <w:rPr>
          <w:rFonts w:eastAsia="Arial"/>
          <w:lang w:eastAsia="en-US"/>
        </w:rPr>
        <w:t xml:space="preserve"> quantité et la désignation des </w:t>
      </w:r>
      <w:r w:rsidRPr="00201C89">
        <w:rPr>
          <w:rFonts w:eastAsia="Arial"/>
          <w:color w:val="000000" w:themeColor="text2"/>
          <w:lang w:eastAsia="en-US"/>
        </w:rPr>
        <w:t>Services exécutés ;</w:t>
      </w:r>
    </w:p>
    <w:p w14:paraId="40E1795C" w14:textId="752E3357" w:rsidR="009820BF" w:rsidRPr="00201C89" w:rsidRDefault="2D113B91" w:rsidP="2D113B91">
      <w:pPr>
        <w:pStyle w:val="Paragraphedeliste"/>
        <w:numPr>
          <w:ilvl w:val="0"/>
          <w:numId w:val="19"/>
        </w:numPr>
        <w:rPr>
          <w:rFonts w:eastAsia="Arial"/>
          <w:color w:val="000000" w:themeColor="text2"/>
          <w:lang w:eastAsia="en-US"/>
        </w:rPr>
      </w:pPr>
      <w:proofErr w:type="gramStart"/>
      <w:r w:rsidRPr="00201C89">
        <w:rPr>
          <w:rFonts w:eastAsia="Arial"/>
          <w:color w:val="000000" w:themeColor="text2"/>
          <w:lang w:eastAsia="en-US"/>
        </w:rPr>
        <w:t>le</w:t>
      </w:r>
      <w:proofErr w:type="gramEnd"/>
      <w:r w:rsidRPr="00201C89">
        <w:rPr>
          <w:rFonts w:eastAsia="Arial"/>
          <w:color w:val="000000" w:themeColor="text2"/>
          <w:lang w:eastAsia="en-US"/>
        </w:rPr>
        <w:t xml:space="preserve"> montant hors TVA des Services ;</w:t>
      </w:r>
    </w:p>
    <w:p w14:paraId="24F98FCC" w14:textId="398967BD"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taux et le montant de la TVA en vigueur ;</w:t>
      </w:r>
    </w:p>
    <w:p w14:paraId="150E42A1" w14:textId="7590A1A0"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montant total TTC ;</w:t>
      </w:r>
    </w:p>
    <w:p w14:paraId="5F1ED2D5" w14:textId="5896AF1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la</w:t>
      </w:r>
      <w:proofErr w:type="gramEnd"/>
      <w:r w:rsidRPr="2D113B91">
        <w:rPr>
          <w:rFonts w:eastAsia="Arial"/>
          <w:lang w:eastAsia="en-US"/>
        </w:rPr>
        <w:t xml:space="preserve"> date de facturation ;</w:t>
      </w:r>
    </w:p>
    <w:p w14:paraId="302EEC27" w14:textId="51AF6986" w:rsidR="009820BF" w:rsidRPr="00386CC9" w:rsidRDefault="2D113B91" w:rsidP="2D113B91">
      <w:pPr>
        <w:pStyle w:val="Paragraphedeliste"/>
        <w:numPr>
          <w:ilvl w:val="0"/>
          <w:numId w:val="19"/>
        </w:numPr>
        <w:rPr>
          <w:lang w:eastAsia="fr-FR"/>
        </w:rPr>
      </w:pPr>
      <w:proofErr w:type="gramStart"/>
      <w:r w:rsidRPr="2D113B91">
        <w:rPr>
          <w:rFonts w:eastAsia="Arial"/>
          <w:lang w:eastAsia="en-US"/>
        </w:rPr>
        <w:t>le</w:t>
      </w:r>
      <w:proofErr w:type="gramEnd"/>
      <w:r w:rsidRPr="2D113B91">
        <w:rPr>
          <w:rFonts w:eastAsia="Arial"/>
          <w:lang w:eastAsia="en-US"/>
        </w:rPr>
        <w:t xml:space="preserve"> cas échéant, le numéro de TVA intracommunautaire.</w:t>
      </w:r>
    </w:p>
    <w:p w14:paraId="4E817511" w14:textId="77777777" w:rsidR="00D644E5" w:rsidRPr="00386CC9" w:rsidRDefault="00D644E5" w:rsidP="2D113B91">
      <w:pPr>
        <w:pStyle w:val="Titre4"/>
        <w:numPr>
          <w:ilvl w:val="3"/>
          <w:numId w:val="10"/>
        </w:numPr>
        <w:rPr>
          <w:lang w:eastAsia="en-US"/>
        </w:rPr>
      </w:pPr>
      <w:bookmarkStart w:id="82" w:name="_Toc20478158"/>
      <w:r w:rsidRPr="00386CC9">
        <w:rPr>
          <w:lang w:eastAsia="en-US"/>
        </w:rPr>
        <w:t>Dématérialisation des factures</w:t>
      </w:r>
      <w:bookmarkEnd w:id="82"/>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6C95961E"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rejetée, en cas de refus par l’EFS de la facture émise ; </w:t>
      </w:r>
    </w:p>
    <w:p w14:paraId="5AF43E21" w14:textId="66E8869C"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83" w:name="_Toc20478159"/>
      <w:r w:rsidRPr="00386CC9">
        <w:rPr>
          <w:lang w:eastAsia="en-US"/>
        </w:rPr>
        <w:lastRenderedPageBreak/>
        <w:t>Délai de paiement</w:t>
      </w:r>
      <w:bookmarkEnd w:id="81"/>
      <w:bookmarkEnd w:id="83"/>
    </w:p>
    <w:p w14:paraId="7FF34E09" w14:textId="77777777" w:rsidR="00D644E5" w:rsidRPr="00386CC9" w:rsidRDefault="2D113B91" w:rsidP="2D113B91">
      <w:pPr>
        <w:suppressAutoHyphens w:val="0"/>
        <w:rPr>
          <w:rFonts w:cs="Arial"/>
          <w:lang w:eastAsia="fr-FR"/>
        </w:rPr>
      </w:pPr>
      <w:r w:rsidRPr="2D113B91">
        <w:rPr>
          <w:rFonts w:cs="Arial"/>
          <w:lang w:eastAsia="fr-FR"/>
        </w:rPr>
        <w:t>Le paiement des factures intervient dans un délai maximum de</w:t>
      </w:r>
      <w:r w:rsidRPr="2D113B91">
        <w:rPr>
          <w:rFonts w:cs="Arial"/>
          <w:color w:val="0000FF"/>
          <w:lang w:eastAsia="fr-FR"/>
        </w:rPr>
        <w:t xml:space="preserve"> </w:t>
      </w:r>
      <w:r w:rsidRPr="2D113B91">
        <w:rPr>
          <w:rFonts w:cs="Arial"/>
          <w:lang w:eastAsia="fr-FR"/>
        </w:rPr>
        <w:t>60 jours pour les ETS</w:t>
      </w:r>
      <w:r w:rsidRPr="2D113B91">
        <w:rPr>
          <w:rFonts w:cs="Arial"/>
          <w:color w:val="0000FF"/>
          <w:lang w:eastAsia="fr-FR"/>
        </w:rPr>
        <w:t xml:space="preserve"> </w:t>
      </w:r>
      <w:r w:rsidRPr="2D113B91">
        <w:rPr>
          <w:rFonts w:cs="Arial"/>
          <w:lang w:eastAsia="fr-FR"/>
        </w:rPr>
        <w:t xml:space="preserve">à compter de la date de réception de la facture. La date de réception des factures est constatée par l’Etablissement. </w:t>
      </w:r>
    </w:p>
    <w:p w14:paraId="3405BB3D" w14:textId="1A1687E7" w:rsidR="00D644E5" w:rsidRPr="00201C89" w:rsidRDefault="2D113B91" w:rsidP="2D113B91">
      <w:pPr>
        <w:suppressAutoHyphens w:val="0"/>
        <w:rPr>
          <w:rFonts w:cs="Arial"/>
          <w:color w:val="000000" w:themeColor="text2"/>
          <w:lang w:eastAsia="fr-FR"/>
        </w:rPr>
      </w:pPr>
      <w:r w:rsidRPr="00201C89">
        <w:rPr>
          <w:rFonts w:cs="Arial"/>
          <w:color w:val="000000" w:themeColor="text2"/>
          <w:lang w:eastAsia="fr-FR"/>
        </w:rPr>
        <w:t>Si la réception de la facture est antérieure à l’acceptation de la livraison des Services, le point de départ du délai de paiement correspondant à la date d’admission de la livraison des Services, constatée par le bordereau de livraison en l’absence de réserves émises sur ce bordereau.</w:t>
      </w:r>
    </w:p>
    <w:p w14:paraId="5AECD253" w14:textId="7906E734" w:rsidR="00D644E5" w:rsidRPr="00201C89" w:rsidRDefault="2D113B91" w:rsidP="2D113B91">
      <w:pPr>
        <w:suppressAutoHyphens w:val="0"/>
        <w:rPr>
          <w:rFonts w:cs="Arial"/>
          <w:color w:val="000000" w:themeColor="text2"/>
          <w:lang w:eastAsia="fr-FR"/>
        </w:rPr>
      </w:pPr>
      <w:r w:rsidRPr="00201C89">
        <w:rPr>
          <w:rFonts w:cs="Arial"/>
          <w:color w:val="000000" w:themeColor="text2"/>
          <w:lang w:eastAsia="fr-FR"/>
        </w:rPr>
        <w:t xml:space="preserve">Si, à l’issue des opérations d’admission, les Services ne sont pas admis ou </w:t>
      </w:r>
      <w:r w:rsidR="00201C89" w:rsidRPr="00201C89">
        <w:rPr>
          <w:rFonts w:cs="Arial"/>
          <w:color w:val="000000" w:themeColor="text2"/>
          <w:lang w:eastAsia="fr-FR"/>
        </w:rPr>
        <w:t>s’ils</w:t>
      </w:r>
      <w:r w:rsidRPr="00201C89">
        <w:rPr>
          <w:rFonts w:cs="Arial"/>
          <w:color w:val="000000" w:themeColor="text2"/>
          <w:lang w:eastAsia="fr-FR"/>
        </w:rPr>
        <w:t xml:space="preserve"> sont rejetés à la suite d’une non-conformité documentée constatée dans les conditions définies à l’article </w:t>
      </w:r>
      <w:r w:rsidR="00201C89" w:rsidRPr="00201C89">
        <w:rPr>
          <w:rFonts w:cs="Arial"/>
          <w:color w:val="000000" w:themeColor="text2"/>
          <w:lang w:eastAsia="fr-FR"/>
        </w:rPr>
        <w:t>2.10.1.3</w:t>
      </w:r>
      <w:r w:rsidRPr="00201C89">
        <w:rPr>
          <w:rFonts w:cs="Arial"/>
          <w:color w:val="000000" w:themeColor="text2"/>
          <w:lang w:eastAsia="fr-FR"/>
        </w:rPr>
        <w:t xml:space="preserve"> du présent document, elles donnent lieu à un avoir. </w:t>
      </w:r>
    </w:p>
    <w:p w14:paraId="4A4D98B6" w14:textId="6A3A7037" w:rsidR="00D644E5" w:rsidRPr="00201C89" w:rsidRDefault="00201C89" w:rsidP="2D113B91">
      <w:pPr>
        <w:suppressAutoHyphens w:val="0"/>
        <w:rPr>
          <w:rFonts w:cs="Arial"/>
          <w:color w:val="000000" w:themeColor="text2"/>
          <w:lang w:eastAsia="fr-FR"/>
        </w:rPr>
      </w:pPr>
      <w:r w:rsidRPr="00201C89">
        <w:rPr>
          <w:rFonts w:cs="Arial"/>
          <w:color w:val="000000" w:themeColor="text2"/>
          <w:lang w:eastAsia="fr-FR"/>
        </w:rPr>
        <w:t>L’</w:t>
      </w:r>
      <w:r w:rsidR="2D113B91" w:rsidRPr="00201C89">
        <w:rPr>
          <w:rFonts w:cs="Arial"/>
          <w:color w:val="000000" w:themeColor="text2"/>
          <w:lang w:eastAsia="fr-FR"/>
        </w:rPr>
        <w:t>Etablissement se libère des sommes dues par virement administratif sur le compte du Titulaire.</w:t>
      </w:r>
    </w:p>
    <w:p w14:paraId="1DE860CD" w14:textId="77777777" w:rsidR="00D644E5" w:rsidRPr="00386CC9" w:rsidRDefault="2E580821" w:rsidP="2D113B91">
      <w:pPr>
        <w:pStyle w:val="Titre3"/>
        <w:numPr>
          <w:ilvl w:val="2"/>
          <w:numId w:val="10"/>
        </w:numPr>
        <w:rPr>
          <w:lang w:eastAsia="en-US"/>
        </w:rPr>
      </w:pPr>
      <w:bookmarkStart w:id="84" w:name="_Toc14754353"/>
      <w:bookmarkStart w:id="85" w:name="_Toc51647699"/>
      <w:bookmarkStart w:id="86" w:name="_Toc78717989"/>
      <w:bookmarkStart w:id="87" w:name="_Toc82946271"/>
      <w:bookmarkStart w:id="88" w:name="_Toc102546597"/>
      <w:bookmarkStart w:id="89" w:name="_Toc169929183"/>
      <w:bookmarkStart w:id="90" w:name="_Toc193709718"/>
      <w:bookmarkStart w:id="91" w:name="_Toc20478160"/>
      <w:r w:rsidRPr="2E580821">
        <w:rPr>
          <w:lang w:eastAsia="en-US"/>
        </w:rPr>
        <w:t>Suspension du délai global de paiement</w:t>
      </w:r>
      <w:bookmarkEnd w:id="84"/>
      <w:bookmarkEnd w:id="85"/>
      <w:bookmarkEnd w:id="86"/>
      <w:bookmarkEnd w:id="87"/>
      <w:bookmarkEnd w:id="88"/>
      <w:bookmarkEnd w:id="89"/>
      <w:bookmarkEnd w:id="90"/>
      <w:bookmarkEnd w:id="91"/>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92" w:name="_Toc256186225"/>
      <w:bookmarkStart w:id="93" w:name="_Toc20478161"/>
      <w:r w:rsidRPr="00386CC9">
        <w:rPr>
          <w:lang w:eastAsia="en-US"/>
        </w:rPr>
        <w:t>I</w:t>
      </w:r>
      <w:bookmarkEnd w:id="92"/>
      <w:r w:rsidRPr="00386CC9">
        <w:rPr>
          <w:lang w:eastAsia="en-US"/>
        </w:rPr>
        <w:t>ntérêts moratoires</w:t>
      </w:r>
      <w:bookmarkEnd w:id="93"/>
    </w:p>
    <w:p w14:paraId="78FC8FD2" w14:textId="627F27EF"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w:t>
      </w:r>
      <w:r w:rsidR="00977004" w:rsidRPr="00977004">
        <w:rPr>
          <w:rFonts w:cs="Arial"/>
          <w:lang w:eastAsia="fr-FR"/>
        </w:rPr>
        <w:t>commencé</w:t>
      </w:r>
      <w:r w:rsidRPr="2D113B91">
        <w:rPr>
          <w:rFonts w:cs="Arial"/>
          <w:lang w:eastAsia="fr-FR"/>
        </w:rPr>
        <w:t xml:space="preserve">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94" w:name="_Toc176249478"/>
      <w:bookmarkStart w:id="95" w:name="_Toc169929184"/>
      <w:bookmarkStart w:id="96" w:name="_Toc193709719"/>
      <w:bookmarkStart w:id="97" w:name="_Toc20478162"/>
      <w:bookmarkEnd w:id="94"/>
      <w:r w:rsidRPr="00386CC9">
        <w:rPr>
          <w:lang w:eastAsia="en-US"/>
        </w:rPr>
        <w:t>Nantissement et cession de créance</w:t>
      </w:r>
      <w:bookmarkEnd w:id="95"/>
      <w:bookmarkEnd w:id="96"/>
      <w:bookmarkEnd w:id="97"/>
    </w:p>
    <w:p w14:paraId="10645CB5" w14:textId="77777777" w:rsidR="00D644E5" w:rsidRPr="00DA3A3B" w:rsidRDefault="00D644E5" w:rsidP="2D113B91">
      <w:pPr>
        <w:suppressAutoHyphens w:val="0"/>
        <w:rPr>
          <w:rFonts w:cs="Arial"/>
          <w:lang w:eastAsia="fr-FR"/>
        </w:rPr>
      </w:pPr>
      <w:bookmarkStart w:id="98"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99" w:name="_Toc20478167"/>
      <w:bookmarkStart w:id="100" w:name="_Toc190784047"/>
      <w:bookmarkEnd w:id="98"/>
      <w:r w:rsidRPr="00974CE7">
        <w:rPr>
          <w:lang w:eastAsia="en-US"/>
        </w:rPr>
        <w:lastRenderedPageBreak/>
        <w:t>Confidentialité</w:t>
      </w:r>
      <w:bookmarkEnd w:id="99"/>
      <w:bookmarkEnd w:id="100"/>
    </w:p>
    <w:p w14:paraId="431082C2" w14:textId="77777777" w:rsidR="00D644E5" w:rsidRPr="00386CC9" w:rsidRDefault="00D644E5" w:rsidP="2D113B91">
      <w:pPr>
        <w:suppressAutoHyphens w:val="0"/>
        <w:spacing w:line="240" w:lineRule="atLeast"/>
        <w:rPr>
          <w:rFonts w:eastAsia="Arial" w:cs="Arial"/>
          <w:lang w:eastAsia="en-US"/>
        </w:rPr>
      </w:pPr>
      <w:bookmarkStart w:id="101" w:name="_Toc226778240"/>
      <w:bookmarkStart w:id="102" w:name="_Toc252801872"/>
      <w:bookmarkStart w:id="103"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104" w:name="_Toc20478168"/>
      <w:r w:rsidRPr="00386CC9">
        <w:rPr>
          <w:lang w:eastAsia="en-US"/>
        </w:rPr>
        <w:t>Obligations du Titulaire</w:t>
      </w:r>
      <w:bookmarkEnd w:id="104"/>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2F5C4133"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utiliser les documents et informations traités à des fins autres que celles spécifiées au présent marché public ;</w:t>
      </w:r>
    </w:p>
    <w:p w14:paraId="013E196C"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divulguer ces documents ou informations à d’autres personnes, qu’il s’agisse de personnes privées ou publiques, physiques ou morales ;</w:t>
      </w:r>
    </w:p>
    <w:p w14:paraId="4661FA2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toutes mesures permettant d’éviter toute utilisation détournée ou frauduleuse des fichiers informatiques en cours d’exécution du marché public ;</w:t>
      </w:r>
    </w:p>
    <w:p w14:paraId="37C7AE86"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au</w:t>
      </w:r>
      <w:proofErr w:type="gramEnd"/>
      <w:r w:rsidRPr="2D113B91">
        <w:rPr>
          <w:rFonts w:eastAsia="Calibri"/>
          <w:lang w:eastAsia="en-US"/>
        </w:rPr>
        <w:t xml:space="preserve"> terme du marché public, à procéder à la destruction de tous fichiers manuels ou informatisés stockant les informations saisies ;</w:t>
      </w:r>
    </w:p>
    <w:p w14:paraId="612D650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garantir</w:t>
      </w:r>
      <w:proofErr w:type="gramEnd"/>
      <w:r w:rsidRPr="2D113B91">
        <w:rPr>
          <w:rFonts w:eastAsia="Calibri"/>
          <w:lang w:eastAsia="en-US"/>
        </w:rPr>
        <w:t xml:space="preserve"> la confidentialité des données à caractère personnel auquel le Titulaire à accès dans le cadre du présent marché public ;</w:t>
      </w:r>
    </w:p>
    <w:p w14:paraId="258AD0BD"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veiller</w:t>
      </w:r>
      <w:proofErr w:type="gramEnd"/>
      <w:r w:rsidRPr="2D113B91">
        <w:rPr>
          <w:rFonts w:eastAsia="Calibri"/>
          <w:lang w:eastAsia="en-US"/>
        </w:rPr>
        <w:t xml:space="preserve"> à ce que les personnes autorisées à accéder aux données à caractère personnel en vertu du présent marché public :</w:t>
      </w:r>
    </w:p>
    <w:p w14:paraId="5976966F" w14:textId="77777777" w:rsidR="001163EE" w:rsidRPr="001163EE" w:rsidRDefault="2D113B91" w:rsidP="2D113B91">
      <w:pPr>
        <w:pStyle w:val="Paragraphedeliste"/>
        <w:numPr>
          <w:ilvl w:val="1"/>
          <w:numId w:val="21"/>
        </w:numPr>
        <w:rPr>
          <w:rFonts w:eastAsia="Calibri"/>
          <w:lang w:eastAsia="en-US"/>
        </w:rPr>
      </w:pPr>
      <w:proofErr w:type="gramStart"/>
      <w:r w:rsidRPr="2D113B91">
        <w:rPr>
          <w:rFonts w:eastAsia="Calibri"/>
          <w:lang w:eastAsia="en-US"/>
        </w:rPr>
        <w:t>s’engagent</w:t>
      </w:r>
      <w:proofErr w:type="gramEnd"/>
      <w:r w:rsidRPr="2D113B91">
        <w:rPr>
          <w:rFonts w:eastAsia="Calibri"/>
          <w:lang w:eastAsia="en-US"/>
        </w:rPr>
        <w:t xml:space="preserve"> à respecter la confidentialité ou soient soumises à une obligation légale appropriée de confidentialité ;</w:t>
      </w:r>
    </w:p>
    <w:p w14:paraId="2290839B" w14:textId="35760DDF" w:rsidR="001163EE" w:rsidRPr="00386CC9" w:rsidRDefault="2D113B91" w:rsidP="2D113B91">
      <w:pPr>
        <w:pStyle w:val="Paragraphedeliste"/>
        <w:numPr>
          <w:ilvl w:val="1"/>
          <w:numId w:val="21"/>
        </w:numPr>
        <w:rPr>
          <w:rFonts w:eastAsia="Arial" w:cs="Arial"/>
          <w:lang w:eastAsia="en-US"/>
        </w:rPr>
      </w:pPr>
      <w:proofErr w:type="gramStart"/>
      <w:r w:rsidRPr="2D113B91">
        <w:rPr>
          <w:rFonts w:eastAsia="Calibri"/>
          <w:lang w:eastAsia="en-US"/>
        </w:rPr>
        <w:t>reçoivent</w:t>
      </w:r>
      <w:proofErr w:type="gramEnd"/>
      <w:r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lastRenderedPageBreak/>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105" w:name="_Toc20478169"/>
      <w:r w:rsidRPr="00386CC9">
        <w:rPr>
          <w:lang w:eastAsia="en-US"/>
        </w:rPr>
        <w:t>Dispositions en cas de non-respect des obligations</w:t>
      </w:r>
      <w:bookmarkEnd w:id="105"/>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106" w:name="_Toc190784048"/>
      <w:r>
        <w:rPr>
          <w:lang w:eastAsia="en-US"/>
        </w:rPr>
        <w:t>Responsabilité - Assurances</w:t>
      </w:r>
      <w:bookmarkEnd w:id="106"/>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107" w:name="_Toc20478174"/>
      <w:bookmarkStart w:id="108" w:name="_Toc190784049"/>
      <w:bookmarkEnd w:id="101"/>
      <w:bookmarkEnd w:id="102"/>
      <w:bookmarkEnd w:id="103"/>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107"/>
      <w:bookmarkEnd w:id="108"/>
    </w:p>
    <w:p w14:paraId="15FBCB36" w14:textId="77777777" w:rsidR="00D644E5" w:rsidRPr="00DA3A3B" w:rsidRDefault="61E91A0C" w:rsidP="2D113B91">
      <w:pPr>
        <w:pStyle w:val="Titre3"/>
        <w:numPr>
          <w:ilvl w:val="2"/>
          <w:numId w:val="10"/>
        </w:numPr>
        <w:rPr>
          <w:lang w:eastAsia="en-US"/>
        </w:rPr>
      </w:pPr>
      <w:bookmarkStart w:id="109" w:name="_Toc426042444"/>
      <w:bookmarkStart w:id="110" w:name="_Toc81992935"/>
      <w:bookmarkStart w:id="111" w:name="_Toc20478178"/>
      <w:r w:rsidRPr="61E91A0C">
        <w:rPr>
          <w:lang w:eastAsia="en-US"/>
        </w:rPr>
        <w:t>Résiliation pour motif d’intérêt général</w:t>
      </w:r>
      <w:bookmarkEnd w:id="109"/>
      <w:bookmarkEnd w:id="110"/>
    </w:p>
    <w:p w14:paraId="5143BB65" w14:textId="2F041050" w:rsidR="61E91A0C" w:rsidRDefault="61E91A0C">
      <w:r w:rsidRPr="61E91A0C">
        <w:rPr>
          <w:rFonts w:eastAsia="Arial" w:cs="Arial"/>
          <w:szCs w:val="22"/>
        </w:rPr>
        <w:t>Le RPA peut mettre fin à tout moment à l’exécution du marché public, pour tout motif d’intérêt général, par décision unilatérale notifiée par écrit au Titulaire.</w:t>
      </w:r>
    </w:p>
    <w:p w14:paraId="57B665AB" w14:textId="702264FD" w:rsidR="61E91A0C" w:rsidRPr="00AE2E6F" w:rsidRDefault="61E91A0C">
      <w:pPr>
        <w:rPr>
          <w:color w:val="000000" w:themeColor="text2"/>
        </w:rPr>
      </w:pPr>
      <w:r w:rsidRPr="00AE2E6F">
        <w:rPr>
          <w:rFonts w:eastAsia="Arial" w:cs="Arial"/>
          <w:color w:val="000000" w:themeColor="text2"/>
          <w:szCs w:val="22"/>
        </w:rPr>
        <w:t>Par dérogation à l’article 42 du CCAG FCS, dans la mesure où le présent marché public ne comporte pas d’engagement minimum contractuel, aucune indemnité n’est due dans ce cas.</w:t>
      </w:r>
    </w:p>
    <w:p w14:paraId="32B9388D" w14:textId="38187930" w:rsidR="61E91A0C" w:rsidRPr="00AE2E6F" w:rsidRDefault="61E91A0C" w:rsidP="61E91A0C">
      <w:pPr>
        <w:rPr>
          <w:color w:val="000000" w:themeColor="text2"/>
        </w:rPr>
      </w:pPr>
      <w:r w:rsidRPr="00AE2E6F">
        <w:rPr>
          <w:rFonts w:eastAsia="Arial" w:cs="Arial"/>
          <w:color w:val="000000" w:themeColor="text2"/>
          <w:szCs w:val="22"/>
        </w:rPr>
        <w:t>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sans que la décision de résiliation ne puisse ouvrir droit à indemnité au bénéfice du Titulaire du présent marché public</w:t>
      </w:r>
      <w:r w:rsidR="00201C89" w:rsidRPr="00AE2E6F">
        <w:rPr>
          <w:rFonts w:eastAsia="Arial" w:cs="Arial"/>
          <w:color w:val="000000" w:themeColor="text2"/>
          <w:szCs w:val="22"/>
        </w:rPr>
        <w:t>,</w:t>
      </w:r>
      <w:r w:rsidRPr="00AE2E6F">
        <w:rPr>
          <w:rFonts w:eastAsia="Arial" w:cs="Arial"/>
          <w:color w:val="000000" w:themeColor="text2"/>
          <w:szCs w:val="22"/>
        </w:rPr>
        <w:t xml:space="preserve"> y compris dans le cas où ce dernier n’est pas l’attributaire dudit marché public national. </w:t>
      </w:r>
    </w:p>
    <w:p w14:paraId="36D5B337" w14:textId="77777777" w:rsidR="00D644E5" w:rsidRPr="00DA3A3B" w:rsidRDefault="00D644E5" w:rsidP="2D113B91">
      <w:pPr>
        <w:pStyle w:val="Titre3"/>
        <w:numPr>
          <w:ilvl w:val="2"/>
          <w:numId w:val="10"/>
        </w:numPr>
        <w:rPr>
          <w:lang w:eastAsia="en-US"/>
        </w:rPr>
      </w:pPr>
      <w:bookmarkStart w:id="112" w:name="_Toc426042445"/>
      <w:bookmarkStart w:id="113" w:name="_Toc81992936"/>
      <w:r w:rsidRPr="00DA3A3B">
        <w:rPr>
          <w:lang w:eastAsia="en-US"/>
        </w:rPr>
        <w:t>Résiliation aux torts du Titulaire</w:t>
      </w:r>
      <w:bookmarkEnd w:id="112"/>
      <w:bookmarkEnd w:id="113"/>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lastRenderedPageBreak/>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114" w:name="_Toc426042446"/>
      <w:bookmarkStart w:id="115" w:name="_Toc81992937"/>
      <w:r>
        <w:rPr>
          <w:lang w:eastAsia="fr-FR"/>
        </w:rPr>
        <w:t>aut, à la date de notification.</w:t>
      </w:r>
    </w:p>
    <w:p w14:paraId="04E4334A" w14:textId="245E7AFF" w:rsidR="001F5382" w:rsidRDefault="001F5382" w:rsidP="001163EE">
      <w:pPr>
        <w:rPr>
          <w:lang w:eastAsia="fr-FR"/>
        </w:rPr>
      </w:pP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Default="001F5382" w:rsidP="2D113B91">
      <w:pPr>
        <w:rPr>
          <w:lang w:eastAsia="fr-FR"/>
        </w:rPr>
      </w:pPr>
      <w:r>
        <w:rPr>
          <w:lang w:eastAsia="fr-FR"/>
        </w:rPr>
        <w:t>-</w:t>
      </w:r>
      <w:r>
        <w:rPr>
          <w:lang w:eastAsia="fr-FR"/>
        </w:rPr>
        <w:tab/>
        <w:t>Lorsque le titulaire est mis dans l’impossibilité d’exécuter le marché du fait d’un évènement ayant le caractère de force majeure</w:t>
      </w:r>
    </w:p>
    <w:p w14:paraId="6BFC96E6" w14:textId="77777777" w:rsidR="00D644E5" w:rsidRPr="00DA3A3B" w:rsidRDefault="00D644E5" w:rsidP="2D113B91">
      <w:pPr>
        <w:pStyle w:val="Titre2"/>
        <w:numPr>
          <w:ilvl w:val="1"/>
          <w:numId w:val="10"/>
        </w:numPr>
        <w:rPr>
          <w:lang w:eastAsia="en-US"/>
        </w:rPr>
      </w:pPr>
      <w:bookmarkStart w:id="116" w:name="_Toc190784050"/>
      <w:r w:rsidRPr="00DA3A3B">
        <w:rPr>
          <w:lang w:eastAsia="en-US"/>
        </w:rPr>
        <w:t>Exécution aux frais et risques</w:t>
      </w:r>
      <w:bookmarkEnd w:id="114"/>
      <w:bookmarkEnd w:id="115"/>
      <w:bookmarkEnd w:id="116"/>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117" w:name="_Toc190784051"/>
      <w:r w:rsidRPr="00386CC9">
        <w:rPr>
          <w:lang w:eastAsia="en-US"/>
        </w:rPr>
        <w:t>Litiges</w:t>
      </w:r>
      <w:bookmarkEnd w:id="111"/>
      <w:bookmarkEnd w:id="117"/>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118" w:name="_Toc20478179"/>
      <w:bookmarkStart w:id="119" w:name="_Toc190784052"/>
      <w:r w:rsidRPr="00386CC9">
        <w:rPr>
          <w:lang w:eastAsia="en-US"/>
        </w:rPr>
        <w:t>Obligations du Titulaire au r</w:t>
      </w:r>
      <w:r w:rsidR="00C11222">
        <w:rPr>
          <w:lang w:eastAsia="en-US"/>
        </w:rPr>
        <w:t>egard de sa situation fiscale et</w:t>
      </w:r>
      <w:r w:rsidRPr="00386CC9">
        <w:rPr>
          <w:lang w:eastAsia="en-US"/>
        </w:rPr>
        <w:t xml:space="preserve"> sociale</w:t>
      </w:r>
      <w:bookmarkEnd w:id="118"/>
      <w:bookmarkEnd w:id="119"/>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proofErr w:type="gramStart"/>
      <w:r w:rsidRPr="2D113B91">
        <w:rPr>
          <w:lang w:eastAsia="fr-FR"/>
        </w:rPr>
        <w:lastRenderedPageBreak/>
        <w:t>d’une</w:t>
      </w:r>
      <w:proofErr w:type="gramEnd"/>
      <w:r w:rsidRPr="2D113B91">
        <w:rPr>
          <w:lang w:eastAsia="fr-FR"/>
        </w:rPr>
        <w:t xml:space="preserv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r w:rsidRPr="2D113B91">
        <w:rPr>
          <w:lang w:eastAsia="fr-FR"/>
        </w:rPr>
        <w:t xml:space="preserve">d’un numéro unique d’identification permettant à l’acheteur d’accéder aux informations pertinentes par le biais du site internet suivant : </w:t>
      </w:r>
      <w:hyperlink r:id="rId14">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B97DC9" w:rsidP="00D644E5">
      <w:pPr>
        <w:suppressAutoHyphens w:val="0"/>
        <w:jc w:val="center"/>
        <w:rPr>
          <w:rFonts w:cs="Arial"/>
          <w:color w:val="0000FF"/>
          <w:szCs w:val="22"/>
          <w:u w:val="single"/>
          <w:lang w:eastAsia="fr-FR"/>
        </w:rPr>
      </w:pPr>
      <w:hyperlink r:id="rId15"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120" w:name="_Toc190784053"/>
      <w:r>
        <w:lastRenderedPageBreak/>
        <w:t>ACTE D’</w:t>
      </w:r>
      <w:r w:rsidRPr="007A4A51">
        <w:t xml:space="preserve">ENGAGEMENT </w:t>
      </w:r>
      <w:r w:rsidRPr="2D113B91">
        <w:rPr>
          <w:i/>
          <w:iCs/>
          <w:sz w:val="22"/>
          <w:szCs w:val="22"/>
        </w:rPr>
        <w:t>(PARTIE A COMPLETER PAR LE CANDIDAT)</w:t>
      </w:r>
      <w:bookmarkEnd w:id="120"/>
    </w:p>
    <w:p w14:paraId="6A265BED" w14:textId="513F5F1C" w:rsidR="00D644E5" w:rsidRDefault="00D644E5" w:rsidP="00234EE9">
      <w:pPr>
        <w:pStyle w:val="Titre2"/>
        <w:numPr>
          <w:ilvl w:val="1"/>
          <w:numId w:val="10"/>
        </w:numPr>
      </w:pPr>
      <w:bookmarkStart w:id="121" w:name="_Toc190784054"/>
      <w:r w:rsidRPr="00765C14">
        <w:t>Cet acte d'engagement correspond :</w:t>
      </w:r>
      <w:bookmarkEnd w:id="121"/>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Pr>
          <w:rFonts w:cs="Arial"/>
        </w:rPr>
        <w:tab/>
      </w:r>
      <w:proofErr w:type="gramStart"/>
      <w:r>
        <w:rPr>
          <w:rFonts w:cs="Arial"/>
        </w:rPr>
        <w:t>au</w:t>
      </w:r>
      <w:proofErr w:type="gramEnd"/>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2DF9AC5C" w14:textId="77777777" w:rsidR="00D644E5" w:rsidRPr="00AE2E6F" w:rsidRDefault="00D644E5" w:rsidP="00234EE9">
      <w:pPr>
        <w:pStyle w:val="Paragraphedeliste"/>
        <w:numPr>
          <w:ilvl w:val="0"/>
          <w:numId w:val="25"/>
        </w:numPr>
        <w:rPr>
          <w:color w:val="000000" w:themeColor="text2"/>
        </w:rPr>
      </w:pPr>
    </w:p>
    <w:p w14:paraId="5E562029" w14:textId="77777777" w:rsidR="00D644E5" w:rsidRPr="00AE2E6F" w:rsidRDefault="00D644E5" w:rsidP="2D113B91">
      <w:pPr>
        <w:tabs>
          <w:tab w:val="left" w:pos="851"/>
        </w:tabs>
        <w:spacing w:after="0"/>
        <w:ind w:left="851"/>
        <w:rPr>
          <w:rFonts w:cs="Arial"/>
          <w:color w:val="000000" w:themeColor="text2"/>
        </w:rPr>
      </w:pPr>
      <w:r w:rsidRPr="00AE2E6F">
        <w:rPr>
          <w:color w:val="000000" w:themeColor="text2"/>
        </w:rPr>
        <w:fldChar w:fldCharType="begin">
          <w:ffData>
            <w:name w:val=""/>
            <w:enabled/>
            <w:calcOnExit w:val="0"/>
            <w:checkBox>
              <w:size w:val="20"/>
              <w:default w:val="0"/>
            </w:checkBox>
          </w:ffData>
        </w:fldChar>
      </w:r>
      <w:r w:rsidRPr="00AE2E6F">
        <w:rPr>
          <w:color w:val="000000" w:themeColor="text2"/>
        </w:rPr>
        <w:instrText xml:space="preserve"> FORMCHECKBOX </w:instrText>
      </w:r>
      <w:r w:rsidR="00B97DC9">
        <w:rPr>
          <w:color w:val="000000" w:themeColor="text2"/>
        </w:rPr>
      </w:r>
      <w:r w:rsidR="00B97DC9">
        <w:rPr>
          <w:color w:val="000000" w:themeColor="text2"/>
        </w:rPr>
        <w:fldChar w:fldCharType="separate"/>
      </w:r>
      <w:r w:rsidRPr="00AE2E6F">
        <w:rPr>
          <w:color w:val="000000" w:themeColor="text2"/>
        </w:rPr>
        <w:fldChar w:fldCharType="end"/>
      </w:r>
      <w:r w:rsidRPr="00AE2E6F">
        <w:rPr>
          <w:rFonts w:cs="Arial"/>
          <w:color w:val="000000" w:themeColor="text2"/>
        </w:rPr>
        <w:tab/>
      </w:r>
      <w:proofErr w:type="gramStart"/>
      <w:r w:rsidRPr="00AE2E6F">
        <w:rPr>
          <w:rFonts w:cs="Arial"/>
          <w:color w:val="000000" w:themeColor="text2"/>
        </w:rPr>
        <w:t>à</w:t>
      </w:r>
      <w:proofErr w:type="gramEnd"/>
      <w:r w:rsidRPr="00AE2E6F">
        <w:rPr>
          <w:rFonts w:cs="Arial"/>
          <w:color w:val="000000" w:themeColor="text2"/>
        </w:rPr>
        <w:t xml:space="preserve"> l’offre de base.</w:t>
      </w:r>
    </w:p>
    <w:p w14:paraId="291C9D76" w14:textId="77777777" w:rsidR="00D644E5" w:rsidRPr="00B05C4B" w:rsidRDefault="00D644E5" w:rsidP="00D644E5">
      <w:pPr>
        <w:tabs>
          <w:tab w:val="left" w:pos="851"/>
        </w:tabs>
        <w:spacing w:after="0"/>
        <w:rPr>
          <w:rFonts w:cs="Arial"/>
          <w:color w:val="0000FF"/>
        </w:rPr>
      </w:pPr>
    </w:p>
    <w:p w14:paraId="4AC29680" w14:textId="77777777" w:rsidR="00D644E5" w:rsidRDefault="00D644E5" w:rsidP="00234EE9">
      <w:pPr>
        <w:pStyle w:val="Titre2"/>
        <w:numPr>
          <w:ilvl w:val="1"/>
          <w:numId w:val="10"/>
        </w:numPr>
      </w:pPr>
      <w:bookmarkStart w:id="122" w:name="_Toc190784055"/>
      <w:r w:rsidRPr="00765C14">
        <w:t>Engagement</w:t>
      </w:r>
      <w:r>
        <w:t xml:space="preserve"> </w:t>
      </w:r>
      <w:r w:rsidRPr="00166B56">
        <w:t xml:space="preserve">du </w:t>
      </w:r>
      <w:r>
        <w:t xml:space="preserve">soumissionnaire </w:t>
      </w:r>
      <w:r w:rsidRPr="00166B56">
        <w:t xml:space="preserve">ou du groupement </w:t>
      </w:r>
      <w:r>
        <w:t>d’opérateurs économiques</w:t>
      </w:r>
      <w:bookmarkEnd w:id="122"/>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19152571" w:rsidR="00D644E5" w:rsidRPr="00581A5B" w:rsidRDefault="2D113B91" w:rsidP="2D113B91">
      <w:pPr>
        <w:tabs>
          <w:tab w:val="left" w:pos="851"/>
        </w:tabs>
        <w:rPr>
          <w:rFonts w:cs="Arial"/>
        </w:rPr>
      </w:pPr>
      <w:r w:rsidRPr="00977004">
        <w:rPr>
          <w:rFonts w:cs="Arial"/>
        </w:rPr>
        <w:t>Après avoir pris connaissance des pièces constitutives du marché p</w:t>
      </w:r>
      <w:r w:rsidR="00977004" w:rsidRPr="00977004">
        <w:rPr>
          <w:rFonts w:cs="Arial"/>
        </w:rPr>
        <w:t>ublic énumérées à l’article 2.9</w:t>
      </w:r>
      <w:r w:rsidRPr="00977004">
        <w:rPr>
          <w:rFonts w:cs="Arial"/>
        </w:rPr>
        <w:t xml:space="preserve"> du présent document et conformément à leurs clauses</w:t>
      </w:r>
      <w:r w:rsidRPr="2D113B91">
        <w:rPr>
          <w:rFonts w:cs="Arial"/>
        </w:rPr>
        <w:t>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97DC9">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97DC9">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2D113B91">
      <w:pPr>
        <w:pStyle w:val="Titre3"/>
        <w:numPr>
          <w:ilvl w:val="2"/>
          <w:numId w:val="10"/>
        </w:numPr>
        <w:rPr>
          <w:lang w:eastAsia="fr-FR" w:bidi="ml"/>
        </w:rPr>
      </w:pPr>
      <w:r w:rsidRPr="2D113B91">
        <w:rPr>
          <w:lang w:eastAsia="fr-FR" w:bidi="ml"/>
        </w:rPr>
        <w:lastRenderedPageBreak/>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t>Prix :</w:t>
      </w:r>
    </w:p>
    <w:p w14:paraId="4BA565E8" w14:textId="765F8EBA" w:rsidR="00D644E5" w:rsidRDefault="2D113B91" w:rsidP="2D113B91">
      <w:pPr>
        <w:suppressAutoHyphens w:val="0"/>
        <w:rPr>
          <w:rFonts w:cs="Arial"/>
          <w:color w:val="0000FF"/>
          <w:lang w:eastAsia="fr-FR" w:bidi="ml"/>
        </w:rPr>
      </w:pPr>
      <w:r w:rsidRPr="2D113B91">
        <w:rPr>
          <w:rFonts w:cs="Arial"/>
          <w:lang w:eastAsia="fr-FR" w:bidi="ml"/>
        </w:rPr>
        <w:t>Le soumissionnaire s’engage sur la base de l’offre fi</w:t>
      </w:r>
      <w:r w:rsidRPr="00AE2E6F">
        <w:rPr>
          <w:rFonts w:cs="Arial"/>
          <w:color w:val="000000" w:themeColor="text2"/>
          <w:lang w:eastAsia="fr-FR" w:bidi="ml"/>
        </w:rPr>
        <w:t>nancière basée sur les prix indiqués dans l’annexe financière jointe au présent document</w:t>
      </w:r>
      <w:r w:rsidR="00AE2E6F" w:rsidRPr="00AE2E6F">
        <w:rPr>
          <w:rFonts w:cs="Arial"/>
          <w:color w:val="000000" w:themeColor="text2"/>
          <w:lang w:eastAsia="fr-FR" w:bidi="ml"/>
        </w:rPr>
        <w:t>.</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E580821">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9391" w:type="dxa"/>
        <w:tblInd w:w="-40" w:type="dxa"/>
        <w:tblLayout w:type="fixed"/>
        <w:tblLook w:val="0000" w:firstRow="0" w:lastRow="0" w:firstColumn="0" w:lastColumn="0" w:noHBand="0" w:noVBand="0"/>
      </w:tblPr>
      <w:tblGrid>
        <w:gridCol w:w="3863"/>
        <w:gridCol w:w="3685"/>
        <w:gridCol w:w="1843"/>
      </w:tblGrid>
      <w:tr w:rsidR="00D644E5" w14:paraId="65F449F2" w14:textId="77777777" w:rsidTr="00AE2E6F">
        <w:trPr>
          <w:trHeight w:val="567"/>
        </w:trPr>
        <w:tc>
          <w:tcPr>
            <w:tcW w:w="3863"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r w:rsidRPr="2D113B91">
              <w:rPr>
                <w:rFonts w:cs="Arial"/>
                <w:b/>
                <w:bCs/>
              </w:rPr>
              <w:t>du groupement conjoint</w:t>
            </w:r>
          </w:p>
        </w:tc>
        <w:tc>
          <w:tcPr>
            <w:tcW w:w="5528"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r w:rsidRPr="2D113B91">
              <w:rPr>
                <w:rFonts w:cs="Arial"/>
                <w:b/>
                <w:bCs/>
              </w:rPr>
              <w:t>du groupement conjoint</w:t>
            </w:r>
          </w:p>
        </w:tc>
      </w:tr>
      <w:tr w:rsidR="00D644E5" w14:paraId="65E62007" w14:textId="77777777" w:rsidTr="00AE2E6F">
        <w:trPr>
          <w:trHeight w:val="567"/>
        </w:trPr>
        <w:tc>
          <w:tcPr>
            <w:tcW w:w="3863"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685"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1843"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r w:rsidRPr="2D113B91">
              <w:rPr>
                <w:rFonts w:cs="Arial"/>
                <w:b/>
                <w:bCs/>
              </w:rPr>
              <w:t>de la prestation</w:t>
            </w:r>
          </w:p>
        </w:tc>
      </w:tr>
      <w:tr w:rsidR="00D644E5" w14:paraId="4CFD981B" w14:textId="77777777" w:rsidTr="00AE2E6F">
        <w:trPr>
          <w:trHeight w:val="1021"/>
        </w:trPr>
        <w:tc>
          <w:tcPr>
            <w:tcW w:w="3863"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685"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1843"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AE2E6F">
        <w:trPr>
          <w:trHeight w:val="1021"/>
        </w:trPr>
        <w:tc>
          <w:tcPr>
            <w:tcW w:w="3863"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685"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1843"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AE2E6F">
        <w:trPr>
          <w:trHeight w:val="1021"/>
        </w:trPr>
        <w:tc>
          <w:tcPr>
            <w:tcW w:w="3863"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685"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1843"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(En cas de groupement conjoint, joindre un d’identité bancaire ou postal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lastRenderedPageBreak/>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B97DC9">
        <w:rPr>
          <w:lang w:eastAsia="fr-FR" w:bidi="ml"/>
        </w:rPr>
      </w:r>
      <w:r w:rsidR="00B97DC9">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B97DC9">
        <w:rPr>
          <w:lang w:eastAsia="fr-FR" w:bidi="ml"/>
        </w:rPr>
      </w:r>
      <w:r w:rsidR="00B97DC9">
        <w:rPr>
          <w:lang w:eastAsia="fr-FR" w:bidi="ml"/>
        </w:rPr>
        <w:fldChar w:fldCharType="separate"/>
      </w:r>
      <w:r w:rsidRPr="2D113B91">
        <w:fldChar w:fldCharType="end"/>
      </w:r>
      <w:r w:rsidRPr="003261C6">
        <w:rPr>
          <w:lang w:eastAsia="fr-FR" w:bidi="ml"/>
        </w:rPr>
        <w:t xml:space="preserve"> non </w:t>
      </w:r>
    </w:p>
    <w:p w14:paraId="04AF3190" w14:textId="00D8E946"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applicable </w:t>
      </w:r>
      <w:r w:rsidRPr="00AE2E6F">
        <w:rPr>
          <w:color w:val="000000" w:themeColor="text2"/>
          <w:lang w:eastAsia="fr-FR" w:bidi="ml"/>
        </w:rPr>
        <w:t xml:space="preserve">aux services </w:t>
      </w:r>
      <w:r w:rsidRPr="2D113B91">
        <w:rPr>
          <w:lang w:eastAsia="fr-FR" w:bidi="ml"/>
        </w:rPr>
        <w:t>objets du marché 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a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B97DC9">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B97DC9">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123" w:name="_Toc190784056"/>
      <w:r>
        <w:t>Signature du marché public par le soumissionnaire, candidat individuel, ou, en cas groupement d’opérateurs économiques, le mandataire dûment habilité ou chaque membre du groupement</w:t>
      </w:r>
      <w:bookmarkEnd w:id="123"/>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tblInd w:w="-40" w:type="dxa"/>
        <w:tblLayout w:type="fixed"/>
        <w:tblLook w:val="0000" w:firstRow="0" w:lastRow="0" w:firstColumn="0" w:lastColumn="0" w:noHBand="0" w:noVBand="0"/>
      </w:tblPr>
      <w:tblGrid>
        <w:gridCol w:w="4644"/>
        <w:gridCol w:w="2694"/>
        <w:gridCol w:w="3056"/>
      </w:tblGrid>
      <w:tr w:rsidR="00D644E5" w14:paraId="1D18E410" w14:textId="77777777" w:rsidTr="2D113B91">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r w:rsidRPr="2D113B91">
              <w:rPr>
                <w:rFonts w:cs="Arial"/>
                <w:b/>
                <w:bCs/>
              </w:rPr>
              <w:t>du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2D113B91">
        <w:trPr>
          <w:trHeight w:val="1021"/>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lastRenderedPageBreak/>
        <w:t>(*) Le signataire doit avoir le pouvoir d’engager la personne qu’il représente.</w:t>
      </w:r>
    </w:p>
    <w:p w14:paraId="78226B38" w14:textId="77777777" w:rsidR="00D644E5" w:rsidRDefault="2D113B91" w:rsidP="2D113B91">
      <w:pPr>
        <w:pStyle w:val="Titre3"/>
        <w:numPr>
          <w:ilvl w:val="2"/>
          <w:numId w:val="10"/>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E580821">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B97DC9">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77777777" w:rsidR="00D644E5" w:rsidRDefault="00D644E5" w:rsidP="2D113B9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D644E5" w14:paraId="0B82346E" w14:textId="77777777" w:rsidTr="2D113B91">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r w:rsidRPr="2D113B91">
              <w:rPr>
                <w:rFonts w:cs="Arial"/>
                <w:b/>
                <w:bCs/>
              </w:rPr>
              <w:t>du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2D113B91">
        <w:trPr>
          <w:trHeight w:val="1021"/>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2D113B91">
        <w:trPr>
          <w:trHeight w:val="1021"/>
        </w:trPr>
        <w:tc>
          <w:tcPr>
            <w:tcW w:w="4644"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2D113B91">
        <w:trPr>
          <w:trHeight w:val="1021"/>
        </w:trPr>
        <w:tc>
          <w:tcPr>
            <w:tcW w:w="4644"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2D113B91">
        <w:trPr>
          <w:trHeight w:val="1021"/>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2D113B91">
        <w:trPr>
          <w:trHeight w:val="1021"/>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7777777" w:rsidR="00D644E5" w:rsidRDefault="00D644E5" w:rsidP="00234EE9">
      <w:pPr>
        <w:pStyle w:val="Titre2"/>
        <w:numPr>
          <w:ilvl w:val="1"/>
          <w:numId w:val="10"/>
        </w:numPr>
      </w:pPr>
      <w:bookmarkStart w:id="124" w:name="_Toc190784057"/>
      <w:r>
        <w:t>Identification du (des) pouvoirs adjudicateurs</w:t>
      </w:r>
      <w:bookmarkEnd w:id="124"/>
    </w:p>
    <w:p w14:paraId="2C3D9275" w14:textId="77777777" w:rsidR="00D644E5" w:rsidRDefault="2D113B91" w:rsidP="2D113B91">
      <w:pPr>
        <w:pStyle w:val="Titre3"/>
        <w:numPr>
          <w:ilvl w:val="2"/>
          <w:numId w:val="10"/>
        </w:numPr>
        <w:rPr>
          <w:b/>
          <w:bCs/>
          <w:i/>
          <w:iCs/>
          <w:sz w:val="18"/>
          <w:szCs w:val="18"/>
        </w:rPr>
      </w:pPr>
      <w:r>
        <w:t>Désignation du pouvoir adjudicateur</w:t>
      </w:r>
    </w:p>
    <w:p w14:paraId="14DD1425" w14:textId="77777777" w:rsidR="00D644E5" w:rsidRPr="00AE2E6F" w:rsidRDefault="2D113B91" w:rsidP="2D113B91">
      <w:pPr>
        <w:jc w:val="center"/>
        <w:rPr>
          <w:color w:val="000000" w:themeColor="text2"/>
          <w:sz w:val="20"/>
          <w:lang w:bidi="ml"/>
        </w:rPr>
      </w:pPr>
      <w:r w:rsidRPr="00AE2E6F">
        <w:rPr>
          <w:color w:val="000000" w:themeColor="text2"/>
          <w:sz w:val="20"/>
          <w:lang w:bidi="ml"/>
        </w:rPr>
        <w:t>Établissement Français du Sang</w:t>
      </w:r>
    </w:p>
    <w:p w14:paraId="005A9CFF" w14:textId="77777777" w:rsidR="00D644E5" w:rsidRPr="00AE2E6F" w:rsidRDefault="2D113B91" w:rsidP="2D113B91">
      <w:pPr>
        <w:jc w:val="center"/>
        <w:rPr>
          <w:color w:val="000000" w:themeColor="text2"/>
          <w:sz w:val="20"/>
          <w:lang w:bidi="ml"/>
        </w:rPr>
      </w:pPr>
      <w:r w:rsidRPr="00AE2E6F">
        <w:rPr>
          <w:color w:val="000000" w:themeColor="text2"/>
          <w:sz w:val="20"/>
          <w:lang w:bidi="ml"/>
        </w:rPr>
        <w:t>20, Avenue du Stade de France</w:t>
      </w:r>
    </w:p>
    <w:p w14:paraId="2F45960A" w14:textId="77777777" w:rsidR="00D644E5" w:rsidRPr="00AE2E6F" w:rsidRDefault="2D113B91" w:rsidP="2D113B91">
      <w:pPr>
        <w:jc w:val="center"/>
        <w:rPr>
          <w:color w:val="000000" w:themeColor="text2"/>
          <w:sz w:val="20"/>
          <w:lang w:bidi="ml"/>
        </w:rPr>
      </w:pPr>
      <w:r w:rsidRPr="00AE2E6F">
        <w:rPr>
          <w:color w:val="000000" w:themeColor="text2"/>
          <w:sz w:val="20"/>
          <w:lang w:bidi="ml"/>
        </w:rPr>
        <w:t>93218 LA PLAINE SAINT DENIS CEDEX</w:t>
      </w:r>
    </w:p>
    <w:p w14:paraId="1B99C857" w14:textId="77777777" w:rsidR="00D644E5" w:rsidRPr="00AE2E6F" w:rsidRDefault="2D113B91" w:rsidP="2D113B91">
      <w:pPr>
        <w:jc w:val="center"/>
        <w:rPr>
          <w:color w:val="000000" w:themeColor="text2"/>
          <w:sz w:val="20"/>
          <w:lang w:bidi="ml"/>
        </w:rPr>
      </w:pPr>
      <w:r w:rsidRPr="00AE2E6F">
        <w:rPr>
          <w:color w:val="000000" w:themeColor="text2"/>
          <w:sz w:val="20"/>
          <w:lang w:bidi="ml"/>
        </w:rPr>
        <w:t>Téléphone : 01 55 93 95 00</w:t>
      </w:r>
    </w:p>
    <w:p w14:paraId="75A77723" w14:textId="77777777" w:rsidR="00D644E5" w:rsidRPr="00AE2E6F" w:rsidRDefault="2D113B91" w:rsidP="2D113B91">
      <w:pPr>
        <w:jc w:val="center"/>
        <w:rPr>
          <w:color w:val="000000" w:themeColor="text2"/>
          <w:sz w:val="20"/>
          <w:lang w:bidi="ml"/>
        </w:rPr>
      </w:pPr>
      <w:r w:rsidRPr="00AE2E6F">
        <w:rPr>
          <w:color w:val="000000" w:themeColor="text2"/>
          <w:sz w:val="20"/>
          <w:lang w:bidi="ml"/>
        </w:rPr>
        <w:t>Télécopie : 01 55 93 96 02</w:t>
      </w:r>
    </w:p>
    <w:p w14:paraId="34926922" w14:textId="77777777" w:rsidR="00D644E5" w:rsidRDefault="2D113B91" w:rsidP="2D113B91">
      <w:pPr>
        <w:pStyle w:val="Titre3"/>
        <w:numPr>
          <w:ilvl w:val="2"/>
          <w:numId w:val="10"/>
        </w:numPr>
        <w:rPr>
          <w:i/>
          <w:iCs/>
          <w:sz w:val="18"/>
          <w:szCs w:val="18"/>
        </w:rPr>
      </w:pPr>
      <w:r>
        <w:t>Nom, prénom, qualité du signataire du marché public :</w:t>
      </w:r>
    </w:p>
    <w:p w14:paraId="6FD81B16" w14:textId="77777777" w:rsidR="00D644E5" w:rsidRDefault="2D113B91" w:rsidP="2D113B91">
      <w:pPr>
        <w:tabs>
          <w:tab w:val="left" w:pos="851"/>
        </w:tabs>
        <w:rPr>
          <w:rFonts w:cs="Arial"/>
        </w:rPr>
      </w:pPr>
      <w:r w:rsidRPr="2D113B91">
        <w:rPr>
          <w:rFonts w:cs="Arial"/>
          <w:i/>
          <w:iCs/>
          <w:sz w:val="18"/>
          <w:szCs w:val="18"/>
        </w:rPr>
        <w:t>(Le signataire doit avoir le pouvoir d’engager la personne qu’il représente.)</w:t>
      </w:r>
    </w:p>
    <w:p w14:paraId="5093FDBF" w14:textId="77777777" w:rsidR="00D644E5" w:rsidRPr="00AE2E6F" w:rsidRDefault="2D113B91" w:rsidP="2D113B91">
      <w:pPr>
        <w:tabs>
          <w:tab w:val="left" w:pos="426"/>
          <w:tab w:val="left" w:pos="851"/>
        </w:tabs>
        <w:suppressAutoHyphens w:val="0"/>
        <w:jc w:val="center"/>
        <w:rPr>
          <w:rFonts w:cs="Arial"/>
          <w:color w:val="000000" w:themeColor="text2"/>
          <w:sz w:val="20"/>
          <w:lang w:eastAsia="fr-FR" w:bidi="ml"/>
        </w:rPr>
      </w:pPr>
      <w:r w:rsidRPr="00AE2E6F">
        <w:rPr>
          <w:rFonts w:cs="Kartika"/>
          <w:color w:val="000000" w:themeColor="text2"/>
          <w:sz w:val="20"/>
          <w:lang w:eastAsia="fr-FR" w:bidi="ml"/>
        </w:rPr>
        <w:t>Monsieur le Président de l’Établissement Français du Sang (adresse identique)</w:t>
      </w:r>
    </w:p>
    <w:p w14:paraId="6C6D01D7" w14:textId="77777777" w:rsidR="00D644E5" w:rsidRPr="004D4DC6"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091DA0FD" w14:textId="77777777" w:rsidR="00D644E5" w:rsidRPr="00AE2E6F" w:rsidRDefault="00D644E5" w:rsidP="2D113B91">
      <w:pPr>
        <w:pStyle w:val="CorpdetexteJT"/>
        <w:jc w:val="center"/>
        <w:rPr>
          <w:rFonts w:asciiTheme="minorHAnsi" w:hAnsiTheme="minorHAnsi" w:cstheme="minorBidi"/>
          <w:color w:val="000000" w:themeColor="text2"/>
          <w:sz w:val="20"/>
          <w:szCs w:val="20"/>
          <w:lang w:eastAsia="fr-FR" w:bidi="ml"/>
        </w:rPr>
      </w:pPr>
      <w:r w:rsidRPr="002D03BB">
        <w:rPr>
          <w:rFonts w:ascii="Arial" w:hAnsi="Arial" w:cs="Arial"/>
        </w:rPr>
        <w:tab/>
      </w:r>
      <w:r w:rsidRPr="00AE2E6F">
        <w:rPr>
          <w:rFonts w:asciiTheme="minorHAnsi" w:hAnsiTheme="minorHAnsi" w:cstheme="minorBidi"/>
          <w:color w:val="000000" w:themeColor="text2"/>
          <w:sz w:val="20"/>
          <w:szCs w:val="20"/>
          <w:lang w:eastAsia="fr-FR" w:bidi="ml"/>
        </w:rPr>
        <w:t>Monsieur le Président de l’Établissement Français du Sang (adresse identique)</w:t>
      </w:r>
    </w:p>
    <w:p w14:paraId="50B5B2AC" w14:textId="77777777" w:rsidR="00D644E5" w:rsidRPr="00EA4CE6" w:rsidRDefault="2D113B91" w:rsidP="2D113B91">
      <w:pPr>
        <w:pStyle w:val="Titre3"/>
        <w:numPr>
          <w:ilvl w:val="2"/>
          <w:numId w:val="10"/>
        </w:numPr>
        <w:rPr>
          <w:lang w:eastAsia="fr-FR" w:bidi="ml"/>
        </w:rPr>
      </w:pPr>
      <w:r w:rsidRPr="2D113B91">
        <w:rPr>
          <w:lang w:eastAsia="fr-FR" w:bidi="ml"/>
        </w:rPr>
        <w:lastRenderedPageBreak/>
        <w:t xml:space="preserve">Représentant du pouvoir adjudicateur pour l’exécution du marché public et ordonnateur des paiements : </w:t>
      </w:r>
    </w:p>
    <w:p w14:paraId="65944321" w14:textId="77777777" w:rsidR="00D644E5" w:rsidRPr="00AE2E6F" w:rsidRDefault="2D113B91" w:rsidP="2D113B91">
      <w:pPr>
        <w:tabs>
          <w:tab w:val="left" w:pos="426"/>
          <w:tab w:val="left" w:pos="851"/>
        </w:tabs>
        <w:suppressAutoHyphens w:val="0"/>
        <w:jc w:val="center"/>
        <w:rPr>
          <w:rFonts w:cs="Arial"/>
          <w:color w:val="000000" w:themeColor="text2"/>
          <w:sz w:val="20"/>
          <w:lang w:eastAsia="fr-FR" w:bidi="ml"/>
        </w:rPr>
      </w:pPr>
      <w:r w:rsidRPr="00AE2E6F">
        <w:rPr>
          <w:rFonts w:cs="Arial"/>
          <w:color w:val="000000" w:themeColor="text2"/>
          <w:sz w:val="20"/>
          <w:lang w:eastAsia="fr-FR" w:bidi="ml"/>
        </w:rPr>
        <w:t>Monsieur le Président de l’Établissement Français du Sang (adresse identique)</w:t>
      </w:r>
    </w:p>
    <w:p w14:paraId="5F593951" w14:textId="77777777" w:rsidR="00D644E5" w:rsidRPr="00AE2E6F" w:rsidRDefault="2D113B91" w:rsidP="2D113B91">
      <w:pPr>
        <w:pStyle w:val="Titre3"/>
        <w:numPr>
          <w:ilvl w:val="2"/>
          <w:numId w:val="10"/>
        </w:numPr>
        <w:rPr>
          <w:i/>
          <w:iCs/>
          <w:color w:val="000000" w:themeColor="text2"/>
          <w:sz w:val="18"/>
          <w:szCs w:val="18"/>
        </w:rPr>
      </w:pPr>
      <w:r>
        <w:t>Désignation, adresse, numéro de téléphone du comptable assignataire :</w:t>
      </w:r>
    </w:p>
    <w:p w14:paraId="7CF8D148" w14:textId="77777777" w:rsidR="00D644E5" w:rsidRPr="00AE2E6F" w:rsidRDefault="2D113B91" w:rsidP="2D113B91">
      <w:pPr>
        <w:tabs>
          <w:tab w:val="left" w:pos="426"/>
          <w:tab w:val="left" w:pos="851"/>
        </w:tabs>
        <w:suppressAutoHyphens w:val="0"/>
        <w:jc w:val="center"/>
        <w:rPr>
          <w:rFonts w:cs="Arial"/>
          <w:color w:val="000000" w:themeColor="text2"/>
          <w:sz w:val="20"/>
          <w:u w:val="single"/>
          <w:lang w:eastAsia="fr-FR" w:bidi="ml"/>
        </w:rPr>
      </w:pPr>
      <w:r w:rsidRPr="00AE2E6F">
        <w:rPr>
          <w:rFonts w:cs="Arial"/>
          <w:color w:val="000000" w:themeColor="text2"/>
          <w:sz w:val="20"/>
          <w:u w:val="single"/>
          <w:lang w:eastAsia="fr-FR" w:bidi="ml"/>
        </w:rPr>
        <w:t>Pour l’EFS</w:t>
      </w:r>
    </w:p>
    <w:p w14:paraId="7081B6D5" w14:textId="77777777" w:rsidR="00D644E5" w:rsidRPr="00AE2E6F" w:rsidRDefault="2D113B91" w:rsidP="2D113B91">
      <w:pPr>
        <w:tabs>
          <w:tab w:val="left" w:pos="426"/>
          <w:tab w:val="left" w:pos="851"/>
        </w:tabs>
        <w:suppressAutoHyphens w:val="0"/>
        <w:jc w:val="center"/>
        <w:rPr>
          <w:rFonts w:cs="Arial"/>
          <w:color w:val="000000" w:themeColor="text2"/>
          <w:sz w:val="20"/>
          <w:lang w:eastAsia="fr-FR" w:bidi="ml"/>
        </w:rPr>
      </w:pPr>
      <w:r w:rsidRPr="00AE2E6F">
        <w:rPr>
          <w:rFonts w:cs="Kartika"/>
          <w:color w:val="000000" w:themeColor="text2"/>
          <w:sz w:val="20"/>
          <w:lang w:eastAsia="fr-FR" w:bidi="ml"/>
        </w:rPr>
        <w:t>Monsieur l’Agent Comptable Principal (adresse identique)</w:t>
      </w:r>
    </w:p>
    <w:p w14:paraId="05C38AF4" w14:textId="77777777" w:rsidR="00D644E5" w:rsidRPr="00765C14" w:rsidRDefault="2D113B91" w:rsidP="2D113B91">
      <w:pPr>
        <w:pStyle w:val="Titre3"/>
        <w:numPr>
          <w:ilvl w:val="2"/>
          <w:numId w:val="10"/>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125" w:name="_Toc190784058"/>
      <w:r w:rsidRPr="0052688F">
        <w:lastRenderedPageBreak/>
        <w:t>DECISION DU (DES) POUVOIR(S) ADJUDICATEUR(S)</w:t>
      </w:r>
      <w:r w:rsidR="0085466C">
        <w:t xml:space="preserve"> </w:t>
      </w:r>
      <w:r w:rsidR="0085466C" w:rsidRPr="2D113B91">
        <w:rPr>
          <w:i/>
          <w:iCs/>
          <w:sz w:val="22"/>
          <w:szCs w:val="22"/>
        </w:rPr>
        <w:t>(PARTIE A COMPLETER PAR L’EFS)</w:t>
      </w:r>
      <w:bookmarkEnd w:id="125"/>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les lots ci-après seulement : ……………………………………………..</w:t>
      </w:r>
    </w:p>
    <w:p w14:paraId="55DB2CDA" w14:textId="77777777" w:rsidR="00D644E5" w:rsidRPr="00791F91" w:rsidRDefault="00D644E5" w:rsidP="2D113B91">
      <w:pPr>
        <w:suppressAutoHyphens w:val="0"/>
        <w:spacing w:after="60"/>
        <w:ind w:left="567"/>
        <w:rPr>
          <w:rFonts w:cs="Arial"/>
          <w:i/>
          <w:iCs/>
          <w:sz w:val="16"/>
          <w:szCs w:val="16"/>
          <w:lang w:eastAsia="fr-FR" w:bidi="ml"/>
        </w:rPr>
      </w:pPr>
      <w:r w:rsidRPr="00791F91">
        <w:rPr>
          <w:rFonts w:cs="Arial"/>
          <w:i/>
          <w:iCs/>
          <w:sz w:val="16"/>
          <w:szCs w:val="16"/>
          <w:lang w:eastAsia="fr-FR" w:bidi="ml"/>
        </w:rPr>
        <w:tab/>
      </w:r>
      <w:r w:rsidRPr="2D113B91">
        <w:rPr>
          <w:rFonts w:cs="Arial"/>
          <w:i/>
          <w:iCs/>
          <w:sz w:val="16"/>
          <w:szCs w:val="16"/>
          <w:lang w:eastAsia="fr-FR" w:bidi="ml"/>
        </w:rPr>
        <w:t>(Indiquer les lots pour lesquels le candidat est retenu)</w:t>
      </w:r>
    </w:p>
    <w:p w14:paraId="07253AE8" w14:textId="77777777"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3A518736" w14:textId="77777777" w:rsidR="00D644E5" w:rsidRPr="002D03BB" w:rsidRDefault="2D113B91" w:rsidP="2D113B91">
      <w:pPr>
        <w:suppressAutoHyphens w:val="0"/>
        <w:rPr>
          <w:rFonts w:cs="Arial"/>
          <w:i/>
          <w:iCs/>
          <w:color w:val="FF0000"/>
          <w:sz w:val="18"/>
          <w:szCs w:val="18"/>
          <w:lang w:eastAsia="fr-FR" w:bidi="ml"/>
        </w:rPr>
      </w:pPr>
      <w:r w:rsidRPr="2D113B91">
        <w:rPr>
          <w:rFonts w:cs="Arial"/>
          <w:i/>
          <w:iCs/>
          <w:color w:val="FF0000"/>
          <w:sz w:val="18"/>
          <w:szCs w:val="18"/>
          <w:lang w:eastAsia="fr-FR" w:bidi="ml"/>
        </w:rPr>
        <w:t>(L’acheteur coche la case correspondante.)</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B97DC9">
        <w:rPr>
          <w:rFonts w:cs="Arial"/>
          <w:lang w:eastAsia="fr-FR" w:bidi="ml"/>
        </w:rPr>
      </w:r>
      <w:r w:rsidR="00B97DC9">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0DA9A963" w14:textId="77777777" w:rsidR="00D644E5" w:rsidRPr="0082316D" w:rsidRDefault="2D113B91" w:rsidP="2D113B91">
      <w:pPr>
        <w:suppressAutoHyphens w:val="0"/>
        <w:rPr>
          <w:rFonts w:cs="Arial"/>
          <w:i/>
          <w:iCs/>
          <w:color w:val="FF0000"/>
          <w:sz w:val="20"/>
          <w:lang w:eastAsia="fr-FR" w:bidi="ml"/>
        </w:rPr>
      </w:pPr>
      <w:r w:rsidRPr="2D113B91">
        <w:rPr>
          <w:rFonts w:cs="Arial"/>
          <w:i/>
          <w:iCs/>
          <w:color w:val="FF0000"/>
          <w:sz w:val="20"/>
          <w:lang w:eastAsia="fr-FR" w:bidi="ml"/>
        </w:rPr>
        <w:t>Ajouter si nécessaire PV négociations/compléments de candidature/demande de régularisation (Liste non exhaustive)</w:t>
      </w:r>
    </w:p>
    <w:p w14:paraId="6399722C" w14:textId="77777777" w:rsidR="00D644E5" w:rsidRPr="00791F91" w:rsidRDefault="00D644E5" w:rsidP="2D113B91">
      <w:pPr>
        <w:tabs>
          <w:tab w:val="left" w:pos="5245"/>
          <w:tab w:val="left" w:pos="7371"/>
          <w:tab w:val="left" w:pos="7655"/>
        </w:tabs>
        <w:suppressAutoHyphens w:val="0"/>
        <w:rPr>
          <w:rFonts w:cs="Arial"/>
          <w:lang w:eastAsia="fr-FR" w:bidi="ml"/>
        </w:rPr>
      </w:pPr>
      <w:r w:rsidRPr="00791F91">
        <w:rPr>
          <w:rFonts w:cs="Arial"/>
          <w:lang w:eastAsia="fr-FR" w:bidi="ml"/>
        </w:rPr>
        <w:tab/>
        <w:t>A : …………………</w:t>
      </w:r>
      <w:proofErr w:type="gramStart"/>
      <w:r w:rsidRPr="00791F91">
        <w:rPr>
          <w:rFonts w:cs="Arial"/>
          <w:lang w:eastAsia="fr-FR" w:bidi="ml"/>
        </w:rPr>
        <w:t>… ,</w:t>
      </w:r>
      <w:proofErr w:type="gramEnd"/>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276AF475" w:rsidR="0005386A" w:rsidRPr="00E804D8" w:rsidRDefault="0005386A" w:rsidP="000165E3">
      <w:pPr>
        <w:spacing w:before="0" w:after="0"/>
        <w:rPr>
          <w:rFonts w:cs="Arial"/>
          <w:szCs w:val="22"/>
        </w:rPr>
      </w:pPr>
    </w:p>
    <w:sectPr w:rsidR="0005386A" w:rsidRPr="00E804D8" w:rsidSect="0065402E">
      <w:headerReference w:type="default" r:id="rId16"/>
      <w:footerReference w:type="default" r:id="rId17"/>
      <w:headerReference w:type="first" r:id="rId18"/>
      <w:footerReference w:type="first" r:id="rId19"/>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0178D" w14:textId="77777777" w:rsidR="008B4714" w:rsidRDefault="008B4714" w:rsidP="00F51D4C">
      <w:r>
        <w:separator/>
      </w:r>
    </w:p>
  </w:endnote>
  <w:endnote w:type="continuationSeparator" w:id="0">
    <w:p w14:paraId="1664FC1A" w14:textId="77777777" w:rsidR="008B4714" w:rsidRDefault="008B471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19B" w:csb1="00000000"/>
  </w:font>
  <w:font w:name="FreightMacro Pro Medium">
    <w:panose1 w:val="00000000000000000000"/>
    <w:charset w:val="00"/>
    <w:family w:val="modern"/>
    <w:notTrueType/>
    <w:pitch w:val="variable"/>
    <w:sig w:usb0="00000001"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Narrow">
    <w:altName w:val="Yu Gothic UI"/>
    <w:panose1 w:val="00000000000000000000"/>
    <w:charset w:val="80"/>
    <w:family w:val="auto"/>
    <w:notTrueType/>
    <w:pitch w:val="default"/>
    <w:sig w:usb0="00000001" w:usb1="08070000" w:usb2="00000010" w:usb3="00000000" w:csb0="00020000"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6631"/>
      <w:docPartObj>
        <w:docPartGallery w:val="Page Numbers (Bottom of Page)"/>
        <w:docPartUnique/>
      </w:docPartObj>
    </w:sdtPr>
    <w:sdtEndPr/>
    <w:sdtContent>
      <w:p w14:paraId="41CDED47" w14:textId="753DE022" w:rsidR="008B4714" w:rsidRDefault="008B4714">
        <w:pPr>
          <w:jc w:val="center"/>
        </w:pPr>
        <w:r>
          <w:fldChar w:fldCharType="begin"/>
        </w:r>
        <w:r>
          <w:instrText>PAGE   \* MERGEFORMAT</w:instrText>
        </w:r>
        <w:r>
          <w:fldChar w:fldCharType="separate"/>
        </w:r>
        <w:r w:rsidR="00B97DC9">
          <w:rPr>
            <w:noProof/>
          </w:rPr>
          <w:t>20</w:t>
        </w:r>
        <w:r>
          <w:fldChar w:fldCharType="end"/>
        </w:r>
      </w:p>
    </w:sdtContent>
  </w:sdt>
  <w:p w14:paraId="41CDED48" w14:textId="77777777" w:rsidR="008B4714" w:rsidRDefault="008B471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353716"/>
      <w:docPartObj>
        <w:docPartGallery w:val="Page Numbers (Bottom of Page)"/>
        <w:docPartUnique/>
      </w:docPartObj>
    </w:sdtPr>
    <w:sdtEndPr/>
    <w:sdtContent>
      <w:p w14:paraId="41CDED50" w14:textId="4CE4454F" w:rsidR="008B4714" w:rsidRDefault="008B4714">
        <w:pPr>
          <w:jc w:val="center"/>
        </w:pPr>
        <w:r>
          <w:fldChar w:fldCharType="begin"/>
        </w:r>
        <w:r>
          <w:instrText>PAGE   \* MERGEFORMAT</w:instrText>
        </w:r>
        <w:r>
          <w:fldChar w:fldCharType="separate"/>
        </w:r>
        <w:r w:rsidR="00B97DC9">
          <w:rPr>
            <w:noProof/>
          </w:rPr>
          <w:t>1</w:t>
        </w:r>
        <w:r>
          <w:fldChar w:fldCharType="end"/>
        </w:r>
      </w:p>
    </w:sdtContent>
  </w:sdt>
  <w:p w14:paraId="41CDED51" w14:textId="77777777" w:rsidR="008B4714" w:rsidRPr="00813832" w:rsidRDefault="008B4714" w:rsidP="008138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F270" w14:textId="77777777" w:rsidR="008B4714" w:rsidRDefault="008B4714" w:rsidP="00F51D4C">
      <w:r>
        <w:separator/>
      </w:r>
    </w:p>
  </w:footnote>
  <w:footnote w:type="continuationSeparator" w:id="0">
    <w:p w14:paraId="7F3379C8" w14:textId="77777777" w:rsidR="008B4714" w:rsidRDefault="008B471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DED46" w14:textId="77777777" w:rsidR="008B4714" w:rsidRPr="003C7C34" w:rsidRDefault="008B4714"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DED49" w14:textId="77777777" w:rsidR="008B4714" w:rsidRDefault="008B4714"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8B4714" w:rsidRDefault="008B4714"/>
  <w:p w14:paraId="41CDED4B" w14:textId="77777777" w:rsidR="008B4714" w:rsidRDefault="008B4714"/>
  <w:p w14:paraId="41CDED4C" w14:textId="77777777" w:rsidR="008B4714" w:rsidRDefault="008B4714"/>
  <w:p w14:paraId="41CDED4D" w14:textId="77777777" w:rsidR="008B4714" w:rsidRDefault="008B4714"/>
  <w:p w14:paraId="41CDED4E" w14:textId="77777777" w:rsidR="008B4714" w:rsidRDefault="008B4714"/>
  <w:p w14:paraId="41CDED4F" w14:textId="77777777" w:rsidR="008B4714" w:rsidRDefault="008B4714"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7.3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862ADF"/>
    <w:multiLevelType w:val="hybridMultilevel"/>
    <w:tmpl w:val="D310B508"/>
    <w:lvl w:ilvl="0" w:tplc="6AAA6ED4">
      <w:start w:val="1"/>
      <w:numFmt w:val="bullet"/>
      <w:lvlText w:val=""/>
      <w:lvlJc w:val="left"/>
      <w:pPr>
        <w:ind w:left="720" w:hanging="360"/>
      </w:pPr>
      <w:rPr>
        <w:rFonts w:ascii="Symbol" w:hAnsi="Symbol" w:hint="default"/>
      </w:rPr>
    </w:lvl>
    <w:lvl w:ilvl="1" w:tplc="2CE23E4E">
      <w:start w:val="1"/>
      <w:numFmt w:val="bullet"/>
      <w:lvlText w:val="o"/>
      <w:lvlJc w:val="left"/>
      <w:pPr>
        <w:ind w:left="1440" w:hanging="360"/>
      </w:pPr>
      <w:rPr>
        <w:rFonts w:ascii="Courier New" w:hAnsi="Courier New" w:hint="default"/>
      </w:rPr>
    </w:lvl>
    <w:lvl w:ilvl="2" w:tplc="8642FC84">
      <w:start w:val="1"/>
      <w:numFmt w:val="bullet"/>
      <w:lvlText w:val=""/>
      <w:lvlJc w:val="left"/>
      <w:pPr>
        <w:ind w:left="2160" w:hanging="360"/>
      </w:pPr>
      <w:rPr>
        <w:rFonts w:ascii="Wingdings" w:hAnsi="Wingdings" w:hint="default"/>
      </w:rPr>
    </w:lvl>
    <w:lvl w:ilvl="3" w:tplc="F4F643A6">
      <w:start w:val="1"/>
      <w:numFmt w:val="bullet"/>
      <w:lvlText w:val=""/>
      <w:lvlJc w:val="left"/>
      <w:pPr>
        <w:ind w:left="2880" w:hanging="360"/>
      </w:pPr>
      <w:rPr>
        <w:rFonts w:ascii="Symbol" w:hAnsi="Symbol" w:hint="default"/>
      </w:rPr>
    </w:lvl>
    <w:lvl w:ilvl="4" w:tplc="BF1C2A7E">
      <w:start w:val="1"/>
      <w:numFmt w:val="bullet"/>
      <w:lvlText w:val="o"/>
      <w:lvlJc w:val="left"/>
      <w:pPr>
        <w:ind w:left="3600" w:hanging="360"/>
      </w:pPr>
      <w:rPr>
        <w:rFonts w:ascii="Courier New" w:hAnsi="Courier New" w:hint="default"/>
      </w:rPr>
    </w:lvl>
    <w:lvl w:ilvl="5" w:tplc="812298AC">
      <w:start w:val="1"/>
      <w:numFmt w:val="bullet"/>
      <w:lvlText w:val=""/>
      <w:lvlJc w:val="left"/>
      <w:pPr>
        <w:ind w:left="4320" w:hanging="360"/>
      </w:pPr>
      <w:rPr>
        <w:rFonts w:ascii="Wingdings" w:hAnsi="Wingdings" w:hint="default"/>
      </w:rPr>
    </w:lvl>
    <w:lvl w:ilvl="6" w:tplc="96BC22CA">
      <w:start w:val="1"/>
      <w:numFmt w:val="bullet"/>
      <w:lvlText w:val=""/>
      <w:lvlJc w:val="left"/>
      <w:pPr>
        <w:ind w:left="5040" w:hanging="360"/>
      </w:pPr>
      <w:rPr>
        <w:rFonts w:ascii="Symbol" w:hAnsi="Symbol" w:hint="default"/>
      </w:rPr>
    </w:lvl>
    <w:lvl w:ilvl="7" w:tplc="F740D2C4">
      <w:start w:val="1"/>
      <w:numFmt w:val="bullet"/>
      <w:lvlText w:val="o"/>
      <w:lvlJc w:val="left"/>
      <w:pPr>
        <w:ind w:left="5760" w:hanging="360"/>
      </w:pPr>
      <w:rPr>
        <w:rFonts w:ascii="Courier New" w:hAnsi="Courier New" w:hint="default"/>
      </w:rPr>
    </w:lvl>
    <w:lvl w:ilvl="8" w:tplc="2732F39C">
      <w:start w:val="1"/>
      <w:numFmt w:val="bullet"/>
      <w:lvlText w:val=""/>
      <w:lvlJc w:val="left"/>
      <w:pPr>
        <w:ind w:left="6480" w:hanging="360"/>
      </w:pPr>
      <w:rPr>
        <w:rFonts w:ascii="Wingdings" w:hAnsi="Wingdings" w:hint="default"/>
      </w:rPr>
    </w:lvl>
  </w:abstractNum>
  <w:abstractNum w:abstractNumId="4"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6" w15:restartNumberingAfterBreak="0">
    <w:nsid w:val="0B3409D2"/>
    <w:multiLevelType w:val="multilevel"/>
    <w:tmpl w:val="413049C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b w:val="0"/>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3E18B6"/>
    <w:multiLevelType w:val="hybridMultilevel"/>
    <w:tmpl w:val="239ED97C"/>
    <w:lvl w:ilvl="0" w:tplc="040C0001">
      <w:start w:val="1"/>
      <w:numFmt w:val="bullet"/>
      <w:lvlText w:val=""/>
      <w:lvlJc w:val="left"/>
      <w:pPr>
        <w:tabs>
          <w:tab w:val="num" w:pos="1236"/>
        </w:tabs>
        <w:ind w:left="1236" w:hanging="360"/>
      </w:pPr>
      <w:rPr>
        <w:rFonts w:ascii="Symbol" w:hAnsi="Symbol" w:hint="default"/>
      </w:rPr>
    </w:lvl>
    <w:lvl w:ilvl="1" w:tplc="040C0003">
      <w:start w:val="1"/>
      <w:numFmt w:val="bullet"/>
      <w:lvlText w:val="o"/>
      <w:lvlJc w:val="left"/>
      <w:pPr>
        <w:tabs>
          <w:tab w:val="num" w:pos="1956"/>
        </w:tabs>
        <w:ind w:left="1956" w:hanging="360"/>
      </w:pPr>
      <w:rPr>
        <w:rFonts w:ascii="Courier New" w:hAnsi="Courier New" w:cs="Courier New" w:hint="default"/>
      </w:rPr>
    </w:lvl>
    <w:lvl w:ilvl="2" w:tplc="040C0005" w:tentative="1">
      <w:start w:val="1"/>
      <w:numFmt w:val="bullet"/>
      <w:lvlText w:val=""/>
      <w:lvlJc w:val="left"/>
      <w:pPr>
        <w:tabs>
          <w:tab w:val="num" w:pos="2676"/>
        </w:tabs>
        <w:ind w:left="2676" w:hanging="360"/>
      </w:pPr>
      <w:rPr>
        <w:rFonts w:ascii="Wingdings" w:hAnsi="Wingdings" w:hint="default"/>
      </w:rPr>
    </w:lvl>
    <w:lvl w:ilvl="3" w:tplc="040C0001" w:tentative="1">
      <w:start w:val="1"/>
      <w:numFmt w:val="bullet"/>
      <w:lvlText w:val=""/>
      <w:lvlJc w:val="left"/>
      <w:pPr>
        <w:tabs>
          <w:tab w:val="num" w:pos="3396"/>
        </w:tabs>
        <w:ind w:left="3396" w:hanging="360"/>
      </w:pPr>
      <w:rPr>
        <w:rFonts w:ascii="Symbol" w:hAnsi="Symbol" w:hint="default"/>
      </w:rPr>
    </w:lvl>
    <w:lvl w:ilvl="4" w:tplc="040C0003" w:tentative="1">
      <w:start w:val="1"/>
      <w:numFmt w:val="bullet"/>
      <w:lvlText w:val="o"/>
      <w:lvlJc w:val="left"/>
      <w:pPr>
        <w:tabs>
          <w:tab w:val="num" w:pos="4116"/>
        </w:tabs>
        <w:ind w:left="4116" w:hanging="360"/>
      </w:pPr>
      <w:rPr>
        <w:rFonts w:ascii="Courier New" w:hAnsi="Courier New" w:cs="Courier New" w:hint="default"/>
      </w:rPr>
    </w:lvl>
    <w:lvl w:ilvl="5" w:tplc="040C0005" w:tentative="1">
      <w:start w:val="1"/>
      <w:numFmt w:val="bullet"/>
      <w:lvlText w:val=""/>
      <w:lvlJc w:val="left"/>
      <w:pPr>
        <w:tabs>
          <w:tab w:val="num" w:pos="4836"/>
        </w:tabs>
        <w:ind w:left="4836" w:hanging="360"/>
      </w:pPr>
      <w:rPr>
        <w:rFonts w:ascii="Wingdings" w:hAnsi="Wingdings" w:hint="default"/>
      </w:rPr>
    </w:lvl>
    <w:lvl w:ilvl="6" w:tplc="040C0001" w:tentative="1">
      <w:start w:val="1"/>
      <w:numFmt w:val="bullet"/>
      <w:lvlText w:val=""/>
      <w:lvlJc w:val="left"/>
      <w:pPr>
        <w:tabs>
          <w:tab w:val="num" w:pos="5556"/>
        </w:tabs>
        <w:ind w:left="5556" w:hanging="360"/>
      </w:pPr>
      <w:rPr>
        <w:rFonts w:ascii="Symbol" w:hAnsi="Symbol" w:hint="default"/>
      </w:rPr>
    </w:lvl>
    <w:lvl w:ilvl="7" w:tplc="040C0003" w:tentative="1">
      <w:start w:val="1"/>
      <w:numFmt w:val="bullet"/>
      <w:lvlText w:val="o"/>
      <w:lvlJc w:val="left"/>
      <w:pPr>
        <w:tabs>
          <w:tab w:val="num" w:pos="6276"/>
        </w:tabs>
        <w:ind w:left="6276" w:hanging="360"/>
      </w:pPr>
      <w:rPr>
        <w:rFonts w:ascii="Courier New" w:hAnsi="Courier New" w:cs="Courier New" w:hint="default"/>
      </w:rPr>
    </w:lvl>
    <w:lvl w:ilvl="8" w:tplc="040C0005" w:tentative="1">
      <w:start w:val="1"/>
      <w:numFmt w:val="bullet"/>
      <w:lvlText w:val=""/>
      <w:lvlJc w:val="left"/>
      <w:pPr>
        <w:tabs>
          <w:tab w:val="num" w:pos="6996"/>
        </w:tabs>
        <w:ind w:left="6996" w:hanging="360"/>
      </w:pPr>
      <w:rPr>
        <w:rFonts w:ascii="Wingdings" w:hAnsi="Wingdings" w:hint="default"/>
      </w:rPr>
    </w:lvl>
  </w:abstractNum>
  <w:abstractNum w:abstractNumId="10"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CB6422"/>
    <w:multiLevelType w:val="hybridMultilevel"/>
    <w:tmpl w:val="7E24B37A"/>
    <w:lvl w:ilvl="0" w:tplc="ED289BD8">
      <w:start w:val="1"/>
      <w:numFmt w:val="bullet"/>
      <w:lvlText w:val=""/>
      <w:lvlJc w:val="left"/>
      <w:pPr>
        <w:ind w:left="720" w:hanging="360"/>
      </w:pPr>
      <w:rPr>
        <w:rFonts w:ascii="Symbol" w:hAnsi="Symbol" w:hint="default"/>
      </w:rPr>
    </w:lvl>
    <w:lvl w:ilvl="1" w:tplc="5D5C19D0">
      <w:start w:val="1"/>
      <w:numFmt w:val="bullet"/>
      <w:lvlText w:val="o"/>
      <w:lvlJc w:val="left"/>
      <w:pPr>
        <w:ind w:left="1440" w:hanging="360"/>
      </w:pPr>
      <w:rPr>
        <w:rFonts w:ascii="Courier New" w:hAnsi="Courier New" w:hint="default"/>
      </w:rPr>
    </w:lvl>
    <w:lvl w:ilvl="2" w:tplc="89528516">
      <w:start w:val="1"/>
      <w:numFmt w:val="bullet"/>
      <w:lvlText w:val=""/>
      <w:lvlJc w:val="left"/>
      <w:pPr>
        <w:ind w:left="2160" w:hanging="360"/>
      </w:pPr>
      <w:rPr>
        <w:rFonts w:ascii="Wingdings" w:hAnsi="Wingdings" w:hint="default"/>
      </w:rPr>
    </w:lvl>
    <w:lvl w:ilvl="3" w:tplc="325E906A">
      <w:start w:val="1"/>
      <w:numFmt w:val="bullet"/>
      <w:lvlText w:val=""/>
      <w:lvlJc w:val="left"/>
      <w:pPr>
        <w:ind w:left="2880" w:hanging="360"/>
      </w:pPr>
      <w:rPr>
        <w:rFonts w:ascii="Symbol" w:hAnsi="Symbol" w:hint="default"/>
      </w:rPr>
    </w:lvl>
    <w:lvl w:ilvl="4" w:tplc="B63002EA">
      <w:start w:val="1"/>
      <w:numFmt w:val="bullet"/>
      <w:lvlText w:val="o"/>
      <w:lvlJc w:val="left"/>
      <w:pPr>
        <w:ind w:left="3600" w:hanging="360"/>
      </w:pPr>
      <w:rPr>
        <w:rFonts w:ascii="Courier New" w:hAnsi="Courier New" w:hint="default"/>
      </w:rPr>
    </w:lvl>
    <w:lvl w:ilvl="5" w:tplc="46D60DCC">
      <w:start w:val="1"/>
      <w:numFmt w:val="bullet"/>
      <w:lvlText w:val=""/>
      <w:lvlJc w:val="left"/>
      <w:pPr>
        <w:ind w:left="4320" w:hanging="360"/>
      </w:pPr>
      <w:rPr>
        <w:rFonts w:ascii="Wingdings" w:hAnsi="Wingdings" w:hint="default"/>
      </w:rPr>
    </w:lvl>
    <w:lvl w:ilvl="6" w:tplc="8AE27456">
      <w:start w:val="1"/>
      <w:numFmt w:val="bullet"/>
      <w:lvlText w:val=""/>
      <w:lvlJc w:val="left"/>
      <w:pPr>
        <w:ind w:left="5040" w:hanging="360"/>
      </w:pPr>
      <w:rPr>
        <w:rFonts w:ascii="Symbol" w:hAnsi="Symbol" w:hint="default"/>
      </w:rPr>
    </w:lvl>
    <w:lvl w:ilvl="7" w:tplc="6358C4FC">
      <w:start w:val="1"/>
      <w:numFmt w:val="bullet"/>
      <w:lvlText w:val="o"/>
      <w:lvlJc w:val="left"/>
      <w:pPr>
        <w:ind w:left="5760" w:hanging="360"/>
      </w:pPr>
      <w:rPr>
        <w:rFonts w:ascii="Courier New" w:hAnsi="Courier New" w:hint="default"/>
      </w:rPr>
    </w:lvl>
    <w:lvl w:ilvl="8" w:tplc="7362D93A">
      <w:start w:val="1"/>
      <w:numFmt w:val="bullet"/>
      <w:lvlText w:val=""/>
      <w:lvlJc w:val="left"/>
      <w:pPr>
        <w:ind w:left="6480" w:hanging="360"/>
      </w:pPr>
      <w:rPr>
        <w:rFonts w:ascii="Wingdings" w:hAnsi="Wingdings" w:hint="default"/>
      </w:rPr>
    </w:lvl>
  </w:abstractNum>
  <w:abstractNum w:abstractNumId="13"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D53BFA"/>
    <w:multiLevelType w:val="hybridMultilevel"/>
    <w:tmpl w:val="264EFEE0"/>
    <w:lvl w:ilvl="0" w:tplc="AE4E5928">
      <w:numFmt w:val="bullet"/>
      <w:lvlText w:val="-"/>
      <w:lvlJc w:val="left"/>
      <w:pPr>
        <w:ind w:left="714" w:hanging="360"/>
      </w:pPr>
      <w:rPr>
        <w:rFonts w:ascii="Arial" w:eastAsiaTheme="minorHAnsi" w:hAnsi="Arial" w:cs="Arial" w:hint="default"/>
      </w:rPr>
    </w:lvl>
    <w:lvl w:ilvl="1" w:tplc="040C0003">
      <w:start w:val="1"/>
      <w:numFmt w:val="bullet"/>
      <w:lvlText w:val="o"/>
      <w:lvlJc w:val="left"/>
      <w:pPr>
        <w:ind w:left="1434" w:hanging="360"/>
      </w:pPr>
      <w:rPr>
        <w:rFonts w:ascii="Courier New" w:hAnsi="Courier New" w:cs="Courier New" w:hint="default"/>
      </w:rPr>
    </w:lvl>
    <w:lvl w:ilvl="2" w:tplc="040C0005" w:tentative="1">
      <w:start w:val="1"/>
      <w:numFmt w:val="bullet"/>
      <w:lvlText w:val=""/>
      <w:lvlJc w:val="left"/>
      <w:pPr>
        <w:ind w:left="2154" w:hanging="360"/>
      </w:pPr>
      <w:rPr>
        <w:rFonts w:ascii="Wingdings" w:hAnsi="Wingdings" w:hint="default"/>
      </w:rPr>
    </w:lvl>
    <w:lvl w:ilvl="3" w:tplc="040C0001" w:tentative="1">
      <w:start w:val="1"/>
      <w:numFmt w:val="bullet"/>
      <w:lvlText w:val=""/>
      <w:lvlJc w:val="left"/>
      <w:pPr>
        <w:ind w:left="2874" w:hanging="360"/>
      </w:pPr>
      <w:rPr>
        <w:rFonts w:ascii="Symbol" w:hAnsi="Symbol" w:hint="default"/>
      </w:rPr>
    </w:lvl>
    <w:lvl w:ilvl="4" w:tplc="040C0003" w:tentative="1">
      <w:start w:val="1"/>
      <w:numFmt w:val="bullet"/>
      <w:lvlText w:val="o"/>
      <w:lvlJc w:val="left"/>
      <w:pPr>
        <w:ind w:left="3594" w:hanging="360"/>
      </w:pPr>
      <w:rPr>
        <w:rFonts w:ascii="Courier New" w:hAnsi="Courier New" w:cs="Courier New" w:hint="default"/>
      </w:rPr>
    </w:lvl>
    <w:lvl w:ilvl="5" w:tplc="040C0005" w:tentative="1">
      <w:start w:val="1"/>
      <w:numFmt w:val="bullet"/>
      <w:lvlText w:val=""/>
      <w:lvlJc w:val="left"/>
      <w:pPr>
        <w:ind w:left="4314" w:hanging="360"/>
      </w:pPr>
      <w:rPr>
        <w:rFonts w:ascii="Wingdings" w:hAnsi="Wingdings" w:hint="default"/>
      </w:rPr>
    </w:lvl>
    <w:lvl w:ilvl="6" w:tplc="040C0001" w:tentative="1">
      <w:start w:val="1"/>
      <w:numFmt w:val="bullet"/>
      <w:lvlText w:val=""/>
      <w:lvlJc w:val="left"/>
      <w:pPr>
        <w:ind w:left="5034" w:hanging="360"/>
      </w:pPr>
      <w:rPr>
        <w:rFonts w:ascii="Symbol" w:hAnsi="Symbol" w:hint="default"/>
      </w:rPr>
    </w:lvl>
    <w:lvl w:ilvl="7" w:tplc="040C0003" w:tentative="1">
      <w:start w:val="1"/>
      <w:numFmt w:val="bullet"/>
      <w:lvlText w:val="o"/>
      <w:lvlJc w:val="left"/>
      <w:pPr>
        <w:ind w:left="5754" w:hanging="360"/>
      </w:pPr>
      <w:rPr>
        <w:rFonts w:ascii="Courier New" w:hAnsi="Courier New" w:cs="Courier New" w:hint="default"/>
      </w:rPr>
    </w:lvl>
    <w:lvl w:ilvl="8" w:tplc="040C0005" w:tentative="1">
      <w:start w:val="1"/>
      <w:numFmt w:val="bullet"/>
      <w:lvlText w:val=""/>
      <w:lvlJc w:val="left"/>
      <w:pPr>
        <w:ind w:left="6474" w:hanging="360"/>
      </w:pPr>
      <w:rPr>
        <w:rFonts w:ascii="Wingdings" w:hAnsi="Wingdings" w:hint="default"/>
      </w:rPr>
    </w:lvl>
  </w:abstractNum>
  <w:abstractNum w:abstractNumId="17"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674773"/>
    <w:multiLevelType w:val="multilevel"/>
    <w:tmpl w:val="B624188A"/>
    <w:lvl w:ilvl="0">
      <w:start w:val="1"/>
      <w:numFmt w:val="decimal"/>
      <w:lvlText w:val="%1."/>
      <w:lvlJc w:val="left"/>
      <w:pPr>
        <w:ind w:left="360" w:hanging="360"/>
      </w:pPr>
      <w:rPr>
        <w:b/>
      </w:rPr>
    </w:lvl>
    <w:lvl w:ilvl="1">
      <w:start w:val="1"/>
      <w:numFmt w:val="decimal"/>
      <w:lvlText w:val="%1.%2."/>
      <w:lvlJc w:val="left"/>
      <w:pPr>
        <w:ind w:left="3126" w:hanging="432"/>
      </w:pPr>
      <w:rPr>
        <w:color w:val="1F356A"/>
        <w:sz w:val="24"/>
        <w:szCs w:val="26"/>
      </w:rPr>
    </w:lvl>
    <w:lvl w:ilvl="2">
      <w:start w:val="1"/>
      <w:numFmt w:val="decimal"/>
      <w:lvlText w:val="%1.%2.%3."/>
      <w:lvlJc w:val="left"/>
      <w:pPr>
        <w:ind w:left="504" w:hanging="504"/>
      </w:pPr>
      <w:rPr>
        <w:color w:val="C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3"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5"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E9350A"/>
    <w:multiLevelType w:val="hybridMultilevel"/>
    <w:tmpl w:val="0492CD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8"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777013"/>
    <w:multiLevelType w:val="hybridMultilevel"/>
    <w:tmpl w:val="9294E3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B309BC"/>
    <w:multiLevelType w:val="hybridMultilevel"/>
    <w:tmpl w:val="384ACF2A"/>
    <w:lvl w:ilvl="0" w:tplc="F93E7E44">
      <w:start w:val="1"/>
      <w:numFmt w:val="bullet"/>
      <w:lvlText w:val="-"/>
      <w:lvlJc w:val="left"/>
      <w:pPr>
        <w:tabs>
          <w:tab w:val="num" w:pos="360"/>
        </w:tabs>
        <w:ind w:left="360" w:hanging="360"/>
      </w:pPr>
      <w:rPr>
        <w:rFonts w:ascii="Arial Narrow" w:hAnsi="Arial Narrow" w:hint="default"/>
      </w:rPr>
    </w:lvl>
    <w:lvl w:ilvl="1" w:tplc="667CF868" w:tentative="1">
      <w:start w:val="1"/>
      <w:numFmt w:val="bullet"/>
      <w:lvlText w:val="o"/>
      <w:lvlJc w:val="left"/>
      <w:pPr>
        <w:tabs>
          <w:tab w:val="num" w:pos="1080"/>
        </w:tabs>
        <w:ind w:left="1080" w:hanging="360"/>
      </w:pPr>
      <w:rPr>
        <w:rFonts w:ascii="Courier New" w:hAnsi="Courier New" w:cs="Courier New" w:hint="default"/>
      </w:rPr>
    </w:lvl>
    <w:lvl w:ilvl="2" w:tplc="3B0CB058" w:tentative="1">
      <w:start w:val="1"/>
      <w:numFmt w:val="bullet"/>
      <w:lvlText w:val=""/>
      <w:lvlJc w:val="left"/>
      <w:pPr>
        <w:tabs>
          <w:tab w:val="num" w:pos="1800"/>
        </w:tabs>
        <w:ind w:left="1800" w:hanging="360"/>
      </w:pPr>
      <w:rPr>
        <w:rFonts w:ascii="Wingdings" w:hAnsi="Wingdings" w:hint="default"/>
      </w:rPr>
    </w:lvl>
    <w:lvl w:ilvl="3" w:tplc="B7666490" w:tentative="1">
      <w:start w:val="1"/>
      <w:numFmt w:val="bullet"/>
      <w:lvlText w:val=""/>
      <w:lvlJc w:val="left"/>
      <w:pPr>
        <w:tabs>
          <w:tab w:val="num" w:pos="2520"/>
        </w:tabs>
        <w:ind w:left="2520" w:hanging="360"/>
      </w:pPr>
      <w:rPr>
        <w:rFonts w:ascii="Symbol" w:hAnsi="Symbol" w:hint="default"/>
      </w:rPr>
    </w:lvl>
    <w:lvl w:ilvl="4" w:tplc="6308C0E6" w:tentative="1">
      <w:start w:val="1"/>
      <w:numFmt w:val="bullet"/>
      <w:lvlText w:val="o"/>
      <w:lvlJc w:val="left"/>
      <w:pPr>
        <w:tabs>
          <w:tab w:val="num" w:pos="3240"/>
        </w:tabs>
        <w:ind w:left="3240" w:hanging="360"/>
      </w:pPr>
      <w:rPr>
        <w:rFonts w:ascii="Courier New" w:hAnsi="Courier New" w:cs="Courier New" w:hint="default"/>
      </w:rPr>
    </w:lvl>
    <w:lvl w:ilvl="5" w:tplc="B2087542" w:tentative="1">
      <w:start w:val="1"/>
      <w:numFmt w:val="bullet"/>
      <w:lvlText w:val=""/>
      <w:lvlJc w:val="left"/>
      <w:pPr>
        <w:tabs>
          <w:tab w:val="num" w:pos="3960"/>
        </w:tabs>
        <w:ind w:left="3960" w:hanging="360"/>
      </w:pPr>
      <w:rPr>
        <w:rFonts w:ascii="Wingdings" w:hAnsi="Wingdings" w:hint="default"/>
      </w:rPr>
    </w:lvl>
    <w:lvl w:ilvl="6" w:tplc="F0BCF790" w:tentative="1">
      <w:start w:val="1"/>
      <w:numFmt w:val="bullet"/>
      <w:lvlText w:val=""/>
      <w:lvlJc w:val="left"/>
      <w:pPr>
        <w:tabs>
          <w:tab w:val="num" w:pos="4680"/>
        </w:tabs>
        <w:ind w:left="4680" w:hanging="360"/>
      </w:pPr>
      <w:rPr>
        <w:rFonts w:ascii="Symbol" w:hAnsi="Symbol" w:hint="default"/>
      </w:rPr>
    </w:lvl>
    <w:lvl w:ilvl="7" w:tplc="1720A372" w:tentative="1">
      <w:start w:val="1"/>
      <w:numFmt w:val="bullet"/>
      <w:lvlText w:val="o"/>
      <w:lvlJc w:val="left"/>
      <w:pPr>
        <w:tabs>
          <w:tab w:val="num" w:pos="5400"/>
        </w:tabs>
        <w:ind w:left="5400" w:hanging="360"/>
      </w:pPr>
      <w:rPr>
        <w:rFonts w:ascii="Courier New" w:hAnsi="Courier New" w:cs="Courier New" w:hint="default"/>
      </w:rPr>
    </w:lvl>
    <w:lvl w:ilvl="8" w:tplc="F452B14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2"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1E0CCE"/>
    <w:multiLevelType w:val="hybridMultilevel"/>
    <w:tmpl w:val="E152A0F2"/>
    <w:lvl w:ilvl="0" w:tplc="5B6A6C98">
      <w:start w:val="20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17"/>
  </w:num>
  <w:num w:numId="5">
    <w:abstractNumId w:val="14"/>
  </w:num>
  <w:num w:numId="6">
    <w:abstractNumId w:val="5"/>
  </w:num>
  <w:num w:numId="7">
    <w:abstractNumId w:val="24"/>
  </w:num>
  <w:num w:numId="8">
    <w:abstractNumId w:val="31"/>
  </w:num>
  <w:num w:numId="9">
    <w:abstractNumId w:val="27"/>
  </w:num>
  <w:num w:numId="10">
    <w:abstractNumId w:val="6"/>
  </w:num>
  <w:num w:numId="11">
    <w:abstractNumId w:val="13"/>
  </w:num>
  <w:num w:numId="12">
    <w:abstractNumId w:val="22"/>
  </w:num>
  <w:num w:numId="13">
    <w:abstractNumId w:val="33"/>
  </w:num>
  <w:num w:numId="14">
    <w:abstractNumId w:val="8"/>
  </w:num>
  <w:num w:numId="15">
    <w:abstractNumId w:val="6"/>
  </w:num>
  <w:num w:numId="16">
    <w:abstractNumId w:val="18"/>
  </w:num>
  <w:num w:numId="17">
    <w:abstractNumId w:val="32"/>
  </w:num>
  <w:num w:numId="18">
    <w:abstractNumId w:val="15"/>
  </w:num>
  <w:num w:numId="19">
    <w:abstractNumId w:val="25"/>
  </w:num>
  <w:num w:numId="20">
    <w:abstractNumId w:val="21"/>
  </w:num>
  <w:num w:numId="21">
    <w:abstractNumId w:val="7"/>
  </w:num>
  <w:num w:numId="22">
    <w:abstractNumId w:val="4"/>
  </w:num>
  <w:num w:numId="23">
    <w:abstractNumId w:val="28"/>
  </w:num>
  <w:num w:numId="24">
    <w:abstractNumId w:val="20"/>
  </w:num>
  <w:num w:numId="25">
    <w:abstractNumId w:val="23"/>
  </w:num>
  <w:num w:numId="26">
    <w:abstractNumId w:val="11"/>
  </w:num>
  <w:num w:numId="27">
    <w:abstractNumId w:val="10"/>
  </w:num>
  <w:num w:numId="28">
    <w:abstractNumId w:val="26"/>
  </w:num>
  <w:num w:numId="29">
    <w:abstractNumId w:val="19"/>
  </w:num>
  <w:num w:numId="30">
    <w:abstractNumId w:val="16"/>
  </w:num>
  <w:num w:numId="31">
    <w:abstractNumId w:val="34"/>
  </w:num>
  <w:num w:numId="32">
    <w:abstractNumId w:val="29"/>
  </w:num>
  <w:num w:numId="33">
    <w:abstractNumId w:val="30"/>
  </w:num>
  <w:num w:numId="34">
    <w:abstractNumId w:val="9"/>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2180"/>
    <w:rsid w:val="00002463"/>
    <w:rsid w:val="0000545A"/>
    <w:rsid w:val="0001121C"/>
    <w:rsid w:val="000118B5"/>
    <w:rsid w:val="0001214D"/>
    <w:rsid w:val="000165E3"/>
    <w:rsid w:val="00025B10"/>
    <w:rsid w:val="0004135E"/>
    <w:rsid w:val="00044B4E"/>
    <w:rsid w:val="000470BD"/>
    <w:rsid w:val="00047E75"/>
    <w:rsid w:val="00051610"/>
    <w:rsid w:val="00051E73"/>
    <w:rsid w:val="0005386A"/>
    <w:rsid w:val="000579F1"/>
    <w:rsid w:val="0006341B"/>
    <w:rsid w:val="00064E0A"/>
    <w:rsid w:val="00074AC7"/>
    <w:rsid w:val="00076659"/>
    <w:rsid w:val="000770E5"/>
    <w:rsid w:val="00077C13"/>
    <w:rsid w:val="0009630B"/>
    <w:rsid w:val="000B1E4A"/>
    <w:rsid w:val="000B1F3E"/>
    <w:rsid w:val="000B205C"/>
    <w:rsid w:val="000B7341"/>
    <w:rsid w:val="000C479D"/>
    <w:rsid w:val="000C711B"/>
    <w:rsid w:val="000D1508"/>
    <w:rsid w:val="000D68BC"/>
    <w:rsid w:val="000E198E"/>
    <w:rsid w:val="000E69AF"/>
    <w:rsid w:val="000F0082"/>
    <w:rsid w:val="000F2FCA"/>
    <w:rsid w:val="000F395A"/>
    <w:rsid w:val="000F50B4"/>
    <w:rsid w:val="000F6476"/>
    <w:rsid w:val="0011043A"/>
    <w:rsid w:val="00110595"/>
    <w:rsid w:val="001163EE"/>
    <w:rsid w:val="00122DE3"/>
    <w:rsid w:val="001257E9"/>
    <w:rsid w:val="00125C44"/>
    <w:rsid w:val="00134A06"/>
    <w:rsid w:val="00163465"/>
    <w:rsid w:val="00163BB7"/>
    <w:rsid w:val="001675E4"/>
    <w:rsid w:val="0017246E"/>
    <w:rsid w:val="0017434B"/>
    <w:rsid w:val="00186ED5"/>
    <w:rsid w:val="00194858"/>
    <w:rsid w:val="00197D7E"/>
    <w:rsid w:val="001A3058"/>
    <w:rsid w:val="001B06B1"/>
    <w:rsid w:val="001B0A3C"/>
    <w:rsid w:val="001B188C"/>
    <w:rsid w:val="001C65C9"/>
    <w:rsid w:val="001C73E5"/>
    <w:rsid w:val="001D22DC"/>
    <w:rsid w:val="001E22F4"/>
    <w:rsid w:val="001F5382"/>
    <w:rsid w:val="00201184"/>
    <w:rsid w:val="002019AB"/>
    <w:rsid w:val="00201C89"/>
    <w:rsid w:val="0021013B"/>
    <w:rsid w:val="00213FB2"/>
    <w:rsid w:val="00220FF2"/>
    <w:rsid w:val="0022356A"/>
    <w:rsid w:val="00232096"/>
    <w:rsid w:val="00234EE9"/>
    <w:rsid w:val="002420BF"/>
    <w:rsid w:val="002431F5"/>
    <w:rsid w:val="00245C1B"/>
    <w:rsid w:val="00252F58"/>
    <w:rsid w:val="00255F3D"/>
    <w:rsid w:val="00271AC4"/>
    <w:rsid w:val="002736D8"/>
    <w:rsid w:val="00282A41"/>
    <w:rsid w:val="00282F5B"/>
    <w:rsid w:val="00283031"/>
    <w:rsid w:val="00284E72"/>
    <w:rsid w:val="00291A40"/>
    <w:rsid w:val="00293F87"/>
    <w:rsid w:val="002951CB"/>
    <w:rsid w:val="00297048"/>
    <w:rsid w:val="002A0DDA"/>
    <w:rsid w:val="002A5649"/>
    <w:rsid w:val="002B5B9A"/>
    <w:rsid w:val="002D28A9"/>
    <w:rsid w:val="002D482F"/>
    <w:rsid w:val="002E382F"/>
    <w:rsid w:val="002E4F80"/>
    <w:rsid w:val="002E5AC2"/>
    <w:rsid w:val="002F4F78"/>
    <w:rsid w:val="002F6550"/>
    <w:rsid w:val="0030324A"/>
    <w:rsid w:val="003049C4"/>
    <w:rsid w:val="003055E8"/>
    <w:rsid w:val="00305701"/>
    <w:rsid w:val="0031033E"/>
    <w:rsid w:val="003164F3"/>
    <w:rsid w:val="003355E0"/>
    <w:rsid w:val="003474F2"/>
    <w:rsid w:val="003502D1"/>
    <w:rsid w:val="0035449C"/>
    <w:rsid w:val="00354E34"/>
    <w:rsid w:val="00356F8F"/>
    <w:rsid w:val="00361D13"/>
    <w:rsid w:val="00370CC5"/>
    <w:rsid w:val="00372CFB"/>
    <w:rsid w:val="00380E73"/>
    <w:rsid w:val="00381BF2"/>
    <w:rsid w:val="00385BBA"/>
    <w:rsid w:val="0038772F"/>
    <w:rsid w:val="003970B9"/>
    <w:rsid w:val="003A4423"/>
    <w:rsid w:val="003A47AB"/>
    <w:rsid w:val="003B09E4"/>
    <w:rsid w:val="003C7C34"/>
    <w:rsid w:val="003E67AA"/>
    <w:rsid w:val="003F6EC9"/>
    <w:rsid w:val="003F75E4"/>
    <w:rsid w:val="0042414A"/>
    <w:rsid w:val="004261C3"/>
    <w:rsid w:val="004278F0"/>
    <w:rsid w:val="00430374"/>
    <w:rsid w:val="00432D64"/>
    <w:rsid w:val="004415B2"/>
    <w:rsid w:val="00455FE0"/>
    <w:rsid w:val="00466662"/>
    <w:rsid w:val="004746F8"/>
    <w:rsid w:val="00491A6D"/>
    <w:rsid w:val="00497F76"/>
    <w:rsid w:val="004A664F"/>
    <w:rsid w:val="004B0C25"/>
    <w:rsid w:val="004B3C47"/>
    <w:rsid w:val="004C6315"/>
    <w:rsid w:val="004C68B1"/>
    <w:rsid w:val="004D37AA"/>
    <w:rsid w:val="004E05A2"/>
    <w:rsid w:val="004E4949"/>
    <w:rsid w:val="004E7FC8"/>
    <w:rsid w:val="00502274"/>
    <w:rsid w:val="005034D7"/>
    <w:rsid w:val="005161D6"/>
    <w:rsid w:val="00516CD6"/>
    <w:rsid w:val="00520E7D"/>
    <w:rsid w:val="005232F9"/>
    <w:rsid w:val="00524226"/>
    <w:rsid w:val="00525BD5"/>
    <w:rsid w:val="00532F88"/>
    <w:rsid w:val="00536E12"/>
    <w:rsid w:val="00542E65"/>
    <w:rsid w:val="005455DA"/>
    <w:rsid w:val="00550AF2"/>
    <w:rsid w:val="005524F6"/>
    <w:rsid w:val="00556C04"/>
    <w:rsid w:val="00565A4E"/>
    <w:rsid w:val="005727E1"/>
    <w:rsid w:val="00582D62"/>
    <w:rsid w:val="00583369"/>
    <w:rsid w:val="0058441C"/>
    <w:rsid w:val="00584836"/>
    <w:rsid w:val="0059253E"/>
    <w:rsid w:val="005A3418"/>
    <w:rsid w:val="005B7604"/>
    <w:rsid w:val="005C54FC"/>
    <w:rsid w:val="005C62EF"/>
    <w:rsid w:val="005C7EE5"/>
    <w:rsid w:val="005D0599"/>
    <w:rsid w:val="005D2636"/>
    <w:rsid w:val="005E15A6"/>
    <w:rsid w:val="005F71AB"/>
    <w:rsid w:val="005F753A"/>
    <w:rsid w:val="005F77BA"/>
    <w:rsid w:val="0060445C"/>
    <w:rsid w:val="006149A1"/>
    <w:rsid w:val="00616CEE"/>
    <w:rsid w:val="0062290F"/>
    <w:rsid w:val="006231DB"/>
    <w:rsid w:val="006235C3"/>
    <w:rsid w:val="00626735"/>
    <w:rsid w:val="006278AF"/>
    <w:rsid w:val="00632F86"/>
    <w:rsid w:val="00633498"/>
    <w:rsid w:val="00643678"/>
    <w:rsid w:val="00643D31"/>
    <w:rsid w:val="00645DE7"/>
    <w:rsid w:val="00650E22"/>
    <w:rsid w:val="00653644"/>
    <w:rsid w:val="0065402E"/>
    <w:rsid w:val="00655201"/>
    <w:rsid w:val="00671279"/>
    <w:rsid w:val="00673433"/>
    <w:rsid w:val="00687894"/>
    <w:rsid w:val="00694687"/>
    <w:rsid w:val="00696A4F"/>
    <w:rsid w:val="006A76BD"/>
    <w:rsid w:val="006B1076"/>
    <w:rsid w:val="006B108E"/>
    <w:rsid w:val="006B3507"/>
    <w:rsid w:val="006B4462"/>
    <w:rsid w:val="006C0A7D"/>
    <w:rsid w:val="006C296F"/>
    <w:rsid w:val="006C578D"/>
    <w:rsid w:val="006C5FBC"/>
    <w:rsid w:val="006D152D"/>
    <w:rsid w:val="006D452F"/>
    <w:rsid w:val="006E3DB2"/>
    <w:rsid w:val="006F538E"/>
    <w:rsid w:val="006F754D"/>
    <w:rsid w:val="00703AFC"/>
    <w:rsid w:val="00714AB6"/>
    <w:rsid w:val="0072478E"/>
    <w:rsid w:val="00726B81"/>
    <w:rsid w:val="007341D4"/>
    <w:rsid w:val="007512FA"/>
    <w:rsid w:val="0075235A"/>
    <w:rsid w:val="00757EE5"/>
    <w:rsid w:val="00763F36"/>
    <w:rsid w:val="00766E32"/>
    <w:rsid w:val="00771C30"/>
    <w:rsid w:val="007877BA"/>
    <w:rsid w:val="00787F37"/>
    <w:rsid w:val="00793C57"/>
    <w:rsid w:val="007B1B1D"/>
    <w:rsid w:val="007C3C5C"/>
    <w:rsid w:val="007C4F14"/>
    <w:rsid w:val="007D23D3"/>
    <w:rsid w:val="007D488A"/>
    <w:rsid w:val="007D61C1"/>
    <w:rsid w:val="007F0AF5"/>
    <w:rsid w:val="007F0FE9"/>
    <w:rsid w:val="007F3209"/>
    <w:rsid w:val="0080115A"/>
    <w:rsid w:val="0080428E"/>
    <w:rsid w:val="00806748"/>
    <w:rsid w:val="00806D55"/>
    <w:rsid w:val="00813832"/>
    <w:rsid w:val="008157F3"/>
    <w:rsid w:val="00820FB2"/>
    <w:rsid w:val="0082316D"/>
    <w:rsid w:val="00840D5A"/>
    <w:rsid w:val="00853B79"/>
    <w:rsid w:val="0085466C"/>
    <w:rsid w:val="008751C4"/>
    <w:rsid w:val="00880A18"/>
    <w:rsid w:val="008817D6"/>
    <w:rsid w:val="00892307"/>
    <w:rsid w:val="00896421"/>
    <w:rsid w:val="0089685D"/>
    <w:rsid w:val="00897903"/>
    <w:rsid w:val="008B4714"/>
    <w:rsid w:val="008D18EB"/>
    <w:rsid w:val="008D2FD4"/>
    <w:rsid w:val="008D6FA5"/>
    <w:rsid w:val="008E5697"/>
    <w:rsid w:val="008E5EC5"/>
    <w:rsid w:val="008E742B"/>
    <w:rsid w:val="008F7DCB"/>
    <w:rsid w:val="009010EC"/>
    <w:rsid w:val="00917D3A"/>
    <w:rsid w:val="009214F1"/>
    <w:rsid w:val="00921D81"/>
    <w:rsid w:val="009269F6"/>
    <w:rsid w:val="009309A4"/>
    <w:rsid w:val="009335BE"/>
    <w:rsid w:val="00934A53"/>
    <w:rsid w:val="00935FE6"/>
    <w:rsid w:val="00937C30"/>
    <w:rsid w:val="0095397A"/>
    <w:rsid w:val="00955824"/>
    <w:rsid w:val="00967854"/>
    <w:rsid w:val="00971591"/>
    <w:rsid w:val="0097359C"/>
    <w:rsid w:val="009764FA"/>
    <w:rsid w:val="00977004"/>
    <w:rsid w:val="009820BF"/>
    <w:rsid w:val="0099628A"/>
    <w:rsid w:val="00997C2C"/>
    <w:rsid w:val="009A2940"/>
    <w:rsid w:val="009C1FBC"/>
    <w:rsid w:val="009D0814"/>
    <w:rsid w:val="009D79EA"/>
    <w:rsid w:val="009E05FA"/>
    <w:rsid w:val="009E68D9"/>
    <w:rsid w:val="009E7C4C"/>
    <w:rsid w:val="009F1590"/>
    <w:rsid w:val="009F6D8F"/>
    <w:rsid w:val="009F739C"/>
    <w:rsid w:val="009F7810"/>
    <w:rsid w:val="00A00FCF"/>
    <w:rsid w:val="00A16562"/>
    <w:rsid w:val="00A318DC"/>
    <w:rsid w:val="00A41869"/>
    <w:rsid w:val="00A4455E"/>
    <w:rsid w:val="00A47B4A"/>
    <w:rsid w:val="00A52393"/>
    <w:rsid w:val="00A54160"/>
    <w:rsid w:val="00A54441"/>
    <w:rsid w:val="00A62800"/>
    <w:rsid w:val="00A635DF"/>
    <w:rsid w:val="00A74027"/>
    <w:rsid w:val="00A93149"/>
    <w:rsid w:val="00AB2BD7"/>
    <w:rsid w:val="00AB40ED"/>
    <w:rsid w:val="00AB509B"/>
    <w:rsid w:val="00AC1E3A"/>
    <w:rsid w:val="00AC307B"/>
    <w:rsid w:val="00AC35E4"/>
    <w:rsid w:val="00AC7AE6"/>
    <w:rsid w:val="00AD295F"/>
    <w:rsid w:val="00AD3BA3"/>
    <w:rsid w:val="00AD4B49"/>
    <w:rsid w:val="00AD6624"/>
    <w:rsid w:val="00AD785F"/>
    <w:rsid w:val="00AE2143"/>
    <w:rsid w:val="00AE2E6F"/>
    <w:rsid w:val="00AE3DCE"/>
    <w:rsid w:val="00AE48C1"/>
    <w:rsid w:val="00AF5CEF"/>
    <w:rsid w:val="00B02976"/>
    <w:rsid w:val="00B031B3"/>
    <w:rsid w:val="00B151E5"/>
    <w:rsid w:val="00B20FF2"/>
    <w:rsid w:val="00B2264E"/>
    <w:rsid w:val="00B2378D"/>
    <w:rsid w:val="00B2400B"/>
    <w:rsid w:val="00B252E9"/>
    <w:rsid w:val="00B350F5"/>
    <w:rsid w:val="00B4062E"/>
    <w:rsid w:val="00B6039C"/>
    <w:rsid w:val="00B650D4"/>
    <w:rsid w:val="00B66455"/>
    <w:rsid w:val="00B70F7E"/>
    <w:rsid w:val="00B7138F"/>
    <w:rsid w:val="00B75844"/>
    <w:rsid w:val="00B8387D"/>
    <w:rsid w:val="00B97DC9"/>
    <w:rsid w:val="00BB0C6D"/>
    <w:rsid w:val="00BC5698"/>
    <w:rsid w:val="00BD5039"/>
    <w:rsid w:val="00BE43D9"/>
    <w:rsid w:val="00BE49BE"/>
    <w:rsid w:val="00BE7B48"/>
    <w:rsid w:val="00BF6E56"/>
    <w:rsid w:val="00C00AE6"/>
    <w:rsid w:val="00C03659"/>
    <w:rsid w:val="00C042F5"/>
    <w:rsid w:val="00C05303"/>
    <w:rsid w:val="00C11222"/>
    <w:rsid w:val="00C14AED"/>
    <w:rsid w:val="00C243E3"/>
    <w:rsid w:val="00C3109C"/>
    <w:rsid w:val="00C36DC1"/>
    <w:rsid w:val="00C406AD"/>
    <w:rsid w:val="00C41557"/>
    <w:rsid w:val="00C4236E"/>
    <w:rsid w:val="00C455EB"/>
    <w:rsid w:val="00C54407"/>
    <w:rsid w:val="00C6390B"/>
    <w:rsid w:val="00C70DCA"/>
    <w:rsid w:val="00C72FDA"/>
    <w:rsid w:val="00C75C2E"/>
    <w:rsid w:val="00C7633A"/>
    <w:rsid w:val="00C76C17"/>
    <w:rsid w:val="00C81AEE"/>
    <w:rsid w:val="00C90A93"/>
    <w:rsid w:val="00C9146A"/>
    <w:rsid w:val="00CA4D7B"/>
    <w:rsid w:val="00CB21C0"/>
    <w:rsid w:val="00CB2E11"/>
    <w:rsid w:val="00CB727E"/>
    <w:rsid w:val="00CC3155"/>
    <w:rsid w:val="00CD4C68"/>
    <w:rsid w:val="00CD6656"/>
    <w:rsid w:val="00CE1D3C"/>
    <w:rsid w:val="00CE2BB9"/>
    <w:rsid w:val="00CF23F2"/>
    <w:rsid w:val="00CF2581"/>
    <w:rsid w:val="00CF6B70"/>
    <w:rsid w:val="00D01D92"/>
    <w:rsid w:val="00D14891"/>
    <w:rsid w:val="00D178B5"/>
    <w:rsid w:val="00D20014"/>
    <w:rsid w:val="00D21E9B"/>
    <w:rsid w:val="00D31170"/>
    <w:rsid w:val="00D33478"/>
    <w:rsid w:val="00D33E43"/>
    <w:rsid w:val="00D42E38"/>
    <w:rsid w:val="00D45D5A"/>
    <w:rsid w:val="00D46958"/>
    <w:rsid w:val="00D54440"/>
    <w:rsid w:val="00D644E5"/>
    <w:rsid w:val="00D85BA1"/>
    <w:rsid w:val="00D860A5"/>
    <w:rsid w:val="00D86DC9"/>
    <w:rsid w:val="00D906A2"/>
    <w:rsid w:val="00DA1355"/>
    <w:rsid w:val="00DA24B7"/>
    <w:rsid w:val="00DA47D2"/>
    <w:rsid w:val="00DA61AA"/>
    <w:rsid w:val="00DB2CBF"/>
    <w:rsid w:val="00DB487F"/>
    <w:rsid w:val="00DB674A"/>
    <w:rsid w:val="00DC1735"/>
    <w:rsid w:val="00DC4A81"/>
    <w:rsid w:val="00DC4AB3"/>
    <w:rsid w:val="00DC5D0B"/>
    <w:rsid w:val="00DC6162"/>
    <w:rsid w:val="00DE03AC"/>
    <w:rsid w:val="00DF570F"/>
    <w:rsid w:val="00DF66AA"/>
    <w:rsid w:val="00DF77B0"/>
    <w:rsid w:val="00E00DBB"/>
    <w:rsid w:val="00E05305"/>
    <w:rsid w:val="00E139C2"/>
    <w:rsid w:val="00E15432"/>
    <w:rsid w:val="00E174D2"/>
    <w:rsid w:val="00E17CC3"/>
    <w:rsid w:val="00E31BE0"/>
    <w:rsid w:val="00E31E84"/>
    <w:rsid w:val="00E34CFC"/>
    <w:rsid w:val="00E47688"/>
    <w:rsid w:val="00E563EE"/>
    <w:rsid w:val="00E74767"/>
    <w:rsid w:val="00E749CA"/>
    <w:rsid w:val="00E804D8"/>
    <w:rsid w:val="00E84F3C"/>
    <w:rsid w:val="00E9588E"/>
    <w:rsid w:val="00EA01A8"/>
    <w:rsid w:val="00EA3BE4"/>
    <w:rsid w:val="00EB5D58"/>
    <w:rsid w:val="00EE68DD"/>
    <w:rsid w:val="00EE7F08"/>
    <w:rsid w:val="00EF2874"/>
    <w:rsid w:val="00EF4826"/>
    <w:rsid w:val="00EF5DC9"/>
    <w:rsid w:val="00F00F8D"/>
    <w:rsid w:val="00F071BD"/>
    <w:rsid w:val="00F13C0E"/>
    <w:rsid w:val="00F17B95"/>
    <w:rsid w:val="00F213BC"/>
    <w:rsid w:val="00F217FD"/>
    <w:rsid w:val="00F23BE2"/>
    <w:rsid w:val="00F301B0"/>
    <w:rsid w:val="00F34473"/>
    <w:rsid w:val="00F37FD1"/>
    <w:rsid w:val="00F51A98"/>
    <w:rsid w:val="00F51D4C"/>
    <w:rsid w:val="00F62E64"/>
    <w:rsid w:val="00F63E2E"/>
    <w:rsid w:val="00F6537A"/>
    <w:rsid w:val="00F83CF7"/>
    <w:rsid w:val="00F86C56"/>
    <w:rsid w:val="00F949A5"/>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aliases w:val="Bullet List,FooterText,numbered,Paragraphe de liste1,List Paragraph1,Bulletr List Paragraph,列出段落,列出段落1"/>
    <w:basedOn w:val="Normal"/>
    <w:link w:val="ParagraphedelisteCar"/>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character" w:customStyle="1" w:styleId="ParagraphedelisteCar">
    <w:name w:val="Paragraphe de liste Car"/>
    <w:aliases w:val="Bullet List Car,FooterText Car,numbered Car,Paragraphe de liste1 Car,List Paragraph1 Car,Bulletr List Paragraph Car,列出段落 Car,列出段落1 Car"/>
    <w:link w:val="Paragraphedeliste"/>
    <w:uiPriority w:val="34"/>
    <w:rsid w:val="002E4F80"/>
    <w:rPr>
      <w:rFonts w:ascii="Arial" w:hAnsi="Arial" w:cs="Univer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atheque.efs.sante.fr/hom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fs.sante.fr/donner-au-sang-le-pouvoir-de-soign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attestations.com/fr"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nnuaire-entreprises.data.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2.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4.xml><?xml version="1.0" encoding="utf-8"?>
<ds:datastoreItem xmlns:ds="http://schemas.openxmlformats.org/officeDocument/2006/customXml" ds:itemID="{03429B2B-4DAA-48AC-8113-52938C67B668}">
  <ds:schemaRef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purl.org/dc/terms/"/>
    <ds:schemaRef ds:uri="http://schemas.microsoft.com/sharepoint/v3"/>
    <ds:schemaRef ds:uri="http://schemas.openxmlformats.org/package/2006/metadata/core-properties"/>
    <ds:schemaRef ds:uri="3db10a5d-558e-4c80-b55c-f43536d34388"/>
    <ds:schemaRef ds:uri="8cabc909-925b-4993-810a-c39a03b082db"/>
    <ds:schemaRef ds:uri="http://www.w3.org/XML/1998/namespace"/>
  </ds:schemaRefs>
</ds:datastoreItem>
</file>

<file path=customXml/itemProps5.xml><?xml version="1.0" encoding="utf-8"?>
<ds:datastoreItem xmlns:ds="http://schemas.openxmlformats.org/officeDocument/2006/customXml" ds:itemID="{A7B64FD8-823F-4225-A64A-BDCE3591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31</Pages>
  <Words>9828</Words>
  <Characters>54056</Characters>
  <Application>Microsoft Office Word</Application>
  <DocSecurity>0</DocSecurity>
  <Lines>450</Lines>
  <Paragraphs>127</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63757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CANIPELLE Guillaume</cp:lastModifiedBy>
  <cp:revision>13</cp:revision>
  <cp:lastPrinted>2025-03-27T10:01:00Z</cp:lastPrinted>
  <dcterms:created xsi:type="dcterms:W3CDTF">2025-02-25T12:52:00Z</dcterms:created>
  <dcterms:modified xsi:type="dcterms:W3CDTF">2025-03-27T10:01:00Z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