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3DB635D4" w14:textId="123BEC4C" w:rsidR="00897167" w:rsidRDefault="00897167" w:rsidP="005846FB">
      <w:pPr>
        <w:tabs>
          <w:tab w:val="left" w:pos="426"/>
          <w:tab w:val="left" w:pos="851"/>
        </w:tabs>
        <w:jc w:val="both"/>
        <w:rPr>
          <w:rFonts w:ascii="Arial" w:hAnsi="Arial" w:cs="Arial"/>
        </w:rPr>
      </w:pPr>
    </w:p>
    <w:p w14:paraId="1FE4D0C4" w14:textId="6A5F2E66" w:rsidR="00897167" w:rsidRPr="00897167" w:rsidRDefault="00897167" w:rsidP="00897167">
      <w:pPr>
        <w:tabs>
          <w:tab w:val="left" w:pos="426"/>
          <w:tab w:val="left" w:pos="851"/>
        </w:tabs>
        <w:jc w:val="center"/>
        <w:rPr>
          <w:rFonts w:ascii="Arial" w:hAnsi="Arial" w:cs="Arial"/>
          <w:b/>
          <w:bCs/>
          <w:sz w:val="32"/>
          <w:szCs w:val="32"/>
        </w:rPr>
      </w:pPr>
      <w:r w:rsidRPr="00897167">
        <w:rPr>
          <w:rFonts w:ascii="Arial" w:hAnsi="Arial" w:cs="Arial"/>
          <w:b/>
          <w:bCs/>
          <w:sz w:val="32"/>
          <w:szCs w:val="32"/>
        </w:rPr>
        <w:t>GEST364 Maintenance des portes automatiques</w:t>
      </w:r>
    </w:p>
    <w:p w14:paraId="6138B489" w14:textId="77777777" w:rsidR="00897167" w:rsidRDefault="00897167"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5E639951" w:rsidR="009B1CD0" w:rsidRDefault="009B1CD0" w:rsidP="005846FB">
      <w:pPr>
        <w:tabs>
          <w:tab w:val="left" w:pos="426"/>
          <w:tab w:val="left" w:pos="851"/>
        </w:tabs>
        <w:jc w:val="both"/>
        <w:rPr>
          <w:rFonts w:ascii="Arial" w:hAnsi="Arial" w:cs="Arial"/>
        </w:rPr>
      </w:pPr>
    </w:p>
    <w:p w14:paraId="74BB828B" w14:textId="77777777" w:rsidR="00493072" w:rsidRPr="006E0975" w:rsidRDefault="00493072" w:rsidP="00493072">
      <w:r w:rsidRPr="006E0975">
        <w:t xml:space="preserve">La présente consultation a pour objet les opérations de maintenance préventives et curative des portes et portails automatiques des différents sites de l’EFS Grand Est. </w:t>
      </w:r>
    </w:p>
    <w:p w14:paraId="588C07F4" w14:textId="77777777" w:rsidR="00493072" w:rsidRPr="006E0975" w:rsidRDefault="00493072" w:rsidP="00493072">
      <w:r w:rsidRPr="006E0975">
        <w:t xml:space="preserve">Les services et fournitures concernent : </w:t>
      </w:r>
    </w:p>
    <w:p w14:paraId="0F1A066B" w14:textId="77777777" w:rsidR="00493072" w:rsidRPr="006E0975" w:rsidRDefault="00493072" w:rsidP="00493072">
      <w:pPr>
        <w:pStyle w:val="Paragraphedeliste"/>
        <w:numPr>
          <w:ilvl w:val="0"/>
          <w:numId w:val="12"/>
        </w:numPr>
      </w:pPr>
      <w:r w:rsidRPr="006E0975">
        <w:t xml:space="preserve">Les opérations de maintenance préventive des équipements, </w:t>
      </w:r>
    </w:p>
    <w:p w14:paraId="7474E420" w14:textId="77777777" w:rsidR="00493072" w:rsidRPr="006E0975" w:rsidRDefault="00493072" w:rsidP="00493072">
      <w:pPr>
        <w:pStyle w:val="Paragraphedeliste"/>
        <w:numPr>
          <w:ilvl w:val="0"/>
          <w:numId w:val="12"/>
        </w:numPr>
      </w:pPr>
      <w:r w:rsidRPr="006E0975">
        <w:t>Les opérations de maintenance curative des équipements,</w:t>
      </w:r>
    </w:p>
    <w:p w14:paraId="2DFD97F6" w14:textId="77777777" w:rsidR="00493072" w:rsidRDefault="00493072" w:rsidP="005846FB">
      <w:pPr>
        <w:tabs>
          <w:tab w:val="left" w:pos="426"/>
          <w:tab w:val="left" w:pos="851"/>
        </w:tabs>
        <w:jc w:val="both"/>
        <w:rPr>
          <w:rFonts w:ascii="Arial" w:hAnsi="Arial" w:cs="Arial"/>
        </w:rPr>
      </w:pP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05483B15" w14:textId="77777777" w:rsidR="00493072" w:rsidRDefault="00493072" w:rsidP="00A9775B">
      <w:pPr>
        <w:tabs>
          <w:tab w:val="left" w:pos="426"/>
        </w:tabs>
        <w:suppressAutoHyphens w:val="0"/>
        <w:spacing w:before="60"/>
        <w:jc w:val="both"/>
        <w:rPr>
          <w:rFonts w:ascii="Arial" w:hAnsi="Arial" w:cs="Arial"/>
          <w:lang w:eastAsia="fr-FR" w:bidi="ml"/>
        </w:rPr>
      </w:pPr>
    </w:p>
    <w:p w14:paraId="6A34C9C0" w14:textId="5849DDED" w:rsidR="00A9775B" w:rsidRPr="00493072" w:rsidRDefault="00A9775B" w:rsidP="00A9775B">
      <w:pPr>
        <w:tabs>
          <w:tab w:val="left" w:pos="426"/>
        </w:tabs>
        <w:suppressAutoHyphens w:val="0"/>
        <w:spacing w:before="60"/>
        <w:jc w:val="both"/>
        <w:rPr>
          <w:rFonts w:ascii="Arial" w:hAnsi="Arial" w:cs="Arial"/>
          <w:lang w:eastAsia="fr-FR" w:bidi="ml"/>
        </w:rPr>
      </w:pPr>
      <w:r w:rsidRPr="00493072">
        <w:rPr>
          <w:rFonts w:ascii="Arial" w:hAnsi="Arial" w:cs="Arial"/>
          <w:lang w:eastAsia="fr-FR" w:bidi="ml"/>
        </w:rPr>
        <w:t xml:space="preserve">Le (s) </w:t>
      </w:r>
      <w:r w:rsidR="005A5FCD" w:rsidRPr="00493072">
        <w:rPr>
          <w:rFonts w:ascii="Arial" w:hAnsi="Arial" w:cs="Arial"/>
          <w:lang w:eastAsia="fr-FR" w:bidi="ml"/>
        </w:rPr>
        <w:t>code</w:t>
      </w:r>
      <w:r w:rsidRPr="00493072">
        <w:rPr>
          <w:rFonts w:ascii="Arial" w:hAnsi="Arial" w:cs="Arial"/>
          <w:lang w:eastAsia="fr-FR" w:bidi="ml"/>
        </w:rPr>
        <w:t xml:space="preserve"> (s) CPV des travaux, fournitures et services du marché </w:t>
      </w:r>
      <w:r w:rsidR="00661A97" w:rsidRPr="00493072">
        <w:rPr>
          <w:rFonts w:ascii="Arial" w:hAnsi="Arial" w:cs="Arial"/>
          <w:lang w:eastAsia="fr-FR" w:bidi="ml"/>
        </w:rPr>
        <w:t>public est (</w:t>
      </w:r>
      <w:r w:rsidRPr="00493072">
        <w:rPr>
          <w:rFonts w:ascii="Arial" w:hAnsi="Arial" w:cs="Arial"/>
          <w:lang w:eastAsia="fr-FR" w:bidi="ml"/>
        </w:rPr>
        <w:t>sont</w:t>
      </w:r>
      <w:r w:rsidR="00661A97" w:rsidRPr="00493072">
        <w:rPr>
          <w:rFonts w:ascii="Arial" w:hAnsi="Arial" w:cs="Arial"/>
          <w:lang w:eastAsia="fr-FR" w:bidi="ml"/>
        </w:rPr>
        <w:t>)</w:t>
      </w:r>
      <w:r w:rsidRPr="00493072">
        <w:rPr>
          <w:rFonts w:ascii="Arial" w:hAnsi="Arial" w:cs="Arial"/>
          <w:lang w:eastAsia="fr-FR" w:bidi="ml"/>
        </w:rPr>
        <w:t xml:space="preserve"> le</w:t>
      </w:r>
      <w:r w:rsidR="00661A97" w:rsidRPr="00493072">
        <w:rPr>
          <w:rFonts w:ascii="Arial" w:hAnsi="Arial" w:cs="Arial"/>
          <w:lang w:eastAsia="fr-FR" w:bidi="ml"/>
        </w:rPr>
        <w:t>(</w:t>
      </w:r>
      <w:r w:rsidRPr="00493072">
        <w:rPr>
          <w:rFonts w:ascii="Arial" w:hAnsi="Arial" w:cs="Arial"/>
          <w:lang w:eastAsia="fr-FR" w:bidi="ml"/>
        </w:rPr>
        <w:t>s</w:t>
      </w:r>
      <w:r w:rsidR="00661A97" w:rsidRPr="00493072">
        <w:rPr>
          <w:rFonts w:ascii="Arial" w:hAnsi="Arial" w:cs="Arial"/>
          <w:lang w:eastAsia="fr-FR" w:bidi="ml"/>
        </w:rPr>
        <w:t>)</w:t>
      </w:r>
      <w:r w:rsidRPr="00493072">
        <w:rPr>
          <w:rFonts w:ascii="Arial" w:hAnsi="Arial" w:cs="Arial"/>
          <w:lang w:eastAsia="fr-FR" w:bidi="ml"/>
        </w:rPr>
        <w:t xml:space="preserve"> suivant</w:t>
      </w:r>
      <w:r w:rsidR="00661A97" w:rsidRPr="00493072">
        <w:rPr>
          <w:rFonts w:ascii="Arial" w:hAnsi="Arial" w:cs="Arial"/>
          <w:lang w:eastAsia="fr-FR" w:bidi="ml"/>
        </w:rPr>
        <w:t>(</w:t>
      </w:r>
      <w:r w:rsidRPr="00493072">
        <w:rPr>
          <w:rFonts w:ascii="Arial" w:hAnsi="Arial" w:cs="Arial"/>
          <w:lang w:eastAsia="fr-FR" w:bidi="ml"/>
        </w:rPr>
        <w:t>s</w:t>
      </w:r>
      <w:r w:rsidR="00661A97" w:rsidRPr="00493072">
        <w:rPr>
          <w:rFonts w:ascii="Arial" w:hAnsi="Arial" w:cs="Arial"/>
          <w:lang w:eastAsia="fr-FR" w:bidi="ml"/>
        </w:rPr>
        <w:t>)</w:t>
      </w:r>
      <w:r w:rsidR="00493072">
        <w:rPr>
          <w:rFonts w:ascii="Arial" w:hAnsi="Arial" w:cs="Arial"/>
          <w:lang w:eastAsia="fr-FR" w:bidi="ml"/>
        </w:rPr>
        <w:t> </w:t>
      </w:r>
      <w:r w:rsidRPr="00493072">
        <w:rPr>
          <w:rFonts w:ascii="Arial" w:hAnsi="Arial" w:cs="Arial"/>
          <w:lang w:eastAsia="fr-FR" w:bidi="ml"/>
        </w:rPr>
        <w:t>:</w:t>
      </w:r>
    </w:p>
    <w:p w14:paraId="6A34C9C1" w14:textId="59C155B6" w:rsidR="00A9775B" w:rsidRPr="00A9775B" w:rsidRDefault="00493072" w:rsidP="00A9775B">
      <w:pPr>
        <w:tabs>
          <w:tab w:val="left" w:pos="426"/>
          <w:tab w:val="left" w:pos="851"/>
        </w:tabs>
        <w:suppressAutoHyphens w:val="0"/>
        <w:jc w:val="both"/>
        <w:rPr>
          <w:rFonts w:ascii="Arial" w:hAnsi="Arial" w:cs="Arial"/>
          <w:lang w:eastAsia="fr-FR" w:bidi="ml"/>
        </w:rPr>
      </w:pPr>
      <w:r>
        <w:rPr>
          <w:rFonts w:ascii="Arial" w:hAnsi="Arial" w:cs="Arial"/>
          <w:lang w:eastAsia="fr-FR" w:bidi="ml"/>
        </w:rPr>
        <w:t>50000000-5 SERVICES DE REPARATION ET D’ENTRETIEN</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741CB564" w14:textId="6354808E" w:rsidR="00A8760E" w:rsidRPr="00493072" w:rsidRDefault="00A8760E" w:rsidP="00A9775B">
      <w:pPr>
        <w:numPr>
          <w:ilvl w:val="0"/>
          <w:numId w:val="7"/>
        </w:numPr>
        <w:tabs>
          <w:tab w:val="left" w:pos="426"/>
          <w:tab w:val="left" w:pos="851"/>
        </w:tabs>
        <w:suppressAutoHyphens w:val="0"/>
        <w:contextualSpacing/>
        <w:jc w:val="both"/>
        <w:rPr>
          <w:rFonts w:ascii="Arial" w:hAnsi="Arial" w:cs="Arial"/>
          <w:lang w:eastAsia="fr-FR" w:bidi="ml"/>
        </w:rPr>
      </w:pPr>
      <w:r w:rsidRPr="00493072">
        <w:rPr>
          <w:rFonts w:ascii="Arial" w:hAnsi="Arial" w:cs="Arial"/>
          <w:lang w:eastAsia="fr-FR" w:bidi="ml"/>
        </w:rPr>
        <w:t xml:space="preserve">Accord-cadre avec conclusion en partie de marchés subséquents et en partie de bons de commande </w:t>
      </w:r>
      <w:r w:rsidR="00A57DD1" w:rsidRPr="00493072">
        <w:rPr>
          <w:rFonts w:ascii="Arial" w:hAnsi="Arial" w:cs="Arial"/>
          <w:lang w:eastAsia="fr-FR" w:bidi="ml"/>
        </w:rPr>
        <w:t>(R</w:t>
      </w:r>
      <w:r w:rsidR="00E32A79" w:rsidRPr="00493072">
        <w:rPr>
          <w:rFonts w:ascii="Arial" w:hAnsi="Arial" w:cs="Arial"/>
          <w:lang w:eastAsia="fr-FR" w:bidi="ml"/>
        </w:rPr>
        <w:t>2162</w:t>
      </w:r>
      <w:r w:rsidR="005923D2" w:rsidRPr="00493072">
        <w:rPr>
          <w:rFonts w:ascii="Arial" w:hAnsi="Arial" w:cs="Arial"/>
          <w:lang w:eastAsia="fr-FR" w:bidi="ml"/>
        </w:rPr>
        <w:t xml:space="preserve">-3 à R2162-10, R2162-13 et </w:t>
      </w:r>
      <w:r w:rsidR="001A5CEB" w:rsidRPr="00493072">
        <w:rPr>
          <w:rFonts w:ascii="Arial" w:hAnsi="Arial" w:cs="Arial"/>
          <w:lang w:eastAsia="fr-FR" w:bidi="ml"/>
        </w:rPr>
        <w:t>R2162-</w:t>
      </w:r>
      <w:r w:rsidRPr="00493072">
        <w:rPr>
          <w:rFonts w:ascii="Arial" w:hAnsi="Arial" w:cs="Arial"/>
          <w:lang w:eastAsia="fr-FR" w:bidi="ml"/>
        </w:rPr>
        <w:t>14</w:t>
      </w:r>
      <w:r w:rsidR="005A5FCD" w:rsidRPr="00493072">
        <w:rPr>
          <w:rFonts w:ascii="Arial" w:hAnsi="Arial" w:cs="Arial"/>
          <w:lang w:eastAsia="fr-FR" w:bidi="ml"/>
        </w:rPr>
        <w:t xml:space="preserve"> du code de la commande publique</w:t>
      </w:r>
      <w:r w:rsidRPr="00493072">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6F00805C" w:rsidR="009B1CD0" w:rsidRDefault="009B1CD0" w:rsidP="006C4338">
      <w:pPr>
        <w:pStyle w:val="fcasegauche"/>
        <w:tabs>
          <w:tab w:val="left" w:pos="851"/>
        </w:tabs>
        <w:spacing w:after="0"/>
        <w:ind w:left="0" w:firstLine="0"/>
        <w:rPr>
          <w:rFonts w:ascii="Arial" w:hAnsi="Arial" w:cs="Arial"/>
        </w:rPr>
      </w:pPr>
    </w:p>
    <w:p w14:paraId="01493C4B" w14:textId="77777777" w:rsidR="00493072" w:rsidRDefault="00493072" w:rsidP="006C4338">
      <w:pPr>
        <w:pStyle w:val="fcasegauche"/>
        <w:tabs>
          <w:tab w:val="left" w:pos="851"/>
        </w:tabs>
        <w:spacing w:after="0"/>
        <w:ind w:left="0" w:firstLine="0"/>
        <w:rPr>
          <w:rFonts w:ascii="Arial" w:hAnsi="Arial" w:cs="Arial"/>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D6A81">
        <w:fldChar w:fldCharType="separate"/>
      </w:r>
      <w:r>
        <w:fldChar w:fldCharType="end"/>
      </w:r>
      <w:r w:rsidR="00EC4A56" w:rsidRPr="00E67E3B">
        <w:rPr>
          <w:rFonts w:ascii="Arial" w:hAnsi="Arial" w:cs="Arial"/>
        </w:rPr>
        <w:t xml:space="preserve"> CC</w:t>
      </w:r>
      <w:r w:rsidR="00EC4A56" w:rsidRPr="00493072">
        <w:rPr>
          <w:rFonts w:ascii="Arial" w:hAnsi="Arial" w:cs="Arial"/>
        </w:rPr>
        <w:t>A</w:t>
      </w:r>
      <w:r w:rsidR="00EC4A56" w:rsidRPr="00E67E3B">
        <w:rPr>
          <w:rFonts w:ascii="Arial" w:hAnsi="Arial" w:cs="Arial"/>
        </w:rPr>
        <w:t>P</w:t>
      </w:r>
    </w:p>
    <w:p w14:paraId="6A34C9EA" w14:textId="278D46E6"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D6A81">
        <w:fldChar w:fldCharType="separate"/>
      </w:r>
      <w:r>
        <w:fldChar w:fldCharType="end"/>
      </w:r>
      <w:r w:rsidR="009B1CD0" w:rsidRPr="00E67E3B">
        <w:rPr>
          <w:rFonts w:ascii="Arial" w:hAnsi="Arial" w:cs="Arial"/>
        </w:rPr>
        <w:t xml:space="preserve"> CCAG</w:t>
      </w:r>
      <w:proofErr w:type="gramStart"/>
      <w:r w:rsidR="009B1CD0" w:rsidRPr="00E67E3B">
        <w:rPr>
          <w:rFonts w:ascii="Arial" w:hAnsi="Arial" w:cs="Arial"/>
        </w:rPr>
        <w:t> :…</w:t>
      </w:r>
      <w:proofErr w:type="gramEnd"/>
      <w:r w:rsidR="009B1CD0" w:rsidRPr="00E67E3B">
        <w:rPr>
          <w:rFonts w:ascii="Arial" w:hAnsi="Arial" w:cs="Arial"/>
        </w:rPr>
        <w:t>……</w:t>
      </w:r>
      <w:r w:rsidR="00493072">
        <w:rPr>
          <w:rFonts w:ascii="Arial" w:hAnsi="Arial" w:cs="Arial"/>
        </w:rPr>
        <w:t>FCS</w:t>
      </w:r>
      <w:r w:rsidR="009B1CD0" w:rsidRPr="00E67E3B">
        <w:rPr>
          <w:rFonts w:ascii="Arial" w:hAnsi="Arial" w:cs="Arial"/>
        </w:rPr>
        <w:t>……………………………………………………………………………………</w:t>
      </w:r>
    </w:p>
    <w:p w14:paraId="6A34C9EB" w14:textId="77777777" w:rsidR="009B1CD0" w:rsidRPr="00E67E3B"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9D6A81">
        <w:fldChar w:fldCharType="separate"/>
      </w:r>
      <w:r>
        <w:fldChar w:fldCharType="end"/>
      </w:r>
      <w:r w:rsidR="009B1CD0" w:rsidRPr="00E67E3B">
        <w:rPr>
          <w:rFonts w:ascii="Arial" w:hAnsi="Arial" w:cs="Arial"/>
        </w:rPr>
        <w:t xml:space="preserve"> </w:t>
      </w:r>
      <w:r w:rsidR="009B1CD0" w:rsidRPr="00493072">
        <w:rPr>
          <w:rFonts w:ascii="Arial" w:hAnsi="Arial" w:cs="Arial"/>
        </w:rPr>
        <w:t xml:space="preserve">CCTP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D6A8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9D6A8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A1B1FF3" w:rsidR="00A9775B" w:rsidRPr="009D6A81" w:rsidRDefault="00A9775B" w:rsidP="00A9775B">
      <w:pPr>
        <w:tabs>
          <w:tab w:val="left" w:pos="851"/>
        </w:tabs>
        <w:suppressAutoHyphens w:val="0"/>
        <w:spacing w:before="120"/>
        <w:ind w:left="709" w:firstLine="142"/>
        <w:jc w:val="both"/>
        <w:rPr>
          <w:rFonts w:ascii="Arial" w:hAnsi="Arial" w:cs="Arial"/>
          <w:lang w:eastAsia="fr-FR" w:bidi="ml"/>
        </w:rPr>
      </w:pPr>
      <w:r w:rsidRPr="009D6A81">
        <w:rPr>
          <w:rFonts w:ascii="Arial" w:hAnsi="Arial" w:cs="Arial"/>
          <w:lang w:eastAsia="fr-FR" w:bidi="ml"/>
        </w:rPr>
        <w:fldChar w:fldCharType="begin">
          <w:ffData>
            <w:name w:val="CaseACocher108"/>
            <w:enabled/>
            <w:calcOnExit w:val="0"/>
            <w:checkBox>
              <w:sizeAuto/>
              <w:default w:val="0"/>
            </w:checkBox>
          </w:ffData>
        </w:fldChar>
      </w:r>
      <w:r w:rsidRPr="009D6A81">
        <w:rPr>
          <w:rFonts w:ascii="Arial" w:hAnsi="Arial" w:cs="Arial"/>
          <w:lang w:eastAsia="fr-FR" w:bidi="ml"/>
        </w:rPr>
        <w:instrText xml:space="preserve"> FORMCHECKBOX </w:instrText>
      </w:r>
      <w:r w:rsidR="009D6A81" w:rsidRPr="009D6A81">
        <w:rPr>
          <w:rFonts w:ascii="Arial" w:hAnsi="Arial" w:cs="Arial"/>
          <w:lang w:eastAsia="fr-FR" w:bidi="ml"/>
        </w:rPr>
      </w:r>
      <w:r w:rsidR="009D6A81" w:rsidRPr="009D6A81">
        <w:rPr>
          <w:rFonts w:ascii="Arial" w:hAnsi="Arial" w:cs="Arial"/>
          <w:lang w:eastAsia="fr-FR" w:bidi="ml"/>
        </w:rPr>
        <w:fldChar w:fldCharType="separate"/>
      </w:r>
      <w:r w:rsidRPr="009D6A81">
        <w:rPr>
          <w:rFonts w:ascii="Arial" w:hAnsi="Arial" w:cs="Arial"/>
          <w:lang w:eastAsia="fr-FR" w:bidi="ml"/>
        </w:rPr>
        <w:fldChar w:fldCharType="end"/>
      </w:r>
      <w:r w:rsidR="00B05C4B" w:rsidRPr="009D6A81">
        <w:rPr>
          <w:rFonts w:ascii="Arial" w:hAnsi="Arial" w:cs="Arial"/>
          <w:lang w:eastAsia="fr-FR" w:bidi="ml"/>
        </w:rPr>
        <w:t xml:space="preserve"> </w:t>
      </w:r>
      <w:proofErr w:type="gramStart"/>
      <w:r w:rsidR="00B05C4B" w:rsidRPr="009D6A81">
        <w:rPr>
          <w:rFonts w:ascii="Arial" w:hAnsi="Arial" w:cs="Arial"/>
          <w:lang w:eastAsia="fr-FR" w:bidi="ml"/>
        </w:rPr>
        <w:t>les</w:t>
      </w:r>
      <w:proofErr w:type="gramEnd"/>
      <w:r w:rsidRPr="009D6A81">
        <w:rPr>
          <w:rFonts w:ascii="Arial" w:hAnsi="Arial" w:cs="Arial"/>
          <w:lang w:eastAsia="fr-FR" w:bidi="ml"/>
        </w:rPr>
        <w:t xml:space="preserve"> prix indiqués dans l’annexe financière jointe au présent document, et/ou</w:t>
      </w:r>
    </w:p>
    <w:p w14:paraId="6A34CA0D" w14:textId="6F78E757" w:rsidR="00493072" w:rsidRDefault="00493072">
      <w:pPr>
        <w:suppressAutoHyphens w:val="0"/>
        <w:rPr>
          <w:rFonts w:ascii="Arial" w:hAnsi="Arial" w:cs="Arial"/>
          <w:lang w:eastAsia="fr-FR" w:bidi="ml"/>
        </w:rPr>
      </w:pPr>
      <w:r>
        <w:rPr>
          <w:rFonts w:ascii="Arial" w:hAnsi="Arial" w:cs="Arial"/>
          <w:lang w:eastAsia="fr-FR" w:bidi="ml"/>
        </w:rPr>
        <w:br w:type="page"/>
      </w:r>
    </w:p>
    <w:p w14:paraId="0C4FDAD0" w14:textId="77777777" w:rsidR="00A9775B" w:rsidRPr="00A9775B" w:rsidRDefault="00A9775B" w:rsidP="00A9775B">
      <w:pPr>
        <w:suppressAutoHyphens w:val="0"/>
        <w:jc w:val="both"/>
        <w:rPr>
          <w:rFonts w:ascii="Arial" w:hAnsi="Arial" w:cs="Arial"/>
          <w:lang w:eastAsia="fr-FR" w:bidi="ml"/>
        </w:rPr>
      </w:pPr>
    </w:p>
    <w:p w14:paraId="3EE211B2" w14:textId="77777777" w:rsidR="00493072" w:rsidRPr="00493072" w:rsidRDefault="00493072" w:rsidP="00493072">
      <w:r w:rsidRPr="00493072">
        <w:t>L’accord-cadre est conclu comme suit :</w:t>
      </w:r>
    </w:p>
    <w:p w14:paraId="01CDAF63" w14:textId="77777777" w:rsidR="00493072" w:rsidRPr="00493072" w:rsidRDefault="00493072" w:rsidP="00493072">
      <w:r w:rsidRPr="00493072">
        <w:t>Avec seulement un maximum de 143 000,00 €HT (article R.2162-4 2° du code de la commande publique).</w:t>
      </w:r>
    </w:p>
    <w:p w14:paraId="4ACE14A6" w14:textId="77777777" w:rsidR="00493072" w:rsidRPr="00493072" w:rsidRDefault="00493072" w:rsidP="00493072">
      <w:pPr>
        <w:rPr>
          <w:i/>
          <w:iCs/>
          <w:color w:val="FF0000"/>
          <w:sz w:val="22"/>
          <w:szCs w:val="22"/>
        </w:rPr>
      </w:pPr>
      <w:r w:rsidRPr="00493072">
        <w:t xml:space="preserve">Ce montant maximum prend en compte la possibilité de marché pour prestation similaire prévue au chapitre 3.2 du présent CCAP. </w:t>
      </w:r>
      <w:r w:rsidRPr="00493072">
        <w:rPr>
          <w:color w:val="0000FF"/>
          <w:sz w:val="22"/>
          <w:szCs w:val="22"/>
        </w:rPr>
        <w:t xml:space="preserve"> </w:t>
      </w:r>
    </w:p>
    <w:tbl>
      <w:tblPr>
        <w:tblW w:w="7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
        <w:gridCol w:w="3959"/>
        <w:gridCol w:w="2446"/>
      </w:tblGrid>
      <w:tr w:rsidR="00493072" w14:paraId="0BC47C03" w14:textId="77777777" w:rsidTr="00A42A71">
        <w:trPr>
          <w:trHeight w:val="447"/>
          <w:jc w:val="center"/>
        </w:trPr>
        <w:tc>
          <w:tcPr>
            <w:tcW w:w="900" w:type="dxa"/>
            <w:tcBorders>
              <w:top w:val="single" w:sz="4" w:space="0" w:color="auto"/>
              <w:left w:val="single" w:sz="4" w:space="0" w:color="auto"/>
              <w:bottom w:val="single" w:sz="4" w:space="0" w:color="auto"/>
              <w:right w:val="single" w:sz="4" w:space="0" w:color="auto"/>
            </w:tcBorders>
            <w:vAlign w:val="center"/>
            <w:hideMark/>
          </w:tcPr>
          <w:p w14:paraId="5EFAFA2C" w14:textId="77777777" w:rsidR="00493072" w:rsidRDefault="00493072" w:rsidP="00A42A71">
            <w:pPr>
              <w:spacing w:line="276" w:lineRule="auto"/>
              <w:jc w:val="center"/>
              <w:rPr>
                <w:rFonts w:ascii="Arial" w:hAnsi="Arial" w:cs="Arial"/>
                <w:b/>
                <w:bCs/>
              </w:rPr>
            </w:pPr>
            <w:r>
              <w:rPr>
                <w:rFonts w:ascii="Arial" w:hAnsi="Arial" w:cs="Arial"/>
                <w:b/>
                <w:bCs/>
              </w:rPr>
              <w:t>Lots</w:t>
            </w:r>
          </w:p>
        </w:tc>
        <w:tc>
          <w:tcPr>
            <w:tcW w:w="3958" w:type="dxa"/>
            <w:tcBorders>
              <w:top w:val="single" w:sz="4" w:space="0" w:color="auto"/>
              <w:left w:val="single" w:sz="4" w:space="0" w:color="auto"/>
              <w:bottom w:val="single" w:sz="4" w:space="0" w:color="auto"/>
              <w:right w:val="single" w:sz="4" w:space="0" w:color="auto"/>
            </w:tcBorders>
            <w:vAlign w:val="center"/>
            <w:hideMark/>
          </w:tcPr>
          <w:p w14:paraId="5D5C60F8" w14:textId="77777777" w:rsidR="00493072" w:rsidRPr="00AA30EE" w:rsidRDefault="00493072" w:rsidP="00A42A71">
            <w:pPr>
              <w:pStyle w:val="Titre4"/>
              <w:numPr>
                <w:ilvl w:val="0"/>
                <w:numId w:val="0"/>
              </w:numPr>
              <w:spacing w:line="276" w:lineRule="auto"/>
              <w:jc w:val="center"/>
              <w:rPr>
                <w:rFonts w:eastAsiaTheme="minorHAnsi"/>
                <w:b w:val="0"/>
                <w:bCs/>
                <w:i/>
                <w:iCs/>
              </w:rPr>
            </w:pPr>
            <w:r w:rsidRPr="00AA30EE">
              <w:rPr>
                <w:rFonts w:eastAsiaTheme="minorHAnsi"/>
                <w:bCs/>
              </w:rPr>
              <w:t>Description</w:t>
            </w:r>
          </w:p>
        </w:tc>
        <w:tc>
          <w:tcPr>
            <w:tcW w:w="2445" w:type="dxa"/>
            <w:tcBorders>
              <w:top w:val="single" w:sz="4" w:space="0" w:color="auto"/>
              <w:left w:val="single" w:sz="4" w:space="0" w:color="auto"/>
              <w:bottom w:val="single" w:sz="4" w:space="0" w:color="auto"/>
              <w:right w:val="single" w:sz="4" w:space="0" w:color="auto"/>
            </w:tcBorders>
            <w:vAlign w:val="center"/>
          </w:tcPr>
          <w:p w14:paraId="3C00F504" w14:textId="77777777" w:rsidR="00493072" w:rsidRDefault="00493072" w:rsidP="00A42A71">
            <w:pPr>
              <w:spacing w:line="276" w:lineRule="auto"/>
              <w:jc w:val="center"/>
              <w:rPr>
                <w:rFonts w:ascii="Arial" w:hAnsi="Arial" w:cs="Arial"/>
                <w:b/>
                <w:bCs/>
              </w:rPr>
            </w:pPr>
            <w:r>
              <w:rPr>
                <w:rFonts w:ascii="Arial" w:hAnsi="Arial" w:cs="Arial"/>
                <w:b/>
                <w:bCs/>
              </w:rPr>
              <w:t>Maximum</w:t>
            </w:r>
          </w:p>
        </w:tc>
      </w:tr>
      <w:tr w:rsidR="00493072" w14:paraId="281813F0" w14:textId="77777777" w:rsidTr="00A42A71">
        <w:trPr>
          <w:trHeight w:val="340"/>
          <w:jc w:val="center"/>
        </w:trPr>
        <w:tc>
          <w:tcPr>
            <w:tcW w:w="900" w:type="dxa"/>
            <w:tcBorders>
              <w:top w:val="single" w:sz="4" w:space="0" w:color="auto"/>
              <w:left w:val="single" w:sz="4" w:space="0" w:color="auto"/>
              <w:bottom w:val="single" w:sz="4" w:space="0" w:color="auto"/>
              <w:right w:val="single" w:sz="4" w:space="0" w:color="auto"/>
            </w:tcBorders>
            <w:vAlign w:val="center"/>
            <w:hideMark/>
          </w:tcPr>
          <w:p w14:paraId="0BD6459A" w14:textId="77777777" w:rsidR="00493072" w:rsidRDefault="00493072" w:rsidP="00A42A71">
            <w:pPr>
              <w:spacing w:line="276" w:lineRule="auto"/>
              <w:jc w:val="center"/>
              <w:rPr>
                <w:rFonts w:ascii="Arial" w:hAnsi="Arial" w:cs="Arial"/>
                <w:b/>
                <w:bCs/>
              </w:rPr>
            </w:pPr>
            <w:r>
              <w:rPr>
                <w:rFonts w:ascii="Arial" w:hAnsi="Arial" w:cs="Arial"/>
                <w:b/>
                <w:bCs/>
              </w:rPr>
              <w:t>1</w:t>
            </w:r>
          </w:p>
        </w:tc>
        <w:tc>
          <w:tcPr>
            <w:tcW w:w="3958" w:type="dxa"/>
            <w:tcBorders>
              <w:top w:val="single" w:sz="4" w:space="0" w:color="auto"/>
              <w:left w:val="single" w:sz="4" w:space="0" w:color="auto"/>
              <w:bottom w:val="single" w:sz="4" w:space="0" w:color="auto"/>
              <w:right w:val="single" w:sz="4" w:space="0" w:color="auto"/>
            </w:tcBorders>
            <w:vAlign w:val="center"/>
            <w:hideMark/>
          </w:tcPr>
          <w:p w14:paraId="3638D580" w14:textId="77777777" w:rsidR="00493072" w:rsidRDefault="00493072" w:rsidP="00A42A71">
            <w:pPr>
              <w:spacing w:line="276" w:lineRule="auto"/>
              <w:rPr>
                <w:rFonts w:ascii="Arial" w:hAnsi="Arial" w:cs="Arial"/>
                <w:snapToGrid w:val="0"/>
              </w:rPr>
            </w:pPr>
            <w:r>
              <w:rPr>
                <w:rFonts w:ascii="Arial" w:hAnsi="Arial" w:cs="Arial"/>
                <w:snapToGrid w:val="0"/>
              </w:rPr>
              <w:t>Sites du 67 et 68</w:t>
            </w:r>
          </w:p>
        </w:tc>
        <w:tc>
          <w:tcPr>
            <w:tcW w:w="2445" w:type="dxa"/>
            <w:tcBorders>
              <w:top w:val="single" w:sz="4" w:space="0" w:color="auto"/>
              <w:left w:val="single" w:sz="4" w:space="0" w:color="auto"/>
              <w:bottom w:val="single" w:sz="4" w:space="0" w:color="auto"/>
              <w:right w:val="single" w:sz="4" w:space="0" w:color="auto"/>
            </w:tcBorders>
            <w:vAlign w:val="center"/>
            <w:hideMark/>
          </w:tcPr>
          <w:p w14:paraId="3D635DF3" w14:textId="77777777" w:rsidR="00493072" w:rsidRDefault="00493072" w:rsidP="00A42A71">
            <w:pPr>
              <w:spacing w:line="276" w:lineRule="auto"/>
              <w:jc w:val="center"/>
              <w:rPr>
                <w:rFonts w:ascii="Arial" w:hAnsi="Arial" w:cs="Arial"/>
                <w:b/>
                <w:snapToGrid w:val="0"/>
              </w:rPr>
            </w:pPr>
            <w:r>
              <w:rPr>
                <w:rFonts w:ascii="Arial" w:hAnsi="Arial" w:cs="Arial"/>
                <w:b/>
                <w:snapToGrid w:val="0"/>
              </w:rPr>
              <w:t>56 000</w:t>
            </w:r>
          </w:p>
        </w:tc>
      </w:tr>
      <w:tr w:rsidR="00493072" w14:paraId="672AA4C4" w14:textId="77777777" w:rsidTr="00A42A71">
        <w:trPr>
          <w:trHeight w:val="340"/>
          <w:jc w:val="center"/>
        </w:trPr>
        <w:tc>
          <w:tcPr>
            <w:tcW w:w="900" w:type="dxa"/>
            <w:tcBorders>
              <w:top w:val="single" w:sz="4" w:space="0" w:color="auto"/>
              <w:left w:val="single" w:sz="4" w:space="0" w:color="auto"/>
              <w:bottom w:val="single" w:sz="4" w:space="0" w:color="auto"/>
              <w:right w:val="single" w:sz="4" w:space="0" w:color="auto"/>
            </w:tcBorders>
            <w:vAlign w:val="center"/>
            <w:hideMark/>
          </w:tcPr>
          <w:p w14:paraId="3EC19DCD" w14:textId="77777777" w:rsidR="00493072" w:rsidRDefault="00493072" w:rsidP="00A42A71">
            <w:pPr>
              <w:spacing w:line="276" w:lineRule="auto"/>
              <w:jc w:val="center"/>
              <w:rPr>
                <w:rFonts w:ascii="Arial" w:hAnsi="Arial" w:cs="Arial"/>
                <w:b/>
                <w:bCs/>
              </w:rPr>
            </w:pPr>
            <w:r>
              <w:rPr>
                <w:rFonts w:ascii="Arial" w:hAnsi="Arial" w:cs="Arial"/>
                <w:b/>
                <w:bCs/>
              </w:rPr>
              <w:t>2</w:t>
            </w:r>
          </w:p>
        </w:tc>
        <w:tc>
          <w:tcPr>
            <w:tcW w:w="3958" w:type="dxa"/>
            <w:tcBorders>
              <w:top w:val="single" w:sz="4" w:space="0" w:color="auto"/>
              <w:left w:val="single" w:sz="4" w:space="0" w:color="auto"/>
              <w:bottom w:val="single" w:sz="4" w:space="0" w:color="auto"/>
              <w:right w:val="single" w:sz="4" w:space="0" w:color="auto"/>
            </w:tcBorders>
            <w:vAlign w:val="center"/>
            <w:hideMark/>
          </w:tcPr>
          <w:p w14:paraId="24CFA37B" w14:textId="77777777" w:rsidR="00493072" w:rsidRDefault="00493072" w:rsidP="00A42A71">
            <w:pPr>
              <w:spacing w:line="276" w:lineRule="auto"/>
              <w:rPr>
                <w:rFonts w:ascii="Arial" w:hAnsi="Arial" w:cs="Arial"/>
                <w:snapToGrid w:val="0"/>
              </w:rPr>
            </w:pPr>
            <w:r>
              <w:rPr>
                <w:rFonts w:ascii="Arial" w:hAnsi="Arial" w:cs="Arial"/>
                <w:snapToGrid w:val="0"/>
              </w:rPr>
              <w:t>Sites du 54, 57 et 52.</w:t>
            </w:r>
          </w:p>
        </w:tc>
        <w:tc>
          <w:tcPr>
            <w:tcW w:w="2445" w:type="dxa"/>
            <w:tcBorders>
              <w:top w:val="single" w:sz="4" w:space="0" w:color="auto"/>
              <w:left w:val="single" w:sz="4" w:space="0" w:color="auto"/>
              <w:bottom w:val="single" w:sz="4" w:space="0" w:color="auto"/>
              <w:right w:val="single" w:sz="4" w:space="0" w:color="auto"/>
            </w:tcBorders>
            <w:vAlign w:val="center"/>
            <w:hideMark/>
          </w:tcPr>
          <w:p w14:paraId="4CBF6FA3" w14:textId="77777777" w:rsidR="00493072" w:rsidRDefault="00493072" w:rsidP="00A42A71">
            <w:pPr>
              <w:spacing w:line="276" w:lineRule="auto"/>
              <w:jc w:val="center"/>
              <w:rPr>
                <w:rFonts w:ascii="Arial" w:hAnsi="Arial" w:cs="Arial"/>
                <w:b/>
                <w:snapToGrid w:val="0"/>
              </w:rPr>
            </w:pPr>
            <w:r>
              <w:rPr>
                <w:rFonts w:ascii="Arial" w:hAnsi="Arial" w:cs="Arial"/>
                <w:b/>
                <w:snapToGrid w:val="0"/>
              </w:rPr>
              <w:t>67 000</w:t>
            </w:r>
          </w:p>
        </w:tc>
      </w:tr>
      <w:tr w:rsidR="00493072" w14:paraId="4AB003E5" w14:textId="77777777" w:rsidTr="00A42A71">
        <w:trPr>
          <w:trHeight w:val="340"/>
          <w:jc w:val="center"/>
        </w:trPr>
        <w:tc>
          <w:tcPr>
            <w:tcW w:w="900" w:type="dxa"/>
            <w:tcBorders>
              <w:top w:val="single" w:sz="4" w:space="0" w:color="auto"/>
              <w:left w:val="single" w:sz="4" w:space="0" w:color="auto"/>
              <w:bottom w:val="single" w:sz="4" w:space="0" w:color="auto"/>
              <w:right w:val="single" w:sz="4" w:space="0" w:color="auto"/>
            </w:tcBorders>
            <w:vAlign w:val="center"/>
            <w:hideMark/>
          </w:tcPr>
          <w:p w14:paraId="69FFEA43" w14:textId="77777777" w:rsidR="00493072" w:rsidRDefault="00493072" w:rsidP="00A42A71">
            <w:pPr>
              <w:spacing w:line="276" w:lineRule="auto"/>
              <w:jc w:val="center"/>
              <w:rPr>
                <w:rFonts w:ascii="Arial" w:hAnsi="Arial" w:cs="Arial"/>
                <w:b/>
                <w:bCs/>
              </w:rPr>
            </w:pPr>
            <w:r>
              <w:rPr>
                <w:rFonts w:ascii="Arial" w:hAnsi="Arial" w:cs="Arial"/>
                <w:b/>
                <w:bCs/>
              </w:rPr>
              <w:t>3</w:t>
            </w:r>
          </w:p>
        </w:tc>
        <w:tc>
          <w:tcPr>
            <w:tcW w:w="3958" w:type="dxa"/>
            <w:tcBorders>
              <w:top w:val="single" w:sz="4" w:space="0" w:color="auto"/>
              <w:left w:val="single" w:sz="4" w:space="0" w:color="auto"/>
              <w:bottom w:val="single" w:sz="4" w:space="0" w:color="auto"/>
              <w:right w:val="single" w:sz="4" w:space="0" w:color="auto"/>
            </w:tcBorders>
            <w:vAlign w:val="center"/>
            <w:hideMark/>
          </w:tcPr>
          <w:p w14:paraId="19CAFE3C" w14:textId="77777777" w:rsidR="00493072" w:rsidRDefault="00493072" w:rsidP="00A42A71">
            <w:pPr>
              <w:spacing w:line="276" w:lineRule="auto"/>
              <w:rPr>
                <w:rFonts w:ascii="Arial" w:hAnsi="Arial" w:cs="Arial"/>
                <w:snapToGrid w:val="0"/>
              </w:rPr>
            </w:pPr>
            <w:r>
              <w:rPr>
                <w:rFonts w:ascii="Arial" w:hAnsi="Arial" w:cs="Arial"/>
                <w:snapToGrid w:val="0"/>
              </w:rPr>
              <w:t xml:space="preserve">Sites du 10 et 51. </w:t>
            </w:r>
          </w:p>
        </w:tc>
        <w:tc>
          <w:tcPr>
            <w:tcW w:w="2445" w:type="dxa"/>
            <w:tcBorders>
              <w:top w:val="single" w:sz="4" w:space="0" w:color="auto"/>
              <w:left w:val="single" w:sz="4" w:space="0" w:color="auto"/>
              <w:bottom w:val="single" w:sz="4" w:space="0" w:color="auto"/>
              <w:right w:val="single" w:sz="4" w:space="0" w:color="auto"/>
            </w:tcBorders>
            <w:vAlign w:val="center"/>
            <w:hideMark/>
          </w:tcPr>
          <w:p w14:paraId="1B87FADF" w14:textId="77777777" w:rsidR="00493072" w:rsidRDefault="00493072" w:rsidP="00A42A71">
            <w:pPr>
              <w:spacing w:line="276" w:lineRule="auto"/>
              <w:jc w:val="center"/>
              <w:rPr>
                <w:rFonts w:ascii="Arial" w:hAnsi="Arial" w:cs="Arial"/>
                <w:b/>
                <w:snapToGrid w:val="0"/>
              </w:rPr>
            </w:pPr>
            <w:r>
              <w:rPr>
                <w:rFonts w:ascii="Arial" w:hAnsi="Arial" w:cs="Arial"/>
                <w:b/>
                <w:snapToGrid w:val="0"/>
              </w:rPr>
              <w:t>20 000</w:t>
            </w:r>
          </w:p>
        </w:tc>
      </w:tr>
    </w:tbl>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lastRenderedPageBreak/>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D6A81">
        <w:rPr>
          <w:lang w:eastAsia="fr-FR" w:bidi="ml"/>
        </w:rPr>
      </w:r>
      <w:r w:rsidR="009D6A8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9D6A81">
        <w:rPr>
          <w:lang w:eastAsia="fr-FR" w:bidi="ml"/>
        </w:rPr>
      </w:r>
      <w:r w:rsidR="009D6A8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D6A8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9D6A8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4F5C099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CB2B8C">
        <w:rPr>
          <w:rFonts w:ascii="Arial" w:hAnsi="Arial" w:cs="Arial"/>
        </w:rPr>
        <w:t xml:space="preserve">12 </w:t>
      </w:r>
      <w:r>
        <w:rPr>
          <w:rFonts w:ascii="Arial" w:hAnsi="Arial" w:cs="Arial"/>
        </w:rPr>
        <w:t>mois à compter de :</w:t>
      </w:r>
    </w:p>
    <w:p w14:paraId="6A34CAF1" w14:textId="482BA4AD" w:rsidR="009B1CD0" w:rsidRPr="00EC4741" w:rsidRDefault="00EC4741" w:rsidP="009B45B9">
      <w:pPr>
        <w:tabs>
          <w:tab w:val="left" w:pos="851"/>
        </w:tabs>
        <w:spacing w:before="120"/>
        <w:ind w:left="567"/>
        <w:jc w:val="both"/>
        <w:rPr>
          <w:rFonts w:ascii="Arial" w:hAnsi="Arial" w:cs="Arial"/>
        </w:rPr>
      </w:pPr>
      <w:r>
        <w:tab/>
      </w:r>
      <w:r w:rsidR="00844DAA">
        <w:tab/>
      </w:r>
      <w:r w:rsidR="00CB2B8C">
        <w:fldChar w:fldCharType="begin">
          <w:ffData>
            <w:name w:val=""/>
            <w:enabled/>
            <w:calcOnExit w:val="0"/>
            <w:checkBox>
              <w:size w:val="20"/>
              <w:default w:val="1"/>
            </w:checkBox>
          </w:ffData>
        </w:fldChar>
      </w:r>
      <w:r w:rsidR="00CB2B8C">
        <w:instrText xml:space="preserve"> FORMCHECKBOX </w:instrText>
      </w:r>
      <w:r w:rsidR="00CB2B8C">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6A34CAF3" w14:textId="450829B9" w:rsidR="009B1CD0" w:rsidRDefault="00EC4741" w:rsidP="00EC4741">
      <w:pPr>
        <w:tabs>
          <w:tab w:val="left" w:pos="851"/>
        </w:tabs>
        <w:spacing w:before="120"/>
        <w:ind w:left="1134" w:hanging="567"/>
        <w:jc w:val="both"/>
        <w:rPr>
          <w:rFonts w:ascii="Arial" w:hAnsi="Arial" w:cs="Arial"/>
          <w:b/>
        </w:rPr>
      </w:pPr>
      <w:r>
        <w:tab/>
      </w:r>
    </w:p>
    <w:p w14:paraId="6A34CAF4" w14:textId="77777777" w:rsidR="009B1CD0" w:rsidRDefault="009B1CD0" w:rsidP="009B45B9">
      <w:pPr>
        <w:tabs>
          <w:tab w:val="left" w:pos="426"/>
          <w:tab w:val="left" w:pos="851"/>
        </w:tabs>
        <w:jc w:val="both"/>
        <w:rPr>
          <w:rFonts w:ascii="Arial" w:hAnsi="Arial" w:cs="Arial"/>
          <w:b/>
        </w:rPr>
      </w:pPr>
    </w:p>
    <w:p w14:paraId="6A34CAF5" w14:textId="1554A3A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CB2B8C">
        <w:fldChar w:fldCharType="begin">
          <w:ffData>
            <w:name w:val=""/>
            <w:enabled/>
            <w:calcOnExit w:val="0"/>
            <w:checkBox>
              <w:size w:val="20"/>
              <w:default w:val="1"/>
            </w:checkBox>
          </w:ffData>
        </w:fldChar>
      </w:r>
      <w:r w:rsidR="00CB2B8C">
        <w:instrText xml:space="preserve"> FORMCHECKBOX </w:instrText>
      </w:r>
      <w:r w:rsidR="00CB2B8C">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D6A81">
        <w:fldChar w:fldCharType="separate"/>
      </w:r>
      <w:r w:rsidR="007D7A65">
        <w:fldChar w:fldCharType="end"/>
      </w:r>
      <w:r w:rsidR="00EC4741">
        <w:tab/>
        <w:t>NON</w:t>
      </w:r>
    </w:p>
    <w:p w14:paraId="6A34CAF9" w14:textId="58EF672F" w:rsidR="009B1CD0" w:rsidRPr="00CB2B8C" w:rsidRDefault="009B1CD0" w:rsidP="009B45B9">
      <w:pPr>
        <w:numPr>
          <w:ilvl w:val="0"/>
          <w:numId w:val="3"/>
        </w:numPr>
        <w:tabs>
          <w:tab w:val="left" w:pos="426"/>
          <w:tab w:val="left" w:pos="851"/>
        </w:tabs>
        <w:spacing w:before="120"/>
        <w:ind w:left="924" w:hanging="357"/>
        <w:jc w:val="both"/>
        <w:rPr>
          <w:rFonts w:ascii="Arial" w:hAnsi="Arial" w:cs="Arial"/>
        </w:rPr>
      </w:pPr>
      <w:r w:rsidRPr="00CB2B8C">
        <w:rPr>
          <w:rFonts w:ascii="Arial" w:hAnsi="Arial" w:cs="Arial"/>
        </w:rPr>
        <w:t>Nombre de reconduction</w:t>
      </w:r>
      <w:r w:rsidR="00EC4741" w:rsidRPr="00CB2B8C">
        <w:rPr>
          <w:rFonts w:ascii="Arial" w:hAnsi="Arial" w:cs="Arial"/>
        </w:rPr>
        <w:t>(</w:t>
      </w:r>
      <w:r w:rsidRPr="00CB2B8C">
        <w:rPr>
          <w:rFonts w:ascii="Arial" w:hAnsi="Arial" w:cs="Arial"/>
        </w:rPr>
        <w:t>s</w:t>
      </w:r>
      <w:r w:rsidR="00EC4741" w:rsidRPr="00CB2B8C">
        <w:rPr>
          <w:rFonts w:ascii="Arial" w:hAnsi="Arial" w:cs="Arial"/>
        </w:rPr>
        <w:t>)</w:t>
      </w:r>
      <w:r w:rsidRPr="00CB2B8C">
        <w:rPr>
          <w:rFonts w:ascii="Arial" w:hAnsi="Arial" w:cs="Arial"/>
        </w:rPr>
        <w:t> : ……</w:t>
      </w:r>
      <w:r w:rsidR="00CB2B8C" w:rsidRPr="00CB2B8C">
        <w:rPr>
          <w:rFonts w:ascii="Arial" w:hAnsi="Arial" w:cs="Arial"/>
        </w:rPr>
        <w:t>3</w:t>
      </w:r>
      <w:r w:rsidRPr="00CB2B8C">
        <w:rPr>
          <w:rFonts w:ascii="Arial" w:hAnsi="Arial" w:cs="Arial"/>
        </w:rPr>
        <w:t>…….............</w:t>
      </w:r>
    </w:p>
    <w:p w14:paraId="6A34CAFA" w14:textId="3516D5EF" w:rsidR="009B1CD0" w:rsidRPr="00CB2B8C" w:rsidRDefault="009B1CD0" w:rsidP="009B45B9">
      <w:pPr>
        <w:numPr>
          <w:ilvl w:val="0"/>
          <w:numId w:val="3"/>
        </w:numPr>
        <w:tabs>
          <w:tab w:val="left" w:pos="426"/>
          <w:tab w:val="left" w:pos="851"/>
        </w:tabs>
        <w:spacing w:before="120"/>
        <w:ind w:left="924" w:hanging="357"/>
        <w:jc w:val="both"/>
        <w:rPr>
          <w:rFonts w:ascii="Arial" w:hAnsi="Arial" w:cs="Arial"/>
          <w:b/>
        </w:rPr>
      </w:pPr>
      <w:r w:rsidRPr="00CB2B8C">
        <w:rPr>
          <w:rFonts w:ascii="Arial" w:hAnsi="Arial" w:cs="Arial"/>
        </w:rPr>
        <w:t>Durée de</w:t>
      </w:r>
      <w:r w:rsidR="00B86CA7" w:rsidRPr="00CB2B8C">
        <w:rPr>
          <w:rFonts w:ascii="Arial" w:hAnsi="Arial" w:cs="Arial"/>
        </w:rPr>
        <w:t xml:space="preserve"> la (de</w:t>
      </w:r>
      <w:r w:rsidR="00EC4741" w:rsidRPr="00CB2B8C">
        <w:rPr>
          <w:rFonts w:ascii="Arial" w:hAnsi="Arial" w:cs="Arial"/>
        </w:rPr>
        <w:t>s</w:t>
      </w:r>
      <w:r w:rsidR="00B86CA7" w:rsidRPr="00CB2B8C">
        <w:rPr>
          <w:rFonts w:ascii="Arial" w:hAnsi="Arial" w:cs="Arial"/>
        </w:rPr>
        <w:t>)</w:t>
      </w:r>
      <w:r w:rsidR="00EC4741" w:rsidRPr="00CB2B8C">
        <w:rPr>
          <w:rFonts w:ascii="Arial" w:hAnsi="Arial" w:cs="Arial"/>
        </w:rPr>
        <w:t xml:space="preserve"> période</w:t>
      </w:r>
      <w:r w:rsidR="00B86CA7" w:rsidRPr="00CB2B8C">
        <w:rPr>
          <w:rFonts w:ascii="Arial" w:hAnsi="Arial" w:cs="Arial"/>
        </w:rPr>
        <w:t>(</w:t>
      </w:r>
      <w:r w:rsidR="00EC4741" w:rsidRPr="00CB2B8C">
        <w:rPr>
          <w:rFonts w:ascii="Arial" w:hAnsi="Arial" w:cs="Arial"/>
        </w:rPr>
        <w:t>s</w:t>
      </w:r>
      <w:r w:rsidR="00B86CA7" w:rsidRPr="00CB2B8C">
        <w:rPr>
          <w:rFonts w:ascii="Arial" w:hAnsi="Arial" w:cs="Arial"/>
        </w:rPr>
        <w:t>)</w:t>
      </w:r>
      <w:r w:rsidR="00EC4741" w:rsidRPr="00CB2B8C">
        <w:rPr>
          <w:rFonts w:ascii="Arial" w:hAnsi="Arial" w:cs="Arial"/>
        </w:rPr>
        <w:t xml:space="preserve"> de </w:t>
      </w:r>
      <w:r w:rsidRPr="00CB2B8C">
        <w:rPr>
          <w:rFonts w:ascii="Arial" w:hAnsi="Arial" w:cs="Arial"/>
        </w:rPr>
        <w:t>reconduction : ……</w:t>
      </w:r>
      <w:r w:rsidR="00CB2B8C" w:rsidRPr="00CB2B8C">
        <w:rPr>
          <w:rFonts w:ascii="Arial" w:hAnsi="Arial" w:cs="Arial"/>
        </w:rPr>
        <w:t>12 mois</w:t>
      </w:r>
      <w:r w:rsidRPr="00CB2B8C">
        <w:rPr>
          <w:rFonts w:ascii="Arial" w:hAnsi="Arial" w:cs="Arial"/>
        </w:rPr>
        <w:t>…………</w:t>
      </w:r>
      <w:proofErr w:type="gramStart"/>
      <w:r w:rsidRPr="00CB2B8C">
        <w:rPr>
          <w:rFonts w:ascii="Arial" w:hAnsi="Arial" w:cs="Arial"/>
        </w:rPr>
        <w:t>…….</w:t>
      </w:r>
      <w:proofErr w:type="gramEnd"/>
      <w:r w:rsidRPr="00CB2B8C">
        <w:rPr>
          <w:rFonts w:ascii="Arial" w:hAnsi="Arial" w:cs="Arial"/>
        </w:rPr>
        <w:t>.</w:t>
      </w:r>
    </w:p>
    <w:p w14:paraId="481A1481" w14:textId="2B917B2C" w:rsidR="00CB2B8C" w:rsidRPr="00CB2B8C" w:rsidRDefault="00CB2B8C" w:rsidP="00CB2B8C">
      <w:pPr>
        <w:tabs>
          <w:tab w:val="left" w:pos="426"/>
          <w:tab w:val="left" w:pos="851"/>
        </w:tabs>
        <w:spacing w:before="120"/>
        <w:jc w:val="both"/>
        <w:rPr>
          <w:rFonts w:ascii="Arial" w:hAnsi="Arial" w:cs="Arial"/>
        </w:rPr>
      </w:pPr>
    </w:p>
    <w:p w14:paraId="32173DD9" w14:textId="77777777" w:rsidR="00CB2B8C" w:rsidRDefault="00CB2B8C" w:rsidP="00CB2B8C">
      <w:pPr>
        <w:rPr>
          <w:rFonts w:ascii="Arial" w:hAnsi="Arial" w:cs="Arial"/>
        </w:rPr>
      </w:pPr>
      <w:r>
        <w:rPr>
          <w:rFonts w:ascii="Arial" w:hAnsi="Arial" w:cs="Arial"/>
        </w:rPr>
        <w:t xml:space="preserve">Le marché public prend effet à compter de sa date de notification pour une durée de 12 mois. </w:t>
      </w:r>
    </w:p>
    <w:p w14:paraId="40AC8007" w14:textId="59614DBF" w:rsidR="00CB2B8C" w:rsidRDefault="00CB2B8C" w:rsidP="00CB2B8C">
      <w:pPr>
        <w:rPr>
          <w:rFonts w:ascii="Arial" w:hAnsi="Arial" w:cs="Arial"/>
        </w:rPr>
      </w:pPr>
      <w:r>
        <w:rPr>
          <w:rFonts w:ascii="Arial" w:hAnsi="Arial" w:cs="Arial"/>
        </w:rPr>
        <w:t xml:space="preserve">A l’issue de la première période, le marché public est reconductible 3 fois pour une période de 12 mois, selon les dispositions du CCAP. </w:t>
      </w:r>
    </w:p>
    <w:p w14:paraId="04F08590" w14:textId="77777777" w:rsidR="00CB2B8C" w:rsidRDefault="00CB2B8C" w:rsidP="00CB2B8C">
      <w:pPr>
        <w:rPr>
          <w:rFonts w:ascii="Arial" w:hAnsi="Arial" w:cs="Arial"/>
        </w:rPr>
      </w:pPr>
    </w:p>
    <w:p w14:paraId="34B87059" w14:textId="77777777" w:rsidR="00CB2B8C" w:rsidRPr="00CB2B8C" w:rsidRDefault="00CB2B8C" w:rsidP="00CB2B8C">
      <w:pPr>
        <w:rPr>
          <w:rFonts w:ascii="Arial" w:hAnsi="Arial" w:cs="Arial"/>
        </w:rPr>
      </w:pPr>
      <w:r w:rsidRPr="00CB2B8C">
        <w:rPr>
          <w:rFonts w:ascii="Arial" w:hAnsi="Arial" w:cs="Arial"/>
        </w:rPr>
        <w:t xml:space="preserve">Dans l'hypothèse où le RPA décide de ne pas reconduire le marché public, il en informe le Titulaire par courrier avec accusé de réception au plus tard 3 mois avant l'échéance. Le Titulaire ne pourra renoncer à la reconduction notifiée par l’EFS. </w:t>
      </w:r>
    </w:p>
    <w:p w14:paraId="072F0674" w14:textId="77777777" w:rsidR="00CB2B8C" w:rsidRPr="00EC4741" w:rsidRDefault="00CB2B8C" w:rsidP="00CB2B8C">
      <w:pPr>
        <w:tabs>
          <w:tab w:val="left" w:pos="426"/>
          <w:tab w:val="left" w:pos="851"/>
        </w:tabs>
        <w:spacing w:before="120"/>
        <w:jc w:val="both"/>
        <w:rPr>
          <w:rFonts w:ascii="Arial" w:hAnsi="Arial" w:cs="Arial"/>
          <w:b/>
          <w:color w:val="0000FF"/>
        </w:rPr>
      </w:pP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2D025829"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w:t>
      </w:r>
      <w:r w:rsidRPr="00CB2B8C">
        <w:rPr>
          <w:lang w:eastAsia="fr-FR" w:bidi="ml"/>
        </w:rPr>
        <w:t>offres indiqué dans le règlement de la consultation.</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D6A8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D6A8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1E7B672D" w:rsidR="00EA4CE6" w:rsidRPr="00CB2B8C" w:rsidRDefault="00927397" w:rsidP="00EA4CE6">
      <w:pPr>
        <w:pStyle w:val="Paragraphedeliste"/>
        <w:numPr>
          <w:ilvl w:val="0"/>
          <w:numId w:val="2"/>
        </w:numPr>
        <w:jc w:val="center"/>
        <w:rPr>
          <w:rFonts w:cs="Kartika"/>
          <w:lang w:bidi="ml"/>
        </w:rPr>
      </w:pPr>
      <w:r w:rsidRPr="00CB2B8C">
        <w:rPr>
          <w:rFonts w:cs="Kartika"/>
          <w:lang w:bidi="ml"/>
        </w:rPr>
        <w:t>Établissement</w:t>
      </w:r>
      <w:r w:rsidR="00EA4CE6" w:rsidRPr="00CB2B8C">
        <w:rPr>
          <w:rFonts w:cs="Kartika"/>
          <w:lang w:bidi="ml"/>
        </w:rPr>
        <w:t xml:space="preserve"> Français du Sang</w:t>
      </w:r>
      <w:r w:rsidR="00CB2B8C" w:rsidRPr="00CB2B8C">
        <w:rPr>
          <w:rFonts w:cs="Kartika"/>
          <w:lang w:bidi="ml"/>
        </w:rPr>
        <w:t xml:space="preserve"> Grand Est</w:t>
      </w:r>
    </w:p>
    <w:p w14:paraId="6A34CB75" w14:textId="015A498C" w:rsidR="00EA4CE6" w:rsidRPr="00CB2B8C" w:rsidRDefault="00CB2B8C" w:rsidP="00EA4CE6">
      <w:pPr>
        <w:pStyle w:val="Paragraphedeliste"/>
        <w:numPr>
          <w:ilvl w:val="0"/>
          <w:numId w:val="2"/>
        </w:numPr>
        <w:jc w:val="center"/>
        <w:rPr>
          <w:rFonts w:cs="Kartika"/>
          <w:lang w:bidi="ml"/>
        </w:rPr>
      </w:pPr>
      <w:r w:rsidRPr="00CB2B8C">
        <w:rPr>
          <w:rFonts w:cs="Kartika"/>
          <w:lang w:bidi="ml"/>
        </w:rPr>
        <w:t>85/87 Boulevard Lobau</w:t>
      </w:r>
    </w:p>
    <w:p w14:paraId="6A34CB76" w14:textId="22E5F7F9" w:rsidR="00EA4CE6" w:rsidRPr="00CB2B8C" w:rsidRDefault="00CB2B8C" w:rsidP="00EA4CE6">
      <w:pPr>
        <w:pStyle w:val="Paragraphedeliste"/>
        <w:numPr>
          <w:ilvl w:val="0"/>
          <w:numId w:val="2"/>
        </w:numPr>
        <w:jc w:val="center"/>
        <w:rPr>
          <w:rFonts w:cs="Kartika"/>
          <w:lang w:bidi="ml"/>
        </w:rPr>
      </w:pPr>
      <w:r w:rsidRPr="00CB2B8C">
        <w:rPr>
          <w:rFonts w:cs="Kartika"/>
          <w:lang w:bidi="ml"/>
        </w:rPr>
        <w:t>54000 NANCY</w:t>
      </w:r>
    </w:p>
    <w:p w14:paraId="6B66C79F" w14:textId="1B7551EF" w:rsidR="00CB2B8C" w:rsidRPr="00CB2B8C" w:rsidRDefault="00CB2B8C" w:rsidP="00EA4CE6">
      <w:pPr>
        <w:pStyle w:val="Paragraphedeliste"/>
        <w:numPr>
          <w:ilvl w:val="0"/>
          <w:numId w:val="2"/>
        </w:numPr>
        <w:jc w:val="center"/>
        <w:rPr>
          <w:rFonts w:cs="Kartika"/>
          <w:lang w:bidi="ml"/>
        </w:rPr>
      </w:pPr>
      <w:r w:rsidRPr="00CB2B8C">
        <w:rPr>
          <w:rFonts w:cs="Kartika"/>
          <w:lang w:bidi="ml"/>
        </w:rPr>
        <w:t>03.83.44.62.62</w:t>
      </w: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C" w14:textId="77777777" w:rsidR="00EA4CE6" w:rsidRPr="00B86CA7" w:rsidRDefault="00EA4CE6" w:rsidP="00EA4CE6">
      <w:pPr>
        <w:suppressAutoHyphens w:val="0"/>
        <w:jc w:val="both"/>
        <w:rPr>
          <w:rFonts w:ascii="Arial" w:hAnsi="Arial" w:cs="Arial"/>
          <w:color w:val="0000FF"/>
          <w:lang w:eastAsia="fr-FR" w:bidi="ml"/>
        </w:rPr>
      </w:pPr>
    </w:p>
    <w:p w14:paraId="75C6734C" w14:textId="77777777" w:rsidR="00897167" w:rsidRPr="00CB2B8C" w:rsidRDefault="00EA4CE6" w:rsidP="00897167">
      <w:pPr>
        <w:pStyle w:val="Paragraphedeliste"/>
        <w:numPr>
          <w:ilvl w:val="0"/>
          <w:numId w:val="2"/>
        </w:numPr>
        <w:jc w:val="center"/>
        <w:rPr>
          <w:rFonts w:cs="Kartika"/>
          <w:lang w:bidi="ml"/>
        </w:rPr>
      </w:pPr>
      <w:r w:rsidRPr="00897167">
        <w:rPr>
          <w:rFonts w:cs="Kartika"/>
          <w:lang w:bidi="ml"/>
        </w:rPr>
        <w:t>Monsieur le Directeur de l’</w:t>
      </w:r>
      <w:r w:rsidR="00927397" w:rsidRPr="00897167">
        <w:rPr>
          <w:rFonts w:cs="Kartika"/>
          <w:lang w:bidi="ml"/>
        </w:rPr>
        <w:t>Établissement</w:t>
      </w:r>
      <w:r w:rsidRPr="00897167">
        <w:rPr>
          <w:rFonts w:cs="Kartika"/>
          <w:lang w:bidi="ml"/>
        </w:rPr>
        <w:t xml:space="preserve"> </w:t>
      </w:r>
      <w:r w:rsidR="00897167" w:rsidRPr="00CB2B8C">
        <w:rPr>
          <w:rFonts w:cs="Kartika"/>
          <w:lang w:bidi="ml"/>
        </w:rPr>
        <w:t>Français du Sang Grand Est</w:t>
      </w:r>
    </w:p>
    <w:p w14:paraId="59421F32"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85/87 Boulevard Lobau</w:t>
      </w:r>
    </w:p>
    <w:p w14:paraId="58B3B347"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54000 NANCY</w:t>
      </w:r>
    </w:p>
    <w:p w14:paraId="6A34CB8D" w14:textId="00F19D23" w:rsidR="00EA4CE6" w:rsidRPr="00897167" w:rsidRDefault="00897167" w:rsidP="00897167">
      <w:pPr>
        <w:pStyle w:val="Paragraphedeliste"/>
        <w:numPr>
          <w:ilvl w:val="0"/>
          <w:numId w:val="2"/>
        </w:numPr>
        <w:jc w:val="center"/>
        <w:rPr>
          <w:rFonts w:cs="Kartika"/>
          <w:lang w:bidi="ml"/>
        </w:rPr>
      </w:pPr>
      <w:r w:rsidRPr="00CB2B8C">
        <w:rPr>
          <w:rFonts w:cs="Kartika"/>
          <w:lang w:bidi="ml"/>
        </w:rPr>
        <w:t>03.83.44.62.62</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0BA6F647" w14:textId="77777777" w:rsidR="00897167" w:rsidRPr="00CB2B8C" w:rsidRDefault="00897167" w:rsidP="00897167">
      <w:pPr>
        <w:pStyle w:val="Paragraphedeliste"/>
        <w:numPr>
          <w:ilvl w:val="0"/>
          <w:numId w:val="2"/>
        </w:numPr>
        <w:jc w:val="center"/>
        <w:rPr>
          <w:rFonts w:cs="Kartika"/>
          <w:lang w:bidi="ml"/>
        </w:rPr>
      </w:pPr>
      <w:r w:rsidRPr="00897167">
        <w:rPr>
          <w:rFonts w:cs="Kartika"/>
          <w:lang w:bidi="ml"/>
        </w:rPr>
        <w:t xml:space="preserve">Monsieur le Directeur de l’Établissement </w:t>
      </w:r>
      <w:r w:rsidRPr="00CB2B8C">
        <w:rPr>
          <w:rFonts w:cs="Kartika"/>
          <w:lang w:bidi="ml"/>
        </w:rPr>
        <w:t>Français du Sang Grand Est</w:t>
      </w:r>
    </w:p>
    <w:p w14:paraId="1F42BD70"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85/87 Boulevard Lobau</w:t>
      </w:r>
    </w:p>
    <w:p w14:paraId="5E6A3BA4"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54000 NANCY</w:t>
      </w:r>
    </w:p>
    <w:p w14:paraId="2C7EE722" w14:textId="77777777" w:rsidR="00897167" w:rsidRPr="00897167" w:rsidRDefault="00897167" w:rsidP="00897167">
      <w:pPr>
        <w:pStyle w:val="Paragraphedeliste"/>
        <w:numPr>
          <w:ilvl w:val="0"/>
          <w:numId w:val="2"/>
        </w:numPr>
        <w:jc w:val="center"/>
        <w:rPr>
          <w:rFonts w:cs="Kartika"/>
          <w:lang w:bidi="ml"/>
        </w:rPr>
      </w:pPr>
      <w:r w:rsidRPr="00CB2B8C">
        <w:rPr>
          <w:rFonts w:cs="Kartika"/>
          <w:lang w:bidi="ml"/>
        </w:rPr>
        <w:t>03.83.44.62.62</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2585F7B0" w14:textId="77777777" w:rsidR="00897167" w:rsidRPr="00CB2B8C" w:rsidRDefault="00897167" w:rsidP="00897167">
      <w:pPr>
        <w:pStyle w:val="Paragraphedeliste"/>
        <w:numPr>
          <w:ilvl w:val="0"/>
          <w:numId w:val="2"/>
        </w:numPr>
        <w:jc w:val="center"/>
        <w:rPr>
          <w:rFonts w:cs="Kartika"/>
          <w:lang w:bidi="ml"/>
        </w:rPr>
      </w:pPr>
      <w:r w:rsidRPr="00897167">
        <w:rPr>
          <w:rFonts w:cs="Kartika"/>
          <w:lang w:bidi="ml"/>
        </w:rPr>
        <w:t xml:space="preserve">Monsieur le Directeur de l’Établissement </w:t>
      </w:r>
      <w:r w:rsidRPr="00CB2B8C">
        <w:rPr>
          <w:rFonts w:cs="Kartika"/>
          <w:lang w:bidi="ml"/>
        </w:rPr>
        <w:t>Français du Sang Grand Est</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897167">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89716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r w:rsidR="00281AFD" w:rsidRPr="00EA4CE6" w14:paraId="6A34CC02" w14:textId="77777777" w:rsidTr="00897167">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tcPr>
          <w:p w14:paraId="6A34CBFD" w14:textId="6E0E0A07" w:rsidR="00281AFD" w:rsidRPr="00FD3722" w:rsidRDefault="00281AFD" w:rsidP="00281AFD">
            <w:pPr>
              <w:suppressAutoHyphens w:val="0"/>
              <w:ind w:left="130"/>
              <w:textAlignment w:val="center"/>
              <w:rPr>
                <w:rFonts w:ascii="Arial" w:eastAsiaTheme="minorEastAsia" w:hAnsi="Arial" w:cs="Arial"/>
                <w:color w:val="000000" w:themeColor="dark1"/>
                <w:kern w:val="24"/>
                <w:lang w:eastAsia="fr-FR"/>
              </w:rPr>
            </w:pPr>
            <w:r w:rsidRPr="00FD3722">
              <w:rPr>
                <w:rFonts w:ascii="Arial" w:eastAsiaTheme="minorEastAsia" w:hAnsi="Arial" w:cs="Arial"/>
                <w:color w:val="000000" w:themeColor="dark1"/>
                <w:kern w:val="24"/>
                <w:lang w:eastAsia="fr-FR"/>
              </w:rPr>
              <w:t>Siège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BFE"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20 avenue du Stade de France</w:t>
            </w:r>
          </w:p>
          <w:p w14:paraId="6A34CBFF"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93218 LA PLAINE SAINT DENIS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C00" w14:textId="77777777" w:rsidR="00281AFD" w:rsidRPr="00FD3722" w:rsidRDefault="00281AFD" w:rsidP="00281AFD">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w:t>
            </w:r>
            <w:r>
              <w:rPr>
                <w:rFonts w:ascii="Arial" w:hAnsi="Arial" w:cs="Arial"/>
                <w:color w:val="000000" w:themeColor="dark1"/>
                <w:kern w:val="24"/>
                <w:lang w:eastAsia="fr-FR"/>
              </w:rPr>
              <w:t>02140</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tcPr>
          <w:p w14:paraId="6A34CC01" w14:textId="77777777" w:rsidR="00281AFD" w:rsidRPr="00FD3722" w:rsidRDefault="00281AFD" w:rsidP="00281AFD">
            <w:pPr>
              <w:suppressAutoHyphens w:val="0"/>
              <w:rPr>
                <w:rFonts w:ascii="Arial" w:hAnsi="Arial" w:cs="Arial"/>
                <w:color w:val="000000" w:themeColor="dark1"/>
                <w:kern w:val="24"/>
                <w:lang w:eastAsia="fr-FR"/>
              </w:rPr>
            </w:pPr>
            <w:r w:rsidRPr="00FD3722">
              <w:rPr>
                <w:rFonts w:ascii="Arial" w:hAnsi="Arial" w:cs="Arial"/>
                <w:color w:val="000000" w:themeColor="dark1"/>
                <w:kern w:val="24"/>
                <w:lang w:eastAsia="fr-FR"/>
              </w:rPr>
              <w:t>01 55 93 95 00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14B9E12B" w14:textId="59E96AFD" w:rsidR="00897167" w:rsidRPr="00CB2B8C" w:rsidRDefault="00897167" w:rsidP="00897167">
      <w:pPr>
        <w:pStyle w:val="Paragraphedeliste"/>
        <w:numPr>
          <w:ilvl w:val="0"/>
          <w:numId w:val="2"/>
        </w:numPr>
        <w:jc w:val="center"/>
        <w:rPr>
          <w:rFonts w:cs="Kartika"/>
          <w:lang w:bidi="ml"/>
        </w:rPr>
      </w:pPr>
      <w:r w:rsidRPr="00897167">
        <w:rPr>
          <w:rFonts w:cs="Kartika"/>
          <w:lang w:bidi="ml"/>
        </w:rPr>
        <w:t xml:space="preserve">Monsieur </w:t>
      </w:r>
      <w:r>
        <w:rPr>
          <w:rFonts w:cs="Kartika"/>
          <w:lang w:bidi="ml"/>
        </w:rPr>
        <w:t>l’Agent Comptable Secondaire de l’Etablissement Français</w:t>
      </w:r>
      <w:r w:rsidRPr="00CB2B8C">
        <w:rPr>
          <w:rFonts w:cs="Kartika"/>
          <w:lang w:bidi="ml"/>
        </w:rPr>
        <w:t xml:space="preserve"> du Sang Grand Est</w:t>
      </w:r>
    </w:p>
    <w:p w14:paraId="39FFF727"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85/87 Boulevard Lobau</w:t>
      </w:r>
    </w:p>
    <w:p w14:paraId="2BB9666A" w14:textId="77777777" w:rsidR="00897167" w:rsidRPr="00CB2B8C" w:rsidRDefault="00897167" w:rsidP="00897167">
      <w:pPr>
        <w:pStyle w:val="Paragraphedeliste"/>
        <w:numPr>
          <w:ilvl w:val="0"/>
          <w:numId w:val="2"/>
        </w:numPr>
        <w:jc w:val="center"/>
        <w:rPr>
          <w:rFonts w:cs="Kartika"/>
          <w:lang w:bidi="ml"/>
        </w:rPr>
      </w:pPr>
      <w:r w:rsidRPr="00CB2B8C">
        <w:rPr>
          <w:rFonts w:cs="Kartika"/>
          <w:lang w:bidi="ml"/>
        </w:rPr>
        <w:t>54000 NANCY</w:t>
      </w:r>
    </w:p>
    <w:p w14:paraId="029AC2C8" w14:textId="77777777" w:rsidR="00897167" w:rsidRPr="00897167" w:rsidRDefault="00897167" w:rsidP="00897167">
      <w:pPr>
        <w:pStyle w:val="Paragraphedeliste"/>
        <w:numPr>
          <w:ilvl w:val="0"/>
          <w:numId w:val="2"/>
        </w:numPr>
        <w:jc w:val="center"/>
        <w:rPr>
          <w:rFonts w:cs="Kartika"/>
          <w:lang w:bidi="ml"/>
        </w:rPr>
      </w:pPr>
      <w:r w:rsidRPr="00CB2B8C">
        <w:rPr>
          <w:rFonts w:cs="Kartika"/>
          <w:lang w:bidi="ml"/>
        </w:rPr>
        <w:t>03.83.44.62.62</w:t>
      </w:r>
    </w:p>
    <w:p w14:paraId="6A34CC17" w14:textId="3CC2B581" w:rsidR="00EA4CE6" w:rsidRPr="002D03BB" w:rsidRDefault="00EA4CE6" w:rsidP="002D03BB">
      <w:pPr>
        <w:tabs>
          <w:tab w:val="left" w:pos="426"/>
          <w:tab w:val="left" w:pos="851"/>
        </w:tabs>
        <w:suppressAutoHyphens w:val="0"/>
        <w:spacing w:after="120"/>
        <w:jc w:val="center"/>
        <w:rPr>
          <w:rFonts w:ascii="Arial" w:hAnsi="Arial" w:cs="Arial"/>
          <w:color w:val="0000FF"/>
          <w:lang w:eastAsia="fr-FR" w:bidi="ml"/>
        </w:rPr>
      </w:pP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71D0C93C"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11BFDC3C" w14:textId="77777777" w:rsidR="00897167" w:rsidRDefault="00897167" w:rsidP="00791F91">
      <w:pPr>
        <w:suppressAutoHyphens w:val="0"/>
        <w:rPr>
          <w:rFonts w:ascii="Arial" w:hAnsi="Arial" w:cs="Arial"/>
          <w:lang w:eastAsia="fr-FR" w:bidi="ml"/>
        </w:rPr>
      </w:pPr>
    </w:p>
    <w:p w14:paraId="6A34CC2A" w14:textId="6A59CAA4"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9D6A81">
        <w:rPr>
          <w:rFonts w:ascii="Arial" w:hAnsi="Arial" w:cs="Arial"/>
          <w:lang w:eastAsia="fr-FR" w:bidi="ml"/>
        </w:rPr>
      </w:r>
      <w:r w:rsidR="009D6A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0925342E" w:rsidR="001A3AC9" w:rsidRDefault="001A3AC9" w:rsidP="00B05C4B">
          <w:pPr>
            <w:jc w:val="center"/>
            <w:rPr>
              <w:rFonts w:ascii="Arial" w:hAnsi="Arial" w:cs="Arial"/>
              <w:b/>
            </w:rPr>
          </w:pPr>
          <w:r>
            <w:rPr>
              <w:rFonts w:ascii="Arial" w:hAnsi="Arial" w:cs="Arial"/>
              <w:b/>
              <w:i/>
            </w:rPr>
            <w:t>(</w:t>
          </w:r>
          <w:proofErr w:type="gramStart"/>
          <w:r>
            <w:rPr>
              <w:rFonts w:ascii="Arial" w:hAnsi="Arial" w:cs="Arial"/>
              <w:b/>
              <w:i/>
            </w:rPr>
            <w:t>référence</w:t>
          </w:r>
          <w:proofErr w:type="gramEnd"/>
          <w:r>
            <w:rPr>
              <w:rFonts w:ascii="Arial" w:hAnsi="Arial" w:cs="Arial"/>
              <w:b/>
              <w:i/>
            </w:rPr>
            <w:t xml:space="preserve"> du marché public)</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915291"/>
    <w:multiLevelType w:val="hybridMultilevel"/>
    <w:tmpl w:val="A7F035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6" w15:restartNumberingAfterBreak="0">
    <w:nsid w:val="22DF0555"/>
    <w:multiLevelType w:val="hybridMultilevel"/>
    <w:tmpl w:val="5C6C29D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8" w15:restartNumberingAfterBreak="0">
    <w:nsid w:val="3AA207EA"/>
    <w:multiLevelType w:val="hybridMultilevel"/>
    <w:tmpl w:val="91028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10"/>
  </w:num>
  <w:num w:numId="6">
    <w:abstractNumId w:val="11"/>
  </w:num>
  <w:num w:numId="7">
    <w:abstractNumId w:val="3"/>
  </w:num>
  <w:num w:numId="8">
    <w:abstractNumId w:val="7"/>
  </w:num>
  <w:num w:numId="9">
    <w:abstractNumId w:val="9"/>
  </w:num>
  <w:num w:numId="10">
    <w:abstractNumId w:val="0"/>
  </w:num>
  <w:num w:numId="11">
    <w:abstractNumId w:val="8"/>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93072"/>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97167"/>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9D6A81"/>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B2B8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2beab9f-527b-49ee-b6be-c5dadc645efa">ALSA-543895916-17</_dlc_DocId>
    <_dlc_DocIdUrl xmlns="f2beab9f-527b-49ee-b6be-c5dadc645efa">
      <Url>http://moss/a/ach/mp2/mp/dossiers/2025EFS-GEST364/_layouts/15/DocIdRedir.aspx?ID=ALSA-543895916-17</Url>
      <Description>ALSA-543895916-17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e" ma:contentTypeID="0x0101006EF212EC2FDFD046BEAFAB7C9BE4A94900573A72379E5A904980B5690238CF5081" ma:contentTypeVersion="0" ma:contentTypeDescription="Acte d'Engagement (AE)" ma:contentTypeScope="" ma:versionID="4426a17efcc39dc7d39932c80788bb09">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purl.org/dc/elements/1.1/"/>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f2beab9f-527b-49ee-b6be-c5dadc645efa"/>
    <ds:schemaRef ds:uri="http://purl.org/dc/term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C2C1CCAE-03B8-4247-A0F9-BE226B5A54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ED130-9E11-4434-B551-2A4A2BE34136}">
  <ds:schemaRefs>
    <ds:schemaRef ds:uri="http://schemas.microsoft.com/sharepoint/events"/>
  </ds:schemaRefs>
</ds:datastoreItem>
</file>

<file path=customXml/itemProps5.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102</TotalTime>
  <Pages>9</Pages>
  <Words>1915</Words>
  <Characters>10538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Bath Simon</cp:lastModifiedBy>
  <cp:revision>12</cp:revision>
  <cp:lastPrinted>2016-04-08T14:31:00Z</cp:lastPrinted>
  <dcterms:created xsi:type="dcterms:W3CDTF">2019-09-30T12:19:00Z</dcterms:created>
  <dcterms:modified xsi:type="dcterms:W3CDTF">2025-03-26T16:04:00Z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0x0101006EF212EC2FDFD046BEAFAB7C9BE4A94900573A72379E5A904980B5690238CF5081</vt:lpwstr>
  </property>
  <property fmtid="{D5CDD505-2E9C-101B-9397-08002B2CF9AE}" pid="3" name="_dlc_DocIdItemGuid">
    <vt:lpwstr>87dc25a5-1685-4a49-9f2e-dbd27cd6514e</vt:lpwstr>
  </property>
</Properties>
</file>