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text" w:horzAnchor="margin" w:tblpX="-435" w:tblpY="-902"/>
        <w:tblW w:w="15309" w:type="dxa"/>
        <w:tblLook w:val="04A0" w:firstRow="1" w:lastRow="0" w:firstColumn="1" w:lastColumn="0" w:noHBand="0" w:noVBand="1"/>
      </w:tblPr>
      <w:tblGrid>
        <w:gridCol w:w="15309"/>
      </w:tblGrid>
      <w:tr w:rsidR="000F63F0" w:rsidRPr="000F63F0" w14:paraId="75DC7660" w14:textId="77777777" w:rsidTr="004C10D7">
        <w:tc>
          <w:tcPr>
            <w:tcW w:w="15309" w:type="dxa"/>
            <w:shd w:val="clear" w:color="auto" w:fill="D7F6FD"/>
          </w:tcPr>
          <w:p w14:paraId="14B2AA63" w14:textId="3A5F5C32" w:rsidR="000F63F0" w:rsidRPr="00E94FAB" w:rsidRDefault="00FE6D4A" w:rsidP="004C10D7">
            <w:pPr>
              <w:jc w:val="center"/>
              <w:rPr>
                <w:b/>
                <w:color w:val="0000FF"/>
                <w:sz w:val="32"/>
                <w:szCs w:val="32"/>
              </w:rPr>
            </w:pPr>
            <w:r>
              <w:rPr>
                <w:b/>
                <w:color w:val="0000FF"/>
                <w:sz w:val="32"/>
                <w:szCs w:val="32"/>
              </w:rPr>
              <w:t>ACCORD-CADRE</w:t>
            </w:r>
            <w:r w:rsidR="00A965D0">
              <w:rPr>
                <w:b/>
                <w:color w:val="0000FF"/>
                <w:sz w:val="32"/>
                <w:szCs w:val="32"/>
              </w:rPr>
              <w:t xml:space="preserve"> N°</w:t>
            </w:r>
            <w:r w:rsidR="00882134">
              <w:rPr>
                <w:b/>
                <w:color w:val="0000FF"/>
                <w:sz w:val="32"/>
                <w:szCs w:val="32"/>
              </w:rPr>
              <w:t>25</w:t>
            </w:r>
            <w:r w:rsidR="002427A8">
              <w:rPr>
                <w:b/>
                <w:color w:val="0000FF"/>
                <w:sz w:val="32"/>
                <w:szCs w:val="32"/>
              </w:rPr>
              <w:t>.14.00</w:t>
            </w:r>
            <w:r w:rsidR="00882134">
              <w:rPr>
                <w:b/>
                <w:color w:val="0000FF"/>
                <w:sz w:val="32"/>
                <w:szCs w:val="32"/>
              </w:rPr>
              <w:t>9</w:t>
            </w:r>
          </w:p>
          <w:p w14:paraId="7961F802" w14:textId="12AF8C68" w:rsidR="004C10D7" w:rsidRDefault="00882134" w:rsidP="004C10D7">
            <w:pPr>
              <w:jc w:val="center"/>
              <w:rPr>
                <w:rFonts w:ascii="Arial Narrow" w:hAnsi="Arial Narrow"/>
                <w:b/>
              </w:rPr>
            </w:pPr>
            <w:r w:rsidRPr="00882134">
              <w:rPr>
                <w:b/>
                <w:color w:val="0000FF"/>
                <w:sz w:val="32"/>
              </w:rPr>
              <w:t xml:space="preserve">FOURNITURE DE SYSTÈMES DE MESURE DU FLUX D’ÉVAPOTRANSPIRATION INCLUANT UN ANALYSEUR, UN SYSTÈME D’ACQUISITION ET DE STOCKAGE, UNE ALIMENTATION AUTONOME AINSI QU’UN MÂT DE SUPPORT </w:t>
            </w:r>
          </w:p>
          <w:p w14:paraId="11063F02" w14:textId="77777777" w:rsidR="004C10D7" w:rsidRPr="004C10D7" w:rsidRDefault="004C10D7" w:rsidP="004C10D7">
            <w:pPr>
              <w:jc w:val="center"/>
              <w:rPr>
                <w:rFonts w:ascii="Arial Narrow" w:hAnsi="Arial Narrow"/>
                <w:b/>
              </w:rPr>
            </w:pPr>
          </w:p>
          <w:p w14:paraId="22F3965F" w14:textId="22180F9F" w:rsidR="004C10D7" w:rsidRPr="000F63F0" w:rsidRDefault="009F1F34" w:rsidP="00882134">
            <w:pPr>
              <w:jc w:val="center"/>
              <w:rPr>
                <w:rFonts w:ascii="Arial Narrow" w:hAnsi="Arial Narrow"/>
              </w:rPr>
            </w:pPr>
            <w:r w:rsidRPr="004C10D7">
              <w:rPr>
                <w:b/>
                <w:color w:val="0000FF"/>
                <w:sz w:val="32"/>
                <w:szCs w:val="32"/>
              </w:rPr>
              <w:t>Annexe</w:t>
            </w:r>
            <w:r w:rsidR="006E7AE5" w:rsidRPr="004C10D7">
              <w:rPr>
                <w:b/>
                <w:color w:val="0000FF"/>
                <w:sz w:val="32"/>
                <w:szCs w:val="32"/>
              </w:rPr>
              <w:t xml:space="preserve"> 1</w:t>
            </w:r>
            <w:r w:rsidR="000F63F0" w:rsidRPr="004C10D7">
              <w:rPr>
                <w:b/>
                <w:color w:val="0000FF"/>
                <w:sz w:val="32"/>
                <w:szCs w:val="32"/>
              </w:rPr>
              <w:t xml:space="preserve"> à l’</w:t>
            </w:r>
            <w:r w:rsidR="001C0832" w:rsidRPr="004C10D7">
              <w:rPr>
                <w:b/>
                <w:color w:val="0000FF"/>
                <w:sz w:val="32"/>
                <w:szCs w:val="32"/>
              </w:rPr>
              <w:t>a</w:t>
            </w:r>
            <w:r w:rsidR="00F242EA" w:rsidRPr="004C10D7">
              <w:rPr>
                <w:b/>
                <w:color w:val="0000FF"/>
                <w:sz w:val="32"/>
                <w:szCs w:val="32"/>
              </w:rPr>
              <w:t xml:space="preserve">cte d’engagement </w:t>
            </w:r>
            <w:r w:rsidR="00E94FAB" w:rsidRPr="004C10D7">
              <w:rPr>
                <w:b/>
                <w:color w:val="0000FF"/>
                <w:sz w:val="32"/>
                <w:szCs w:val="32"/>
              </w:rPr>
              <w:t>(ATTRI</w:t>
            </w:r>
            <w:r w:rsidR="00FE6D4A">
              <w:rPr>
                <w:b/>
                <w:color w:val="0000FF"/>
                <w:sz w:val="32"/>
                <w:szCs w:val="32"/>
              </w:rPr>
              <w:t>1</w:t>
            </w:r>
            <w:r w:rsidR="00E94FAB" w:rsidRPr="004C10D7">
              <w:rPr>
                <w:b/>
                <w:color w:val="0000FF"/>
                <w:sz w:val="32"/>
                <w:szCs w:val="32"/>
              </w:rPr>
              <w:t xml:space="preserve">) </w:t>
            </w:r>
            <w:r w:rsidR="00BA57F6">
              <w:rPr>
                <w:b/>
                <w:color w:val="0000FF"/>
                <w:sz w:val="32"/>
                <w:szCs w:val="32"/>
              </w:rPr>
              <w:t xml:space="preserve">-Bordereau des </w:t>
            </w:r>
            <w:r w:rsidR="001C4C60">
              <w:rPr>
                <w:b/>
                <w:color w:val="0000FF"/>
                <w:sz w:val="32"/>
                <w:szCs w:val="32"/>
              </w:rPr>
              <w:t>prix unitaires (BPU)</w:t>
            </w:r>
            <w:r w:rsidR="009147F8">
              <w:rPr>
                <w:b/>
                <w:color w:val="0000FF"/>
                <w:sz w:val="32"/>
                <w:szCs w:val="32"/>
              </w:rPr>
              <w:t xml:space="preserve"> et délais d’exécution </w:t>
            </w:r>
          </w:p>
        </w:tc>
      </w:tr>
    </w:tbl>
    <w:p w14:paraId="0BB2CB34" w14:textId="2029E43D" w:rsidR="008B0AB2" w:rsidRDefault="008B0AB2" w:rsidP="007F3C85">
      <w:pPr>
        <w:jc w:val="both"/>
        <w:rPr>
          <w:b/>
          <w:color w:val="0000FF"/>
          <w:sz w:val="32"/>
          <w:szCs w:val="32"/>
          <w:u w:val="single"/>
        </w:rPr>
      </w:pPr>
    </w:p>
    <w:p w14:paraId="0225ACB0" w14:textId="27501B4A" w:rsidR="00FE6D4A" w:rsidRPr="007F3C85" w:rsidRDefault="00FE6D4A" w:rsidP="007F3C85">
      <w:pPr>
        <w:jc w:val="both"/>
        <w:rPr>
          <w:b/>
          <w:color w:val="0000FF"/>
          <w:sz w:val="32"/>
          <w:szCs w:val="32"/>
          <w:u w:val="single"/>
        </w:rPr>
      </w:pPr>
      <w:r>
        <w:rPr>
          <w:b/>
          <w:color w:val="0000FF"/>
          <w:sz w:val="32"/>
          <w:szCs w:val="32"/>
          <w:u w:val="single"/>
        </w:rPr>
        <w:t xml:space="preserve">Nom de la Société Titulaire: </w:t>
      </w:r>
      <w:r w:rsidRPr="00E928F1">
        <w:rPr>
          <w:sz w:val="32"/>
          <w:szCs w:val="32"/>
        </w:rPr>
        <w:t>.........................................</w:t>
      </w:r>
    </w:p>
    <w:tbl>
      <w:tblPr>
        <w:tblStyle w:val="Grilledutableau"/>
        <w:tblW w:w="12967" w:type="dxa"/>
        <w:tblInd w:w="-147" w:type="dxa"/>
        <w:tblLook w:val="04A0" w:firstRow="1" w:lastRow="0" w:firstColumn="1" w:lastColumn="0" w:noHBand="0" w:noVBand="1"/>
      </w:tblPr>
      <w:tblGrid>
        <w:gridCol w:w="1063"/>
        <w:gridCol w:w="5997"/>
        <w:gridCol w:w="1729"/>
        <w:gridCol w:w="2017"/>
        <w:gridCol w:w="2161"/>
      </w:tblGrid>
      <w:tr w:rsidR="009147F8" w:rsidRPr="00E94FAB" w14:paraId="2D373192" w14:textId="375E75AC" w:rsidTr="002E2E08">
        <w:trPr>
          <w:trHeight w:val="1544"/>
        </w:trPr>
        <w:tc>
          <w:tcPr>
            <w:tcW w:w="1063" w:type="dxa"/>
          </w:tcPr>
          <w:p w14:paraId="3F83790F" w14:textId="42F5F8B4" w:rsidR="009147F8" w:rsidRPr="00E94FAB" w:rsidRDefault="009147F8" w:rsidP="0006190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Chiffrage</w:t>
            </w:r>
          </w:p>
        </w:tc>
        <w:tc>
          <w:tcPr>
            <w:tcW w:w="5997" w:type="dxa"/>
          </w:tcPr>
          <w:p w14:paraId="7BB2C3C6" w14:textId="5A241AB3" w:rsidR="009147F8" w:rsidRPr="00E94FAB" w:rsidRDefault="009147F8" w:rsidP="0006190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Intitulé</w:t>
            </w:r>
          </w:p>
        </w:tc>
        <w:tc>
          <w:tcPr>
            <w:tcW w:w="1729" w:type="dxa"/>
          </w:tcPr>
          <w:p w14:paraId="1D3E794E" w14:textId="7615D8AF" w:rsidR="009147F8" w:rsidRPr="00E94FAB" w:rsidRDefault="009147F8" w:rsidP="0006190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Prix unitaire</w:t>
            </w:r>
            <w:r w:rsidRPr="00E94FAB">
              <w:rPr>
                <w:rFonts w:ascii="Calibri" w:hAnsi="Calibri" w:cs="Calibri"/>
                <w:b/>
              </w:rPr>
              <w:t xml:space="preserve"> € HT</w:t>
            </w:r>
          </w:p>
        </w:tc>
        <w:tc>
          <w:tcPr>
            <w:tcW w:w="2017" w:type="dxa"/>
          </w:tcPr>
          <w:p w14:paraId="00C06A46" w14:textId="77777777" w:rsidR="009147F8" w:rsidRPr="00FE6D4A" w:rsidRDefault="009147F8" w:rsidP="00FE6D4A">
            <w:pPr>
              <w:pStyle w:val="Normal3"/>
              <w:rPr>
                <w:b w:val="0"/>
              </w:rPr>
            </w:pPr>
            <w:r w:rsidRPr="00FE6D4A">
              <w:rPr>
                <w:b w:val="0"/>
              </w:rPr>
              <w:t xml:space="preserve">Taux de TVA </w:t>
            </w:r>
          </w:p>
          <w:p w14:paraId="70B9B719" w14:textId="77777777" w:rsidR="009147F8" w:rsidRPr="00FE6D4A" w:rsidRDefault="009147F8" w:rsidP="00FE6D4A">
            <w:pPr>
              <w:pStyle w:val="Normal3"/>
              <w:rPr>
                <w:rFonts w:ascii="Calibri" w:eastAsiaTheme="minorHAnsi" w:hAnsi="Calibri" w:cs="Calibri"/>
                <w:b w:val="0"/>
              </w:rPr>
            </w:pPr>
            <w:r w:rsidRPr="00FE6D4A">
              <w:rPr>
                <w:b w:val="0"/>
              </w:rPr>
              <w:t xml:space="preserve">(si société française) </w:t>
            </w:r>
          </w:p>
        </w:tc>
        <w:tc>
          <w:tcPr>
            <w:tcW w:w="2161" w:type="dxa"/>
          </w:tcPr>
          <w:p w14:paraId="1FB238B7" w14:textId="6C4913AF" w:rsidR="009147F8" w:rsidRPr="00FE6D4A" w:rsidRDefault="009147F8" w:rsidP="00FE6D4A">
            <w:pPr>
              <w:pStyle w:val="Normal3"/>
              <w:rPr>
                <w:b w:val="0"/>
              </w:rPr>
            </w:pPr>
            <w:r>
              <w:rPr>
                <w:b w:val="0"/>
              </w:rPr>
              <w:t>Prix</w:t>
            </w:r>
            <w:r w:rsidRPr="00FE6D4A">
              <w:rPr>
                <w:b w:val="0"/>
              </w:rPr>
              <w:t xml:space="preserve">t </w:t>
            </w:r>
            <w:r>
              <w:rPr>
                <w:b w:val="0"/>
              </w:rPr>
              <w:t xml:space="preserve">unitaire </w:t>
            </w:r>
            <w:r w:rsidRPr="00FE6D4A">
              <w:rPr>
                <w:b w:val="0"/>
              </w:rPr>
              <w:t xml:space="preserve"> € TTC (si société française)</w:t>
            </w:r>
          </w:p>
          <w:p w14:paraId="13368273" w14:textId="77777777" w:rsidR="009147F8" w:rsidRPr="00FE6D4A" w:rsidRDefault="009147F8" w:rsidP="00FE6D4A">
            <w:pPr>
              <w:pStyle w:val="Normal3"/>
              <w:rPr>
                <w:b w:val="0"/>
              </w:rPr>
            </w:pPr>
          </w:p>
        </w:tc>
      </w:tr>
      <w:tr w:rsidR="009147F8" w:rsidRPr="00E94FAB" w14:paraId="1298DD2A" w14:textId="31D9FC71" w:rsidTr="002E2E08">
        <w:trPr>
          <w:trHeight w:val="1298"/>
        </w:trPr>
        <w:tc>
          <w:tcPr>
            <w:tcW w:w="1063" w:type="dxa"/>
            <w:textDirection w:val="btLr"/>
          </w:tcPr>
          <w:p w14:paraId="0A79D8F7" w14:textId="77777777" w:rsidR="009147F8" w:rsidRPr="008B0AB2" w:rsidRDefault="009147F8" w:rsidP="008B0AB2">
            <w:pPr>
              <w:ind w:left="113" w:right="113"/>
              <w:jc w:val="center"/>
              <w:rPr>
                <w:rFonts w:ascii="Calibri" w:hAnsi="Calibri" w:cs="Calibri"/>
                <w:b/>
              </w:rPr>
            </w:pPr>
            <w:r w:rsidRPr="008B0AB2">
              <w:rPr>
                <w:rFonts w:ascii="Calibri" w:hAnsi="Calibri" w:cs="Calibri"/>
                <w:b/>
                <w:color w:val="FF0000"/>
              </w:rPr>
              <w:t>Obligatoire</w:t>
            </w:r>
          </w:p>
          <w:p w14:paraId="5F91A451" w14:textId="659FED36" w:rsidR="009147F8" w:rsidRPr="008B0AB2" w:rsidRDefault="009147F8" w:rsidP="00882134">
            <w:pPr>
              <w:ind w:left="113" w:right="113"/>
              <w:rPr>
                <w:rFonts w:ascii="Calibri" w:hAnsi="Calibri" w:cs="Calibri"/>
                <w:b/>
              </w:rPr>
            </w:pPr>
          </w:p>
        </w:tc>
        <w:tc>
          <w:tcPr>
            <w:tcW w:w="5997" w:type="dxa"/>
          </w:tcPr>
          <w:p w14:paraId="66AB92D1" w14:textId="18315D2C" w:rsidR="009147F8" w:rsidRPr="00064D4D" w:rsidRDefault="009147F8" w:rsidP="00061905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un (1) s</w:t>
            </w:r>
            <w:r w:rsidRPr="00064D4D">
              <w:rPr>
                <w:rFonts w:ascii="Calibri" w:hAnsi="Calibri" w:cs="Calibri"/>
              </w:rPr>
              <w:t>ystème de mesure du flux d’évapotranspiration incluant un analyseur, un système d’acquisition et de stockage, une alimentation autonome ainsi qu’un mat de support</w:t>
            </w:r>
            <w:r>
              <w:rPr>
                <w:rFonts w:ascii="Calibri" w:hAnsi="Calibri" w:cs="Calibri"/>
              </w:rPr>
              <w:t xml:space="preserve">, livraison </w:t>
            </w:r>
            <w:r w:rsidRPr="00064D4D">
              <w:rPr>
                <w:rFonts w:ascii="Calibri" w:hAnsi="Calibri" w:cs="Calibri"/>
              </w:rPr>
              <w:t xml:space="preserve">et sa garantie de </w:t>
            </w:r>
            <w:r>
              <w:rPr>
                <w:rFonts w:ascii="Calibri" w:hAnsi="Calibri" w:cs="Calibri"/>
              </w:rPr>
              <w:t>12</w:t>
            </w:r>
            <w:r w:rsidRPr="00064D4D">
              <w:rPr>
                <w:rFonts w:ascii="Calibri" w:hAnsi="Calibri" w:cs="Calibri"/>
              </w:rPr>
              <w:t xml:space="preserve"> mois</w:t>
            </w:r>
          </w:p>
        </w:tc>
        <w:tc>
          <w:tcPr>
            <w:tcW w:w="1729" w:type="dxa"/>
          </w:tcPr>
          <w:p w14:paraId="2B40C4AB" w14:textId="77777777" w:rsidR="009147F8" w:rsidRPr="00FE6D4A" w:rsidRDefault="009147F8" w:rsidP="0006190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17" w:type="dxa"/>
          </w:tcPr>
          <w:p w14:paraId="6EC59AC7" w14:textId="77777777" w:rsidR="009147F8" w:rsidRPr="00FE6D4A" w:rsidRDefault="009147F8" w:rsidP="00061905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161" w:type="dxa"/>
          </w:tcPr>
          <w:p w14:paraId="2DCFA926" w14:textId="77777777" w:rsidR="009147F8" w:rsidRPr="00FE6D4A" w:rsidRDefault="009147F8" w:rsidP="00061905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6B38EE47" w14:textId="08CBE8CC" w:rsidR="007926FA" w:rsidRDefault="007926FA" w:rsidP="007926FA">
      <w:pPr>
        <w:jc w:val="both"/>
        <w:rPr>
          <w:b/>
          <w:color w:val="0000FF"/>
          <w:sz w:val="32"/>
          <w:szCs w:val="32"/>
          <w:u w:val="single"/>
        </w:rPr>
      </w:pPr>
    </w:p>
    <w:tbl>
      <w:tblPr>
        <w:tblStyle w:val="Grilledutableau"/>
        <w:tblW w:w="12774" w:type="dxa"/>
        <w:tblLook w:val="04A0" w:firstRow="1" w:lastRow="0" w:firstColumn="1" w:lastColumn="0" w:noHBand="0" w:noVBand="1"/>
      </w:tblPr>
      <w:tblGrid>
        <w:gridCol w:w="6387"/>
        <w:gridCol w:w="6387"/>
      </w:tblGrid>
      <w:tr w:rsidR="009147F8" w14:paraId="79B84555" w14:textId="77777777" w:rsidTr="00137D62">
        <w:trPr>
          <w:trHeight w:val="708"/>
        </w:trPr>
        <w:tc>
          <w:tcPr>
            <w:tcW w:w="6387" w:type="dxa"/>
          </w:tcPr>
          <w:p w14:paraId="05393B4F" w14:textId="4AAF0399" w:rsidR="009147F8" w:rsidRPr="00137D62" w:rsidRDefault="00137D62" w:rsidP="007926FA">
            <w:pPr>
              <w:jc w:val="both"/>
              <w:rPr>
                <w:rFonts w:ascii="Calibri" w:hAnsi="Calibri" w:cs="Calibri"/>
                <w:b/>
              </w:rPr>
            </w:pPr>
            <w:r w:rsidRPr="00137D62">
              <w:rPr>
                <w:rFonts w:ascii="Calibri" w:hAnsi="Calibri" w:cs="Calibri"/>
                <w:b/>
              </w:rPr>
              <w:t xml:space="preserve">Intitulé </w:t>
            </w:r>
          </w:p>
        </w:tc>
        <w:tc>
          <w:tcPr>
            <w:tcW w:w="6387" w:type="dxa"/>
          </w:tcPr>
          <w:p w14:paraId="7FA50B87" w14:textId="4FD2EF1E" w:rsidR="009147F8" w:rsidRPr="00137D62" w:rsidRDefault="00137D62" w:rsidP="007926FA">
            <w:pPr>
              <w:jc w:val="both"/>
              <w:rPr>
                <w:rFonts w:ascii="Calibri" w:hAnsi="Calibri" w:cs="Calibri"/>
                <w:b/>
              </w:rPr>
            </w:pPr>
            <w:r w:rsidRPr="00137D62">
              <w:rPr>
                <w:rFonts w:ascii="Calibri" w:hAnsi="Calibri" w:cs="Calibri"/>
                <w:b/>
              </w:rPr>
              <w:t xml:space="preserve">Délais d’execution </w:t>
            </w:r>
          </w:p>
        </w:tc>
      </w:tr>
      <w:tr w:rsidR="009147F8" w14:paraId="709C3E99" w14:textId="77777777" w:rsidTr="00137D62">
        <w:trPr>
          <w:trHeight w:val="987"/>
        </w:trPr>
        <w:tc>
          <w:tcPr>
            <w:tcW w:w="6387" w:type="dxa"/>
          </w:tcPr>
          <w:p w14:paraId="2D48C17F" w14:textId="10DB8AED" w:rsidR="009147F8" w:rsidRDefault="00137D62" w:rsidP="007926FA">
            <w:pPr>
              <w:jc w:val="both"/>
              <w:rPr>
                <w:b/>
                <w:color w:val="0000FF"/>
                <w:sz w:val="32"/>
                <w:szCs w:val="32"/>
                <w:u w:val="single"/>
              </w:rPr>
            </w:pPr>
            <w:r>
              <w:rPr>
                <w:rFonts w:ascii="Calibri" w:hAnsi="Calibri" w:cs="Calibri"/>
              </w:rPr>
              <w:t>Un (1) s</w:t>
            </w:r>
            <w:r w:rsidRPr="00064D4D">
              <w:rPr>
                <w:rFonts w:ascii="Calibri" w:hAnsi="Calibri" w:cs="Calibri"/>
              </w:rPr>
              <w:t>ystème de mesure du flux d’évapotranspiration</w:t>
            </w:r>
          </w:p>
        </w:tc>
        <w:tc>
          <w:tcPr>
            <w:tcW w:w="6387" w:type="dxa"/>
          </w:tcPr>
          <w:p w14:paraId="5B33E31A" w14:textId="77777777" w:rsidR="009147F8" w:rsidRDefault="009147F8" w:rsidP="007926FA">
            <w:pPr>
              <w:jc w:val="both"/>
              <w:rPr>
                <w:b/>
                <w:color w:val="0000FF"/>
                <w:sz w:val="32"/>
                <w:szCs w:val="32"/>
                <w:u w:val="single"/>
              </w:rPr>
            </w:pPr>
          </w:p>
        </w:tc>
      </w:tr>
    </w:tbl>
    <w:p w14:paraId="11AE8F9D" w14:textId="70C821AB" w:rsidR="007F3C85" w:rsidRDefault="007F3C85" w:rsidP="007926FA">
      <w:pPr>
        <w:jc w:val="both"/>
        <w:rPr>
          <w:b/>
          <w:color w:val="0000FF"/>
          <w:sz w:val="32"/>
          <w:szCs w:val="32"/>
          <w:u w:val="single"/>
        </w:rPr>
      </w:pPr>
    </w:p>
    <w:p w14:paraId="424DF4C6" w14:textId="037CE6D5" w:rsidR="002E33E0" w:rsidRPr="00CA045A" w:rsidRDefault="005B7722" w:rsidP="002500E3">
      <w:pPr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Dans le cas d’une commande simultanée de plu</w:t>
      </w:r>
      <w:r w:rsidR="002E2E08">
        <w:rPr>
          <w:rFonts w:ascii="Calibri" w:hAnsi="Calibri" w:cs="Calibri"/>
          <w:i/>
        </w:rPr>
        <w:t>s</w:t>
      </w:r>
      <w:r>
        <w:rPr>
          <w:rFonts w:ascii="Calibri" w:hAnsi="Calibri" w:cs="Calibri"/>
          <w:i/>
        </w:rPr>
        <w:t>ieurs systèmes de mesure de flux d’évapotranspiration</w:t>
      </w:r>
      <w:r w:rsidR="00137D62">
        <w:rPr>
          <w:rFonts w:ascii="Calibri" w:hAnsi="Calibri" w:cs="Calibri"/>
          <w:i/>
        </w:rPr>
        <w:t xml:space="preserve"> le titulaire précise</w:t>
      </w:r>
      <w:r w:rsidR="00AE4719">
        <w:rPr>
          <w:rFonts w:ascii="Calibri" w:hAnsi="Calibri" w:cs="Calibri"/>
          <w:i/>
        </w:rPr>
        <w:t>ra</w:t>
      </w:r>
      <w:bookmarkStart w:id="0" w:name="_GoBack"/>
      <w:bookmarkEnd w:id="0"/>
      <w:r w:rsidR="00137D62">
        <w:rPr>
          <w:rFonts w:ascii="Calibri" w:hAnsi="Calibri" w:cs="Calibri"/>
          <w:i/>
        </w:rPr>
        <w:t xml:space="preserve"> si le d</w:t>
      </w:r>
      <w:r w:rsidR="002E2E08">
        <w:rPr>
          <w:rFonts w:ascii="Calibri" w:hAnsi="Calibri" w:cs="Calibri"/>
          <w:i/>
        </w:rPr>
        <w:t>é</w:t>
      </w:r>
      <w:r w:rsidR="00137D62">
        <w:rPr>
          <w:rFonts w:ascii="Calibri" w:hAnsi="Calibri" w:cs="Calibri"/>
          <w:i/>
        </w:rPr>
        <w:t>lai d’ex</w:t>
      </w:r>
      <w:r w:rsidR="002E2E08">
        <w:rPr>
          <w:rFonts w:ascii="Calibri" w:hAnsi="Calibri" w:cs="Calibri"/>
          <w:i/>
        </w:rPr>
        <w:t>écution</w:t>
      </w:r>
      <w:r w:rsidR="00137D62">
        <w:rPr>
          <w:rFonts w:ascii="Calibri" w:hAnsi="Calibri" w:cs="Calibri"/>
          <w:i/>
        </w:rPr>
        <w:t xml:space="preserve"> varie. </w:t>
      </w:r>
    </w:p>
    <w:sectPr w:rsidR="002E33E0" w:rsidRPr="00CA045A" w:rsidSect="000F63F0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94794" w16cex:dateUtc="2020-12-07T23:30:00Z"/>
  <w16cex:commentExtensible w16cex:durableId="2379480B" w16cex:dateUtc="2020-12-07T23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3EA1F" w14:textId="77777777" w:rsidR="00F14B49" w:rsidRDefault="00F14B49" w:rsidP="00D77DA7">
      <w:pPr>
        <w:spacing w:after="0" w:line="240" w:lineRule="auto"/>
      </w:pPr>
      <w:r>
        <w:separator/>
      </w:r>
    </w:p>
  </w:endnote>
  <w:endnote w:type="continuationSeparator" w:id="0">
    <w:p w14:paraId="335DB634" w14:textId="77777777" w:rsidR="00F14B49" w:rsidRDefault="00F14B49" w:rsidP="00D7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07061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38C3C42" w14:textId="4AC73EA9" w:rsidR="00D77DA7" w:rsidRDefault="00D77DA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69FB"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69FB"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B15965" w14:textId="77777777" w:rsidR="00D77DA7" w:rsidRDefault="00D77D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EDE0A" w14:textId="77777777" w:rsidR="00F14B49" w:rsidRDefault="00F14B49" w:rsidP="00D77DA7">
      <w:pPr>
        <w:spacing w:after="0" w:line="240" w:lineRule="auto"/>
      </w:pPr>
      <w:r>
        <w:separator/>
      </w:r>
    </w:p>
  </w:footnote>
  <w:footnote w:type="continuationSeparator" w:id="0">
    <w:p w14:paraId="644E6E5A" w14:textId="77777777" w:rsidR="00F14B49" w:rsidRDefault="00F14B49" w:rsidP="00D77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C6495"/>
    <w:multiLevelType w:val="hybridMultilevel"/>
    <w:tmpl w:val="BD921DD6"/>
    <w:lvl w:ilvl="0" w:tplc="05A252D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33CC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41287"/>
    <w:multiLevelType w:val="hybridMultilevel"/>
    <w:tmpl w:val="58C86FF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96DE3"/>
    <w:multiLevelType w:val="multilevel"/>
    <w:tmpl w:val="997005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1"/>
      <w:lvlText w:val="%1.%2."/>
      <w:lvlJc w:val="left"/>
      <w:pPr>
        <w:ind w:left="1283" w:hanging="432"/>
      </w:pPr>
    </w:lvl>
    <w:lvl w:ilvl="2">
      <w:start w:val="1"/>
      <w:numFmt w:val="decimal"/>
      <w:pStyle w:val="Titre1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26E50EA"/>
    <w:multiLevelType w:val="hybridMultilevel"/>
    <w:tmpl w:val="B56457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F3F25"/>
    <w:multiLevelType w:val="hybridMultilevel"/>
    <w:tmpl w:val="60E24316"/>
    <w:lvl w:ilvl="0" w:tplc="FA0E9A6A">
      <w:start w:val="3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E512F"/>
    <w:multiLevelType w:val="hybridMultilevel"/>
    <w:tmpl w:val="B56457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C633E"/>
    <w:multiLevelType w:val="hybridMultilevel"/>
    <w:tmpl w:val="7D70B1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F30D6D"/>
    <w:multiLevelType w:val="hybridMultilevel"/>
    <w:tmpl w:val="889EA0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D5161"/>
    <w:multiLevelType w:val="hybridMultilevel"/>
    <w:tmpl w:val="B56457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685"/>
    <w:rsid w:val="00006D54"/>
    <w:rsid w:val="0001378C"/>
    <w:rsid w:val="00050FF8"/>
    <w:rsid w:val="0005278D"/>
    <w:rsid w:val="00064D4D"/>
    <w:rsid w:val="00071C50"/>
    <w:rsid w:val="00085C5C"/>
    <w:rsid w:val="000C068F"/>
    <w:rsid w:val="000C6E81"/>
    <w:rsid w:val="000D72D4"/>
    <w:rsid w:val="000F63F0"/>
    <w:rsid w:val="000F6C63"/>
    <w:rsid w:val="00112E02"/>
    <w:rsid w:val="00134558"/>
    <w:rsid w:val="00137D62"/>
    <w:rsid w:val="001475C8"/>
    <w:rsid w:val="00162EDF"/>
    <w:rsid w:val="001728B0"/>
    <w:rsid w:val="00196354"/>
    <w:rsid w:val="001C0832"/>
    <w:rsid w:val="001C4C60"/>
    <w:rsid w:val="001F1CA8"/>
    <w:rsid w:val="00235C64"/>
    <w:rsid w:val="002369FB"/>
    <w:rsid w:val="002427A8"/>
    <w:rsid w:val="002500E3"/>
    <w:rsid w:val="00285605"/>
    <w:rsid w:val="002A318A"/>
    <w:rsid w:val="002B2F79"/>
    <w:rsid w:val="002D7256"/>
    <w:rsid w:val="002E2E08"/>
    <w:rsid w:val="002E33E0"/>
    <w:rsid w:val="0032617B"/>
    <w:rsid w:val="003429E8"/>
    <w:rsid w:val="00352A92"/>
    <w:rsid w:val="003800B2"/>
    <w:rsid w:val="0039166C"/>
    <w:rsid w:val="003A11F6"/>
    <w:rsid w:val="003C1DFA"/>
    <w:rsid w:val="003E5A39"/>
    <w:rsid w:val="004218BE"/>
    <w:rsid w:val="0045458F"/>
    <w:rsid w:val="00457C51"/>
    <w:rsid w:val="00465050"/>
    <w:rsid w:val="0046751E"/>
    <w:rsid w:val="00474F45"/>
    <w:rsid w:val="004C10D7"/>
    <w:rsid w:val="004D1339"/>
    <w:rsid w:val="004E1EE8"/>
    <w:rsid w:val="004E3E59"/>
    <w:rsid w:val="00502ED9"/>
    <w:rsid w:val="005313BE"/>
    <w:rsid w:val="00555698"/>
    <w:rsid w:val="0056428B"/>
    <w:rsid w:val="00571DB7"/>
    <w:rsid w:val="00594B08"/>
    <w:rsid w:val="005A3E03"/>
    <w:rsid w:val="005B70E0"/>
    <w:rsid w:val="005B7722"/>
    <w:rsid w:val="005C45F4"/>
    <w:rsid w:val="006327FD"/>
    <w:rsid w:val="006563FB"/>
    <w:rsid w:val="00685366"/>
    <w:rsid w:val="00696AE3"/>
    <w:rsid w:val="006A2915"/>
    <w:rsid w:val="006D1885"/>
    <w:rsid w:val="006D433F"/>
    <w:rsid w:val="006E7AE5"/>
    <w:rsid w:val="006F181C"/>
    <w:rsid w:val="007006D4"/>
    <w:rsid w:val="00713583"/>
    <w:rsid w:val="00714DF3"/>
    <w:rsid w:val="00724685"/>
    <w:rsid w:val="007855A1"/>
    <w:rsid w:val="007926FA"/>
    <w:rsid w:val="007954B7"/>
    <w:rsid w:val="007F02BD"/>
    <w:rsid w:val="007F3C85"/>
    <w:rsid w:val="00815123"/>
    <w:rsid w:val="00826A06"/>
    <w:rsid w:val="00861EEB"/>
    <w:rsid w:val="00873037"/>
    <w:rsid w:val="00882134"/>
    <w:rsid w:val="00891DA3"/>
    <w:rsid w:val="008B0AB2"/>
    <w:rsid w:val="008C1EDD"/>
    <w:rsid w:val="00904BE2"/>
    <w:rsid w:val="009147F8"/>
    <w:rsid w:val="00931462"/>
    <w:rsid w:val="0095080E"/>
    <w:rsid w:val="009A4DF5"/>
    <w:rsid w:val="009B0923"/>
    <w:rsid w:val="009B29FE"/>
    <w:rsid w:val="009D683D"/>
    <w:rsid w:val="009F1F34"/>
    <w:rsid w:val="00A206A1"/>
    <w:rsid w:val="00A910D1"/>
    <w:rsid w:val="00A965D0"/>
    <w:rsid w:val="00AC00D2"/>
    <w:rsid w:val="00AC5819"/>
    <w:rsid w:val="00AE4719"/>
    <w:rsid w:val="00B14DB0"/>
    <w:rsid w:val="00B67FB5"/>
    <w:rsid w:val="00B72BA4"/>
    <w:rsid w:val="00B90A90"/>
    <w:rsid w:val="00B972D8"/>
    <w:rsid w:val="00BA57F6"/>
    <w:rsid w:val="00BF31DF"/>
    <w:rsid w:val="00C32330"/>
    <w:rsid w:val="00C46DB0"/>
    <w:rsid w:val="00C94857"/>
    <w:rsid w:val="00CA045A"/>
    <w:rsid w:val="00CC6C06"/>
    <w:rsid w:val="00D30C16"/>
    <w:rsid w:val="00D52656"/>
    <w:rsid w:val="00D53974"/>
    <w:rsid w:val="00D77DA7"/>
    <w:rsid w:val="00DA4EED"/>
    <w:rsid w:val="00DB4ED5"/>
    <w:rsid w:val="00DE76D7"/>
    <w:rsid w:val="00E2584D"/>
    <w:rsid w:val="00E56DD6"/>
    <w:rsid w:val="00E617BB"/>
    <w:rsid w:val="00E928F1"/>
    <w:rsid w:val="00E94FAB"/>
    <w:rsid w:val="00E960C8"/>
    <w:rsid w:val="00EB47CB"/>
    <w:rsid w:val="00EF437F"/>
    <w:rsid w:val="00F14B49"/>
    <w:rsid w:val="00F2250A"/>
    <w:rsid w:val="00F242EA"/>
    <w:rsid w:val="00F7051D"/>
    <w:rsid w:val="00F72B62"/>
    <w:rsid w:val="00F87CC1"/>
    <w:rsid w:val="00FE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9612"/>
  <w15:chartTrackingRefBased/>
  <w15:docId w15:val="{79BF73B1-3D0F-4649-B5B5-77A37B40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EE8"/>
    <w:rPr>
      <w:noProof/>
    </w:rPr>
  </w:style>
  <w:style w:type="paragraph" w:styleId="Titre1">
    <w:name w:val="heading 1"/>
    <w:aliases w:val="Title,Titre1"/>
    <w:basedOn w:val="Normal"/>
    <w:next w:val="Normal"/>
    <w:link w:val="Titre1Car"/>
    <w:autoRedefine/>
    <w:qFormat/>
    <w:rsid w:val="00E94FAB"/>
    <w:pPr>
      <w:keepNext/>
      <w:numPr>
        <w:ilvl w:val="2"/>
        <w:numId w:val="8"/>
      </w:numPr>
      <w:spacing w:before="360" w:after="240" w:line="240" w:lineRule="auto"/>
      <w:ind w:left="1283" w:hanging="432"/>
      <w:jc w:val="both"/>
      <w:outlineLvl w:val="0"/>
    </w:pPr>
    <w:rPr>
      <w:rFonts w:ascii="Arial Narrow" w:eastAsia="Times New Roman" w:hAnsi="Arial Narrow" w:cs="Times New Roman"/>
      <w:b/>
      <w:bCs/>
      <w:caps/>
      <w:noProof w:val="0"/>
      <w:color w:val="0000FF"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2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72468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465050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qFormat/>
    <w:rsid w:val="0046505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qFormat/>
    <w:rsid w:val="00465050"/>
    <w:rPr>
      <w:noProof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505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5050"/>
    <w:rPr>
      <w:b/>
      <w:bCs/>
      <w:noProof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5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5050"/>
    <w:rPr>
      <w:rFonts w:ascii="Segoe UI" w:hAnsi="Segoe UI" w:cs="Segoe UI"/>
      <w:noProof/>
      <w:sz w:val="18"/>
      <w:szCs w:val="18"/>
    </w:rPr>
  </w:style>
  <w:style w:type="paragraph" w:customStyle="1" w:styleId="Normal3">
    <w:name w:val="Normal3"/>
    <w:basedOn w:val="Normal"/>
    <w:autoRedefine/>
    <w:qFormat/>
    <w:rsid w:val="00FE6D4A"/>
    <w:pPr>
      <w:spacing w:after="0" w:line="240" w:lineRule="auto"/>
      <w:jc w:val="center"/>
    </w:pPr>
    <w:rPr>
      <w:rFonts w:eastAsia="Calibri"/>
      <w:b/>
    </w:rPr>
  </w:style>
  <w:style w:type="paragraph" w:styleId="En-tte">
    <w:name w:val="header"/>
    <w:basedOn w:val="Normal"/>
    <w:link w:val="En-tteCar"/>
    <w:uiPriority w:val="99"/>
    <w:unhideWhenUsed/>
    <w:rsid w:val="00D7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7DA7"/>
    <w:rPr>
      <w:noProof/>
    </w:rPr>
  </w:style>
  <w:style w:type="paragraph" w:styleId="Pieddepage">
    <w:name w:val="footer"/>
    <w:basedOn w:val="Normal"/>
    <w:link w:val="PieddepageCar"/>
    <w:uiPriority w:val="99"/>
    <w:unhideWhenUsed/>
    <w:rsid w:val="00D7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7DA7"/>
    <w:rPr>
      <w:noProof/>
    </w:rPr>
  </w:style>
  <w:style w:type="character" w:customStyle="1" w:styleId="ParagraphedelisteCar">
    <w:name w:val="Paragraphe de liste Car"/>
    <w:link w:val="Paragraphedeliste"/>
    <w:uiPriority w:val="34"/>
    <w:locked/>
    <w:rsid w:val="001F1CA8"/>
    <w:rPr>
      <w:noProof/>
    </w:rPr>
  </w:style>
  <w:style w:type="paragraph" w:customStyle="1" w:styleId="BP1">
    <w:name w:val="BP1"/>
    <w:basedOn w:val="Normal"/>
    <w:qFormat/>
    <w:rsid w:val="006D1885"/>
    <w:pPr>
      <w:widowControl w:val="0"/>
      <w:suppressAutoHyphens/>
      <w:spacing w:after="120" w:line="240" w:lineRule="auto"/>
      <w:jc w:val="both"/>
    </w:pPr>
    <w:rPr>
      <w:rFonts w:ascii="Arial Narrow" w:eastAsia="Times New Roman" w:hAnsi="Arial Narrow" w:cs="Times New Roman"/>
      <w:noProof w:val="0"/>
      <w:szCs w:val="20"/>
      <w:lang w:eastAsia="ar-SA"/>
    </w:rPr>
  </w:style>
  <w:style w:type="character" w:customStyle="1" w:styleId="Titre1Car">
    <w:name w:val="Titre 1 Car"/>
    <w:aliases w:val="Title Car,Titre1 Car"/>
    <w:basedOn w:val="Policepardfaut"/>
    <w:link w:val="Titre1"/>
    <w:rsid w:val="00E94FAB"/>
    <w:rPr>
      <w:rFonts w:ascii="Arial Narrow" w:eastAsia="Times New Roman" w:hAnsi="Arial Narrow" w:cs="Times New Roman"/>
      <w:b/>
      <w:bCs/>
      <w:caps/>
      <w:color w:val="0000FF"/>
      <w:sz w:val="20"/>
      <w:szCs w:val="20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7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DEE4E7"/>
            <w:right w:val="none" w:sz="0" w:space="0" w:color="auto"/>
          </w:divBdr>
          <w:divsChild>
            <w:div w:id="11374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5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12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84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6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28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0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40756-E61E-455F-8A3E-43EBD3A22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RIVIERE Marjolaine</dc:creator>
  <cp:keywords/>
  <dc:description/>
  <cp:lastModifiedBy>Hilderald Pierre</cp:lastModifiedBy>
  <cp:revision>26</cp:revision>
  <dcterms:created xsi:type="dcterms:W3CDTF">2024-05-23T08:13:00Z</dcterms:created>
  <dcterms:modified xsi:type="dcterms:W3CDTF">2025-04-16T14:02:00Z</dcterms:modified>
</cp:coreProperties>
</file>