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C6E851" w14:textId="77777777" w:rsidR="00BC0CAB" w:rsidRPr="00746005" w:rsidRDefault="00BC0CAB" w:rsidP="29318AA7">
      <w:pPr>
        <w:jc w:val="center"/>
        <w:rPr>
          <w:rFonts w:asciiTheme="minorHAnsi" w:hAnsiTheme="minorHAnsi" w:cstheme="minorBidi"/>
        </w:rPr>
      </w:pPr>
    </w:p>
    <w:p w14:paraId="49CB4B42" w14:textId="77777777" w:rsidR="00BC0CAB" w:rsidRPr="00746005" w:rsidRDefault="00BC0CAB" w:rsidP="29318AA7">
      <w:pPr>
        <w:jc w:val="center"/>
        <w:rPr>
          <w:rFonts w:asciiTheme="minorHAnsi" w:hAnsiTheme="minorHAnsi" w:cstheme="minorBidi"/>
        </w:rPr>
      </w:pPr>
    </w:p>
    <w:p w14:paraId="17130908" w14:textId="77777777" w:rsidR="00BC0CAB" w:rsidRPr="00A74C83" w:rsidRDefault="00BC0CAB" w:rsidP="29318AA7">
      <w:pPr>
        <w:jc w:val="center"/>
        <w:rPr>
          <w:rFonts w:asciiTheme="minorHAnsi" w:hAnsiTheme="minorHAnsi" w:cstheme="minorBidi"/>
          <w:noProof/>
        </w:rPr>
      </w:pPr>
      <w:r w:rsidRPr="00A74C83">
        <w:rPr>
          <w:noProof/>
        </w:rPr>
        <w:drawing>
          <wp:inline distT="0" distB="0" distL="0" distR="0" wp14:anchorId="470163E3" wp14:editId="10E2FF26">
            <wp:extent cx="2574758" cy="651445"/>
            <wp:effectExtent l="0" t="0" r="0" b="0"/>
            <wp:docPr id="164891229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1">
                      <a:extLst>
                        <a:ext uri="{FF2B5EF4-FFF2-40B4-BE49-F238E27FC236}">
                          <a16:creationId xmlns:a16="http://schemas.microsoft.com/office/drawing/2014/main" xmlns:asvg="http://schemas.microsoft.com/office/drawing/2016/SVG/main" xmlns:a14="http://schemas.microsoft.com/office/drawing/2010/main" xmlns:w="http://schemas.openxmlformats.org/wordprocessingml/2006/main" xmlns:w10="urn:schemas-microsoft-com:office:word" xmlns:v="urn:schemas-microsoft-com:vml" xmlns:o="urn:schemas-microsoft-com:office:office" xmlns="" id="{3EE0D9DC-CE83-2341-86EE-66A54B22C577}"/>
                        </a:ext>
                      </a:extLst>
                    </a:blip>
                    <a:stretch>
                      <a:fillRect/>
                    </a:stretch>
                  </pic:blipFill>
                  <pic:spPr>
                    <a:xfrm>
                      <a:off x="0" y="0"/>
                      <a:ext cx="2574758" cy="651445"/>
                    </a:xfrm>
                    <a:prstGeom prst="rect">
                      <a:avLst/>
                    </a:prstGeom>
                  </pic:spPr>
                </pic:pic>
              </a:graphicData>
            </a:graphic>
          </wp:inline>
        </w:drawing>
      </w:r>
    </w:p>
    <w:p w14:paraId="504E3A84" w14:textId="77777777" w:rsidR="00BC0CAB" w:rsidRPr="00A74C83" w:rsidRDefault="00BC0CAB" w:rsidP="29318AA7">
      <w:pPr>
        <w:jc w:val="center"/>
        <w:rPr>
          <w:rFonts w:asciiTheme="minorHAnsi" w:hAnsiTheme="minorHAnsi" w:cstheme="minorBidi"/>
        </w:rPr>
      </w:pPr>
    </w:p>
    <w:p w14:paraId="6427C626" w14:textId="77777777" w:rsidR="00BC0CAB" w:rsidRPr="00A74C83" w:rsidRDefault="29318AA7" w:rsidP="29318AA7">
      <w:pPr>
        <w:jc w:val="center"/>
        <w:rPr>
          <w:rFonts w:asciiTheme="minorHAnsi" w:hAnsiTheme="minorHAnsi" w:cstheme="minorBidi"/>
        </w:rPr>
      </w:pPr>
      <w:r w:rsidRPr="00A74C83">
        <w:rPr>
          <w:rFonts w:asciiTheme="minorHAnsi" w:hAnsiTheme="minorHAnsi" w:cstheme="minorBidi"/>
        </w:rPr>
        <w:t>Institut national de recherche pour l'agriculture, l'alimentation et l'environnement</w:t>
      </w:r>
    </w:p>
    <w:p w14:paraId="64E984BB" w14:textId="77777777" w:rsidR="00BC0CAB" w:rsidRPr="00A74C83" w:rsidRDefault="29318AA7" w:rsidP="29318AA7">
      <w:pPr>
        <w:jc w:val="center"/>
        <w:rPr>
          <w:rFonts w:asciiTheme="minorHAnsi" w:hAnsiTheme="minorHAnsi" w:cstheme="minorBidi"/>
        </w:rPr>
      </w:pPr>
      <w:r w:rsidRPr="00A74C83">
        <w:rPr>
          <w:rFonts w:asciiTheme="minorHAnsi" w:hAnsiTheme="minorHAnsi" w:cstheme="minorBidi"/>
        </w:rPr>
        <w:t>Direction du Financement et des Achats</w:t>
      </w:r>
    </w:p>
    <w:p w14:paraId="6D95ED78" w14:textId="77777777" w:rsidR="00BC0CAB" w:rsidRPr="00A74C83" w:rsidRDefault="29318AA7" w:rsidP="29318AA7">
      <w:pPr>
        <w:jc w:val="center"/>
        <w:rPr>
          <w:rFonts w:asciiTheme="minorHAnsi" w:hAnsiTheme="minorHAnsi" w:cstheme="minorBidi"/>
        </w:rPr>
      </w:pPr>
      <w:r w:rsidRPr="00A74C83">
        <w:rPr>
          <w:rFonts w:asciiTheme="minorHAnsi" w:hAnsiTheme="minorHAnsi" w:cstheme="minorBidi"/>
        </w:rPr>
        <w:t>Service des achats</w:t>
      </w:r>
    </w:p>
    <w:p w14:paraId="2BC4183F" w14:textId="77777777" w:rsidR="00BC0CAB" w:rsidRPr="00A74C83" w:rsidRDefault="29318AA7" w:rsidP="29318AA7">
      <w:pPr>
        <w:jc w:val="center"/>
        <w:rPr>
          <w:rFonts w:asciiTheme="minorHAnsi" w:hAnsiTheme="minorHAnsi" w:cstheme="minorBidi"/>
        </w:rPr>
      </w:pPr>
      <w:r w:rsidRPr="00A74C83">
        <w:rPr>
          <w:rFonts w:asciiTheme="minorHAnsi" w:hAnsiTheme="minorHAnsi" w:cstheme="minorBidi"/>
        </w:rPr>
        <w:t>147 rue de l’Université</w:t>
      </w:r>
    </w:p>
    <w:p w14:paraId="1CE2E1E9" w14:textId="77777777" w:rsidR="00BC0CAB" w:rsidRPr="00A74C83" w:rsidRDefault="29318AA7" w:rsidP="29318AA7">
      <w:pPr>
        <w:jc w:val="center"/>
        <w:rPr>
          <w:rFonts w:asciiTheme="minorHAnsi" w:hAnsiTheme="minorHAnsi" w:cstheme="minorBidi"/>
          <w:sz w:val="24"/>
          <w:szCs w:val="24"/>
        </w:rPr>
      </w:pPr>
      <w:r w:rsidRPr="00A74C83">
        <w:rPr>
          <w:rFonts w:asciiTheme="minorHAnsi" w:hAnsiTheme="minorHAnsi" w:cstheme="minorBidi"/>
        </w:rPr>
        <w:t>75338 PARIS CEDEX 07</w:t>
      </w:r>
    </w:p>
    <w:p w14:paraId="4D2715C7" w14:textId="77777777" w:rsidR="00DB19F5" w:rsidRPr="00A74C83" w:rsidRDefault="00DB19F5" w:rsidP="00DB19F5"/>
    <w:p w14:paraId="6F7B4AA8" w14:textId="77777777" w:rsidR="00DB19F5" w:rsidRPr="00A74C83" w:rsidRDefault="00DB19F5" w:rsidP="00DB19F5"/>
    <w:p w14:paraId="160AD672" w14:textId="77777777" w:rsidR="00DB19F5" w:rsidRPr="00A74C83" w:rsidRDefault="00DB19F5" w:rsidP="00DB19F5"/>
    <w:p w14:paraId="38D19C2C" w14:textId="77777777" w:rsidR="00DB19F5" w:rsidRPr="00A74C83" w:rsidRDefault="00DB19F5" w:rsidP="29318AA7">
      <w:pPr>
        <w:rPr>
          <w:rFonts w:ascii="Calibri" w:hAnsi="Calibri" w:cs="Calibri"/>
        </w:rPr>
      </w:pPr>
      <w:r w:rsidRPr="00A74C83">
        <w:rPr>
          <w:noProof/>
        </w:rPr>
        <mc:AlternateContent>
          <mc:Choice Requires="wpg">
            <w:drawing>
              <wp:inline distT="0" distB="0" distL="0" distR="0" wp14:anchorId="6321B1EF" wp14:editId="1EB40920">
                <wp:extent cx="5859145" cy="3089275"/>
                <wp:effectExtent l="0" t="0" r="0" b="0"/>
                <wp:docPr id="13" name="Groupe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9145" cy="3089275"/>
                          <a:chOff x="80" y="-174"/>
                          <a:chExt cx="15724" cy="6632"/>
                        </a:xfrm>
                      </wpg:grpSpPr>
                      <pic:pic xmlns:pic="http://schemas.openxmlformats.org/drawingml/2006/picture">
                        <pic:nvPicPr>
                          <pic:cNvPr id="14" name="Image 5"/>
                          <pic:cNvPicPr/>
                        </pic:nvPicPr>
                        <pic:blipFill>
                          <a:blip r:embed="rId12"/>
                          <a:srcRect l="1128" r="10"/>
                          <a:stretch/>
                        </pic:blipFill>
                        <pic:spPr bwMode="auto">
                          <a:xfrm>
                            <a:off x="80" y="-174"/>
                            <a:ext cx="13767" cy="6632"/>
                          </a:xfrm>
                          <a:prstGeom prst="rect">
                            <a:avLst/>
                          </a:prstGeom>
                          <a:solidFill>
                            <a:srgbClr val="FFFFFF"/>
                          </a:solidFill>
                          <a:ln>
                            <a:noFill/>
                          </a:ln>
                        </pic:spPr>
                      </pic:pic>
                      <wps:wsp>
                        <wps:cNvPr id="15" name="Rectangle 2"/>
                        <wps:cNvSpPr/>
                        <wps:spPr bwMode="auto">
                          <a:xfrm>
                            <a:off x="174" y="1101"/>
                            <a:ext cx="15630" cy="5199"/>
                          </a:xfrm>
                          <a:prstGeom prst="rect">
                            <a:avLst/>
                          </a:prstGeom>
                          <a:noFill/>
                          <a:ln>
                            <a:noFill/>
                          </a:ln>
                        </wps:spPr>
                        <wps:txbx>
                          <w:txbxContent>
                            <w:p w14:paraId="01650A91" w14:textId="77777777" w:rsidR="001C7C75" w:rsidRDefault="001C7C75" w:rsidP="00DB19F5">
                              <w:pPr>
                                <w:jc w:val="center"/>
                                <w:rPr>
                                  <w:b/>
                                  <w:color w:val="008B8E"/>
                                  <w:sz w:val="36"/>
                                </w:rPr>
                              </w:pPr>
                            </w:p>
                            <w:p w14:paraId="1C52FDB9" w14:textId="7887242C" w:rsidR="001C7C75" w:rsidRPr="00DB19F5" w:rsidRDefault="001C7C75" w:rsidP="00476E70">
                              <w:pPr>
                                <w:jc w:val="center"/>
                                <w:rPr>
                                  <w:b/>
                                  <w:color w:val="008B8E"/>
                                  <w:sz w:val="36"/>
                                </w:rPr>
                              </w:pPr>
                              <w:r w:rsidRPr="00476E70">
                                <w:rPr>
                                  <w:b/>
                                  <w:color w:val="008B8E"/>
                                  <w:sz w:val="36"/>
                                </w:rPr>
                                <w:t>Formation initiale et mise à jour des compétences des télépilotes de drones pour une activité professionnelle selon la réglementation européenne</w:t>
                              </w:r>
                            </w:p>
                          </w:txbxContent>
                        </wps:txbx>
                        <wps:bodyPr wrap="square" lIns="0" tIns="0" rIns="0" bIns="0"/>
                      </wps:wsp>
                    </wpg:wgp>
                  </a:graphicData>
                </a:graphic>
              </wp:inline>
            </w:drawing>
          </mc:Choice>
          <mc:Fallback>
            <w:pict>
              <v:group w14:anchorId="6321B1EF" id="Groupe 31" o:spid="_x0000_s1026" style="width:461.35pt;height:243.25pt;mso-position-horizontal-relative:char;mso-position-vertical-relative:line" coordorigin="80,-174" coordsize="15724,6632"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QtB/5Amn/wDXrF/6DWjWdoP/ACBNP/69Yv8A0GtG&#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left:80;top:-174;width:13767;height:66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" filled="t">
                  <v:imagedata r:id="rId13" o:title="" cropleft="739f" cropright="7f"/>
                </v:shape>
                <v:rect id="Rectangle 2" o:spid="_x0000_s1028" style="position:absolute;left:174;top:1101;width:15630;height:51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14:paraId="01650A91" w14:textId="77777777" w:rsidR="001C7C75" w:rsidRDefault="001C7C75" w:rsidP="00DB19F5">
                        <w:pPr>
                          <w:jc w:val="center"/>
                          <w:rPr>
                            <w:b/>
                            <w:color w:val="008B8E"/>
                            <w:sz w:val="36"/>
                          </w:rPr>
                        </w:pPr>
                      </w:p>
                      <w:p w14:paraId="1C52FDB9" w14:textId="7887242C" w:rsidR="001C7C75" w:rsidRPr="00DB19F5" w:rsidRDefault="001C7C75" w:rsidP="00476E70">
                        <w:pPr>
                          <w:jc w:val="center"/>
                          <w:rPr>
                            <w:b/>
                            <w:color w:val="008B8E"/>
                            <w:sz w:val="36"/>
                          </w:rPr>
                        </w:pPr>
                        <w:r w:rsidRPr="00476E70">
                          <w:rPr>
                            <w:b/>
                            <w:color w:val="008B8E"/>
                            <w:sz w:val="36"/>
                          </w:rPr>
                          <w:t>Formation initiale et mise à jour des compétences des télépilotes de drones pour une activité professionnelle selon la réglementation européenne</w:t>
                        </w:r>
                      </w:p>
                    </w:txbxContent>
                  </v:textbox>
                </v:rect>
                <w10:anchorlock/>
              </v:group>
            </w:pict>
          </mc:Fallback>
        </mc:AlternateContent>
      </w:r>
    </w:p>
    <w:p w14:paraId="5C6105C5" w14:textId="77777777" w:rsidR="00DB19F5" w:rsidRPr="00A74C83" w:rsidRDefault="00DB19F5" w:rsidP="00DB19F5"/>
    <w:p w14:paraId="112742D7" w14:textId="77777777" w:rsidR="00DB19F5" w:rsidRPr="00A74C83" w:rsidRDefault="00DB19F5" w:rsidP="00DB19F5"/>
    <w:p w14:paraId="2A3BF7A4" w14:textId="77777777" w:rsidR="00DB19F5" w:rsidRPr="00A74C83" w:rsidRDefault="00DB19F5" w:rsidP="00DB19F5"/>
    <w:p w14:paraId="599817A2" w14:textId="77777777" w:rsidR="00DB19F5" w:rsidRPr="00A74C83" w:rsidRDefault="00DB19F5" w:rsidP="29318AA7">
      <w:pPr>
        <w:rPr>
          <w:i/>
          <w:iCs/>
        </w:rPr>
      </w:pPr>
    </w:p>
    <w:p w14:paraId="3ACF7F83" w14:textId="77777777" w:rsidR="00DB19F5" w:rsidRPr="00A74C83" w:rsidRDefault="29318AA7" w:rsidP="29318AA7">
      <w:pPr>
        <w:jc w:val="center"/>
        <w:rPr>
          <w:rFonts w:ascii="Trebuchet MS" w:hAnsi="Trebuchet MS"/>
          <w:color w:val="135764"/>
          <w:sz w:val="40"/>
          <w:szCs w:val="40"/>
        </w:rPr>
      </w:pPr>
      <w:r w:rsidRPr="00A74C83">
        <w:rPr>
          <w:rFonts w:ascii="Trebuchet MS" w:hAnsi="Trebuchet MS"/>
          <w:color w:val="135764"/>
          <w:sz w:val="40"/>
          <w:szCs w:val="40"/>
        </w:rPr>
        <w:t>CAHIER DES CLAUSES ADMINISTRATIVES PARTICULIÈRES</w:t>
      </w:r>
    </w:p>
    <w:p w14:paraId="455BA061" w14:textId="77777777" w:rsidR="00DB19F5" w:rsidRPr="00A74C83" w:rsidRDefault="29318AA7" w:rsidP="29318AA7">
      <w:pPr>
        <w:jc w:val="center"/>
        <w:rPr>
          <w:rFonts w:ascii="Trebuchet MS" w:hAnsi="Trebuchet MS"/>
          <w:color w:val="135764"/>
          <w:sz w:val="40"/>
          <w:szCs w:val="40"/>
        </w:rPr>
      </w:pPr>
      <w:r w:rsidRPr="00A74C83">
        <w:rPr>
          <w:rFonts w:ascii="Trebuchet MS" w:hAnsi="Trebuchet MS"/>
          <w:color w:val="135764"/>
          <w:sz w:val="40"/>
          <w:szCs w:val="40"/>
        </w:rPr>
        <w:t>(CCAP)</w:t>
      </w:r>
    </w:p>
    <w:p w14:paraId="67247045" w14:textId="77777777" w:rsidR="00DB19F5" w:rsidRPr="00A74C83" w:rsidRDefault="00DB19F5" w:rsidP="00DB19F5">
      <w:pPr>
        <w:sectPr w:rsidR="00DB19F5" w:rsidRPr="00A74C83">
          <w:footerReference w:type="even" r:id="rId14"/>
          <w:footerReference w:type="default" r:id="rId15"/>
          <w:footerReference w:type="first" r:id="rId16"/>
          <w:pgSz w:w="11906" w:h="16838"/>
          <w:pgMar w:top="1466" w:right="1274" w:bottom="715" w:left="1310" w:header="720" w:footer="720" w:gutter="0"/>
          <w:cols w:space="720"/>
          <w:titlePg/>
          <w:docGrid w:linePitch="360"/>
        </w:sectPr>
      </w:pPr>
    </w:p>
    <w:p w14:paraId="7BF3E865" w14:textId="77777777" w:rsidR="00DB19F5" w:rsidRPr="00A74C83" w:rsidRDefault="00DB19F5" w:rsidP="00DB19F5">
      <w:bookmarkStart w:id="0" w:name="_Hlk79415464"/>
      <w:r w:rsidRPr="00A74C83">
        <w:lastRenderedPageBreak/>
        <w:t xml:space="preserve">SOMMAIRE </w:t>
      </w:r>
      <w:bookmarkEnd w:id="0"/>
    </w:p>
    <w:p w14:paraId="5657CDC1" w14:textId="4AA411E7" w:rsidR="00FF0F13" w:rsidRPr="00A74C83" w:rsidRDefault="00DB19F5">
      <w:pPr>
        <w:pStyle w:val="TM1"/>
        <w:tabs>
          <w:tab w:val="right" w:leader="dot" w:pos="9174"/>
        </w:tabs>
        <w:rPr>
          <w:rFonts w:asciiTheme="minorHAnsi" w:eastAsiaTheme="minorEastAsia" w:hAnsiTheme="minorHAnsi" w:cstheme="minorBidi"/>
          <w:b w:val="0"/>
          <w:bCs w:val="0"/>
          <w:noProof/>
          <w:color w:val="auto"/>
          <w:sz w:val="22"/>
          <w:szCs w:val="22"/>
        </w:rPr>
      </w:pPr>
      <w:r w:rsidRPr="00A74C83">
        <w:fldChar w:fldCharType="begin"/>
      </w:r>
      <w:r w:rsidRPr="00A74C83">
        <w:instrText xml:space="preserve"> TOC \h \z \t "Titre 1;1;Article;1;Sous article;2;Sous sous article;3" </w:instrText>
      </w:r>
      <w:r w:rsidRPr="00A74C83">
        <w:fldChar w:fldCharType="separate"/>
      </w:r>
      <w:hyperlink w:anchor="_Toc193296196" w:history="1">
        <w:r w:rsidR="00FF0F13" w:rsidRPr="00A74C83">
          <w:rPr>
            <w:rStyle w:val="Lienhypertexte"/>
            <w:noProof/>
          </w:rPr>
          <w:t>Article 1 : Objet du marché</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_Toc193296196 \h </w:instrText>
        </w:r>
        <w:r w:rsidR="00FF0F13" w:rsidRPr="00A74C83">
          <w:rPr>
            <w:noProof/>
            <w:webHidden/>
          </w:rPr>
        </w:r>
        <w:r w:rsidR="00FF0F13" w:rsidRPr="00A74C83">
          <w:rPr>
            <w:noProof/>
            <w:webHidden/>
          </w:rPr>
          <w:fldChar w:fldCharType="separate"/>
        </w:r>
        <w:r w:rsidR="00FF0F13" w:rsidRPr="00A74C83">
          <w:rPr>
            <w:noProof/>
            <w:webHidden/>
          </w:rPr>
          <w:t>3</w:t>
        </w:r>
        <w:r w:rsidR="00FF0F13" w:rsidRPr="00A74C83">
          <w:rPr>
            <w:noProof/>
            <w:webHidden/>
          </w:rPr>
          <w:fldChar w:fldCharType="end"/>
        </w:r>
      </w:hyperlink>
    </w:p>
    <w:p w14:paraId="017D483F" w14:textId="37FAEFCF" w:rsidR="00FF0F13" w:rsidRPr="00A74C83" w:rsidRDefault="0075276F">
      <w:pPr>
        <w:pStyle w:val="TM1"/>
        <w:tabs>
          <w:tab w:val="right" w:leader="dot" w:pos="9174"/>
        </w:tabs>
        <w:rPr>
          <w:rFonts w:asciiTheme="minorHAnsi" w:eastAsiaTheme="minorEastAsia" w:hAnsiTheme="minorHAnsi" w:cstheme="minorBidi"/>
          <w:b w:val="0"/>
          <w:bCs w:val="0"/>
          <w:noProof/>
          <w:color w:val="auto"/>
          <w:sz w:val="22"/>
          <w:szCs w:val="22"/>
        </w:rPr>
      </w:pPr>
      <w:hyperlink w:anchor="_Toc193296197" w:history="1">
        <w:r w:rsidR="00FF0F13" w:rsidRPr="00A74C83">
          <w:rPr>
            <w:rStyle w:val="Lienhypertexte"/>
            <w:noProof/>
          </w:rPr>
          <w:t>Article 2 : Allotissement</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_Toc193296197 \h </w:instrText>
        </w:r>
        <w:r w:rsidR="00FF0F13" w:rsidRPr="00A74C83">
          <w:rPr>
            <w:noProof/>
            <w:webHidden/>
          </w:rPr>
        </w:r>
        <w:r w:rsidR="00FF0F13" w:rsidRPr="00A74C83">
          <w:rPr>
            <w:noProof/>
            <w:webHidden/>
          </w:rPr>
          <w:fldChar w:fldCharType="separate"/>
        </w:r>
        <w:r w:rsidR="00FF0F13" w:rsidRPr="00A74C83">
          <w:rPr>
            <w:noProof/>
            <w:webHidden/>
          </w:rPr>
          <w:t>3</w:t>
        </w:r>
        <w:r w:rsidR="00FF0F13" w:rsidRPr="00A74C83">
          <w:rPr>
            <w:noProof/>
            <w:webHidden/>
          </w:rPr>
          <w:fldChar w:fldCharType="end"/>
        </w:r>
      </w:hyperlink>
    </w:p>
    <w:p w14:paraId="3E495847" w14:textId="155AF9F7" w:rsidR="00FF0F13" w:rsidRPr="00A74C83" w:rsidRDefault="0075276F">
      <w:pPr>
        <w:pStyle w:val="TM1"/>
        <w:tabs>
          <w:tab w:val="right" w:leader="dot" w:pos="9174"/>
        </w:tabs>
        <w:rPr>
          <w:rFonts w:asciiTheme="minorHAnsi" w:eastAsiaTheme="minorEastAsia" w:hAnsiTheme="minorHAnsi" w:cstheme="minorBidi"/>
          <w:b w:val="0"/>
          <w:bCs w:val="0"/>
          <w:noProof/>
          <w:color w:val="auto"/>
          <w:sz w:val="22"/>
          <w:szCs w:val="22"/>
        </w:rPr>
      </w:pPr>
      <w:hyperlink w:anchor="_Toc193296198" w:history="1">
        <w:r w:rsidR="00FF0F13" w:rsidRPr="00A74C83">
          <w:rPr>
            <w:rStyle w:val="Lienhypertexte"/>
            <w:noProof/>
          </w:rPr>
          <w:t>Article 3 : Documents régissant le marché</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_Toc193296198 \h </w:instrText>
        </w:r>
        <w:r w:rsidR="00FF0F13" w:rsidRPr="00A74C83">
          <w:rPr>
            <w:noProof/>
            <w:webHidden/>
          </w:rPr>
        </w:r>
        <w:r w:rsidR="00FF0F13" w:rsidRPr="00A74C83">
          <w:rPr>
            <w:noProof/>
            <w:webHidden/>
          </w:rPr>
          <w:fldChar w:fldCharType="separate"/>
        </w:r>
        <w:r w:rsidR="00FF0F13" w:rsidRPr="00A74C83">
          <w:rPr>
            <w:noProof/>
            <w:webHidden/>
          </w:rPr>
          <w:t>3</w:t>
        </w:r>
        <w:r w:rsidR="00FF0F13" w:rsidRPr="00A74C83">
          <w:rPr>
            <w:noProof/>
            <w:webHidden/>
          </w:rPr>
          <w:fldChar w:fldCharType="end"/>
        </w:r>
      </w:hyperlink>
    </w:p>
    <w:p w14:paraId="1ECC68E6" w14:textId="2040FFDE" w:rsidR="00FF0F13" w:rsidRPr="00A74C83" w:rsidRDefault="0075276F">
      <w:pPr>
        <w:pStyle w:val="TM1"/>
        <w:tabs>
          <w:tab w:val="right" w:leader="dot" w:pos="9174"/>
        </w:tabs>
        <w:rPr>
          <w:rFonts w:asciiTheme="minorHAnsi" w:eastAsiaTheme="minorEastAsia" w:hAnsiTheme="minorHAnsi" w:cstheme="minorBidi"/>
          <w:b w:val="0"/>
          <w:bCs w:val="0"/>
          <w:noProof/>
          <w:color w:val="auto"/>
          <w:sz w:val="22"/>
          <w:szCs w:val="22"/>
        </w:rPr>
      </w:pPr>
      <w:hyperlink w:anchor="_Toc193296199" w:history="1">
        <w:r w:rsidR="00FF0F13" w:rsidRPr="00A74C83">
          <w:rPr>
            <w:rStyle w:val="Lienhypertexte"/>
            <w:noProof/>
          </w:rPr>
          <w:t>Article 4 : Forme du marché et exception d’exclusivité</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_Toc193296199 \h </w:instrText>
        </w:r>
        <w:r w:rsidR="00FF0F13" w:rsidRPr="00A74C83">
          <w:rPr>
            <w:noProof/>
            <w:webHidden/>
          </w:rPr>
        </w:r>
        <w:r w:rsidR="00FF0F13" w:rsidRPr="00A74C83">
          <w:rPr>
            <w:noProof/>
            <w:webHidden/>
          </w:rPr>
          <w:fldChar w:fldCharType="separate"/>
        </w:r>
        <w:r w:rsidR="00FF0F13" w:rsidRPr="00A74C83">
          <w:rPr>
            <w:noProof/>
            <w:webHidden/>
          </w:rPr>
          <w:t>3</w:t>
        </w:r>
        <w:r w:rsidR="00FF0F13" w:rsidRPr="00A74C83">
          <w:rPr>
            <w:noProof/>
            <w:webHidden/>
          </w:rPr>
          <w:fldChar w:fldCharType="end"/>
        </w:r>
      </w:hyperlink>
    </w:p>
    <w:p w14:paraId="22E0FAFA" w14:textId="58D40218" w:rsidR="00FF0F13" w:rsidRPr="00A74C83" w:rsidRDefault="0075276F">
      <w:pPr>
        <w:pStyle w:val="TM1"/>
        <w:tabs>
          <w:tab w:val="right" w:leader="dot" w:pos="9174"/>
        </w:tabs>
        <w:rPr>
          <w:rFonts w:asciiTheme="minorHAnsi" w:eastAsiaTheme="minorEastAsia" w:hAnsiTheme="minorHAnsi" w:cstheme="minorBidi"/>
          <w:b w:val="0"/>
          <w:bCs w:val="0"/>
          <w:noProof/>
          <w:color w:val="auto"/>
          <w:sz w:val="22"/>
          <w:szCs w:val="22"/>
        </w:rPr>
      </w:pPr>
      <w:hyperlink w:anchor="_Toc193296200" w:history="1">
        <w:r w:rsidR="00FF0F13" w:rsidRPr="00A74C83">
          <w:rPr>
            <w:rStyle w:val="Lienhypertexte"/>
            <w:noProof/>
          </w:rPr>
          <w:t>Article 5 : Durée et montants du marché</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_Toc193296200 \h </w:instrText>
        </w:r>
        <w:r w:rsidR="00FF0F13" w:rsidRPr="00A74C83">
          <w:rPr>
            <w:noProof/>
            <w:webHidden/>
          </w:rPr>
        </w:r>
        <w:r w:rsidR="00FF0F13" w:rsidRPr="00A74C83">
          <w:rPr>
            <w:noProof/>
            <w:webHidden/>
          </w:rPr>
          <w:fldChar w:fldCharType="separate"/>
        </w:r>
        <w:r w:rsidR="00FF0F13" w:rsidRPr="00A74C83">
          <w:rPr>
            <w:noProof/>
            <w:webHidden/>
          </w:rPr>
          <w:t>4</w:t>
        </w:r>
        <w:r w:rsidR="00FF0F13" w:rsidRPr="00A74C83">
          <w:rPr>
            <w:noProof/>
            <w:webHidden/>
          </w:rPr>
          <w:fldChar w:fldCharType="end"/>
        </w:r>
      </w:hyperlink>
    </w:p>
    <w:p w14:paraId="2C08FDDF" w14:textId="71A545E4" w:rsidR="00FF0F13" w:rsidRPr="00A74C83" w:rsidRDefault="0075276F">
      <w:pPr>
        <w:pStyle w:val="TM2"/>
        <w:rPr>
          <w:rFonts w:asciiTheme="minorHAnsi" w:eastAsiaTheme="minorEastAsia" w:hAnsiTheme="minorHAnsi" w:cstheme="minorBidi"/>
          <w:i w:val="0"/>
          <w:iCs w:val="0"/>
          <w:noProof/>
          <w:color w:val="auto"/>
          <w:sz w:val="22"/>
          <w:szCs w:val="22"/>
        </w:rPr>
      </w:pPr>
      <w:hyperlink w:anchor="_Toc193296201" w:history="1">
        <w:r w:rsidR="00FF0F13" w:rsidRPr="00A74C83">
          <w:rPr>
            <w:rStyle w:val="Lienhypertexte"/>
            <w:noProof/>
          </w:rPr>
          <w:t>Article 5.1 : Durée du marché</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_Toc193296201 \h </w:instrText>
        </w:r>
        <w:r w:rsidR="00FF0F13" w:rsidRPr="00A74C83">
          <w:rPr>
            <w:noProof/>
            <w:webHidden/>
          </w:rPr>
        </w:r>
        <w:r w:rsidR="00FF0F13" w:rsidRPr="00A74C83">
          <w:rPr>
            <w:noProof/>
            <w:webHidden/>
          </w:rPr>
          <w:fldChar w:fldCharType="separate"/>
        </w:r>
        <w:r w:rsidR="00FF0F13" w:rsidRPr="00A74C83">
          <w:rPr>
            <w:noProof/>
            <w:webHidden/>
          </w:rPr>
          <w:t>4</w:t>
        </w:r>
        <w:r w:rsidR="00FF0F13" w:rsidRPr="00A74C83">
          <w:rPr>
            <w:noProof/>
            <w:webHidden/>
          </w:rPr>
          <w:fldChar w:fldCharType="end"/>
        </w:r>
      </w:hyperlink>
    </w:p>
    <w:p w14:paraId="70001E90" w14:textId="1C991D34" w:rsidR="00FF0F13" w:rsidRPr="00A74C83" w:rsidRDefault="0075276F">
      <w:pPr>
        <w:pStyle w:val="TM2"/>
        <w:rPr>
          <w:rFonts w:asciiTheme="minorHAnsi" w:eastAsiaTheme="minorEastAsia" w:hAnsiTheme="minorHAnsi" w:cstheme="minorBidi"/>
          <w:i w:val="0"/>
          <w:iCs w:val="0"/>
          <w:noProof/>
          <w:color w:val="auto"/>
          <w:sz w:val="22"/>
          <w:szCs w:val="22"/>
        </w:rPr>
      </w:pPr>
      <w:hyperlink w:anchor="_Toc193296202" w:history="1">
        <w:r w:rsidR="00FF0F13" w:rsidRPr="00A74C83">
          <w:rPr>
            <w:rStyle w:val="Lienhypertexte"/>
            <w:noProof/>
          </w:rPr>
          <w:t>Action 5.2 : Montants du marché</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_Toc193296202 \h </w:instrText>
        </w:r>
        <w:r w:rsidR="00FF0F13" w:rsidRPr="00A74C83">
          <w:rPr>
            <w:noProof/>
            <w:webHidden/>
          </w:rPr>
        </w:r>
        <w:r w:rsidR="00FF0F13" w:rsidRPr="00A74C83">
          <w:rPr>
            <w:noProof/>
            <w:webHidden/>
          </w:rPr>
          <w:fldChar w:fldCharType="separate"/>
        </w:r>
        <w:r w:rsidR="00FF0F13" w:rsidRPr="00A74C83">
          <w:rPr>
            <w:noProof/>
            <w:webHidden/>
          </w:rPr>
          <w:t>4</w:t>
        </w:r>
        <w:r w:rsidR="00FF0F13" w:rsidRPr="00A74C83">
          <w:rPr>
            <w:noProof/>
            <w:webHidden/>
          </w:rPr>
          <w:fldChar w:fldCharType="end"/>
        </w:r>
      </w:hyperlink>
    </w:p>
    <w:p w14:paraId="4FA17040" w14:textId="3DBFAB1E" w:rsidR="00FF0F13" w:rsidRPr="00A74C83" w:rsidRDefault="0075276F">
      <w:pPr>
        <w:pStyle w:val="TM1"/>
        <w:tabs>
          <w:tab w:val="right" w:leader="dot" w:pos="9174"/>
        </w:tabs>
        <w:rPr>
          <w:rFonts w:asciiTheme="minorHAnsi" w:eastAsiaTheme="minorEastAsia" w:hAnsiTheme="minorHAnsi" w:cstheme="minorBidi"/>
          <w:b w:val="0"/>
          <w:bCs w:val="0"/>
          <w:noProof/>
          <w:color w:val="auto"/>
          <w:sz w:val="22"/>
          <w:szCs w:val="22"/>
        </w:rPr>
      </w:pPr>
      <w:hyperlink w:anchor="_Toc193296203" w:history="1">
        <w:r w:rsidR="00FF0F13" w:rsidRPr="00A74C83">
          <w:rPr>
            <w:rStyle w:val="Lienhypertexte"/>
            <w:noProof/>
          </w:rPr>
          <w:t>Article 6 : Délais d’exécution</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_Toc193296203 \h </w:instrText>
        </w:r>
        <w:r w:rsidR="00FF0F13" w:rsidRPr="00A74C83">
          <w:rPr>
            <w:noProof/>
            <w:webHidden/>
          </w:rPr>
        </w:r>
        <w:r w:rsidR="00FF0F13" w:rsidRPr="00A74C83">
          <w:rPr>
            <w:noProof/>
            <w:webHidden/>
          </w:rPr>
          <w:fldChar w:fldCharType="separate"/>
        </w:r>
        <w:r w:rsidR="00FF0F13" w:rsidRPr="00A74C83">
          <w:rPr>
            <w:noProof/>
            <w:webHidden/>
          </w:rPr>
          <w:t>4</w:t>
        </w:r>
        <w:r w:rsidR="00FF0F13" w:rsidRPr="00A74C83">
          <w:rPr>
            <w:noProof/>
            <w:webHidden/>
          </w:rPr>
          <w:fldChar w:fldCharType="end"/>
        </w:r>
      </w:hyperlink>
    </w:p>
    <w:p w14:paraId="7F5C1D7D" w14:textId="467473B3" w:rsidR="00FF0F13" w:rsidRPr="00A74C83" w:rsidRDefault="0075276F">
      <w:pPr>
        <w:pStyle w:val="TM1"/>
        <w:tabs>
          <w:tab w:val="right" w:leader="dot" w:pos="9174"/>
        </w:tabs>
        <w:rPr>
          <w:rFonts w:asciiTheme="minorHAnsi" w:eastAsiaTheme="minorEastAsia" w:hAnsiTheme="minorHAnsi" w:cstheme="minorBidi"/>
          <w:b w:val="0"/>
          <w:bCs w:val="0"/>
          <w:noProof/>
          <w:color w:val="auto"/>
          <w:sz w:val="22"/>
          <w:szCs w:val="22"/>
        </w:rPr>
      </w:pPr>
      <w:hyperlink w:anchor="_Toc193296204" w:history="1">
        <w:r w:rsidR="00FF0F13" w:rsidRPr="00A74C83">
          <w:rPr>
            <w:rStyle w:val="Lienhypertexte"/>
            <w:noProof/>
          </w:rPr>
          <w:t>Article 7 : Obligations du titulaire</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_Toc193296204 \h </w:instrText>
        </w:r>
        <w:r w:rsidR="00FF0F13" w:rsidRPr="00A74C83">
          <w:rPr>
            <w:noProof/>
            <w:webHidden/>
          </w:rPr>
        </w:r>
        <w:r w:rsidR="00FF0F13" w:rsidRPr="00A74C83">
          <w:rPr>
            <w:noProof/>
            <w:webHidden/>
          </w:rPr>
          <w:fldChar w:fldCharType="separate"/>
        </w:r>
        <w:r w:rsidR="00FF0F13" w:rsidRPr="00A74C83">
          <w:rPr>
            <w:noProof/>
            <w:webHidden/>
          </w:rPr>
          <w:t>4</w:t>
        </w:r>
        <w:r w:rsidR="00FF0F13" w:rsidRPr="00A74C83">
          <w:rPr>
            <w:noProof/>
            <w:webHidden/>
          </w:rPr>
          <w:fldChar w:fldCharType="end"/>
        </w:r>
      </w:hyperlink>
    </w:p>
    <w:p w14:paraId="0BE4473D" w14:textId="2F391506" w:rsidR="00FF0F13" w:rsidRPr="00A74C83" w:rsidRDefault="0075276F">
      <w:pPr>
        <w:pStyle w:val="TM2"/>
        <w:rPr>
          <w:rFonts w:asciiTheme="minorHAnsi" w:eastAsiaTheme="minorEastAsia" w:hAnsiTheme="minorHAnsi" w:cstheme="minorBidi"/>
          <w:i w:val="0"/>
          <w:iCs w:val="0"/>
          <w:noProof/>
          <w:color w:val="auto"/>
          <w:sz w:val="22"/>
          <w:szCs w:val="22"/>
        </w:rPr>
      </w:pPr>
      <w:hyperlink w:anchor="_Toc193296205" w:history="1">
        <w:r w:rsidR="00FF0F13" w:rsidRPr="00A74C83">
          <w:rPr>
            <w:rStyle w:val="Lienhypertexte"/>
            <w:noProof/>
          </w:rPr>
          <w:t>Article 7.1 : Conditions générales</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_Toc193296205 \h </w:instrText>
        </w:r>
        <w:r w:rsidR="00FF0F13" w:rsidRPr="00A74C83">
          <w:rPr>
            <w:noProof/>
            <w:webHidden/>
          </w:rPr>
        </w:r>
        <w:r w:rsidR="00FF0F13" w:rsidRPr="00A74C83">
          <w:rPr>
            <w:noProof/>
            <w:webHidden/>
          </w:rPr>
          <w:fldChar w:fldCharType="separate"/>
        </w:r>
        <w:r w:rsidR="00FF0F13" w:rsidRPr="00A74C83">
          <w:rPr>
            <w:noProof/>
            <w:webHidden/>
          </w:rPr>
          <w:t>4</w:t>
        </w:r>
        <w:r w:rsidR="00FF0F13" w:rsidRPr="00A74C83">
          <w:rPr>
            <w:noProof/>
            <w:webHidden/>
          </w:rPr>
          <w:fldChar w:fldCharType="end"/>
        </w:r>
      </w:hyperlink>
    </w:p>
    <w:p w14:paraId="4F8DA854" w14:textId="40F6556E" w:rsidR="00FF0F13" w:rsidRPr="00A74C83" w:rsidRDefault="0075276F">
      <w:pPr>
        <w:pStyle w:val="TM2"/>
        <w:rPr>
          <w:rFonts w:asciiTheme="minorHAnsi" w:eastAsiaTheme="minorEastAsia" w:hAnsiTheme="minorHAnsi" w:cstheme="minorBidi"/>
          <w:i w:val="0"/>
          <w:iCs w:val="0"/>
          <w:noProof/>
          <w:color w:val="auto"/>
          <w:sz w:val="22"/>
          <w:szCs w:val="22"/>
        </w:rPr>
      </w:pPr>
      <w:hyperlink w:anchor="_Toc193296206" w:history="1">
        <w:r w:rsidR="00FF0F13" w:rsidRPr="00A74C83">
          <w:rPr>
            <w:rStyle w:val="Lienhypertexte"/>
            <w:noProof/>
          </w:rPr>
          <w:t>Article 7.2 : Langue</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_Toc193296206 \h </w:instrText>
        </w:r>
        <w:r w:rsidR="00FF0F13" w:rsidRPr="00A74C83">
          <w:rPr>
            <w:noProof/>
            <w:webHidden/>
          </w:rPr>
        </w:r>
        <w:r w:rsidR="00FF0F13" w:rsidRPr="00A74C83">
          <w:rPr>
            <w:noProof/>
            <w:webHidden/>
          </w:rPr>
          <w:fldChar w:fldCharType="separate"/>
        </w:r>
        <w:r w:rsidR="00FF0F13" w:rsidRPr="00A74C83">
          <w:rPr>
            <w:noProof/>
            <w:webHidden/>
          </w:rPr>
          <w:t>4</w:t>
        </w:r>
        <w:r w:rsidR="00FF0F13" w:rsidRPr="00A74C83">
          <w:rPr>
            <w:noProof/>
            <w:webHidden/>
          </w:rPr>
          <w:fldChar w:fldCharType="end"/>
        </w:r>
      </w:hyperlink>
    </w:p>
    <w:p w14:paraId="087F8F10" w14:textId="715DDCCE" w:rsidR="00FF0F13" w:rsidRPr="00A74C83" w:rsidRDefault="0075276F">
      <w:pPr>
        <w:pStyle w:val="TM2"/>
        <w:rPr>
          <w:rFonts w:asciiTheme="minorHAnsi" w:eastAsiaTheme="minorEastAsia" w:hAnsiTheme="minorHAnsi" w:cstheme="minorBidi"/>
          <w:i w:val="0"/>
          <w:iCs w:val="0"/>
          <w:noProof/>
          <w:color w:val="auto"/>
          <w:sz w:val="22"/>
          <w:szCs w:val="22"/>
        </w:rPr>
      </w:pPr>
      <w:hyperlink w:anchor="_Toc193296207" w:history="1">
        <w:r w:rsidR="00FF0F13" w:rsidRPr="00A74C83">
          <w:rPr>
            <w:rStyle w:val="Lienhypertexte"/>
            <w:noProof/>
          </w:rPr>
          <w:t>Article 7.3 : Secret professionnel et obligation de discrétion</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_Toc193296207 \h </w:instrText>
        </w:r>
        <w:r w:rsidR="00FF0F13" w:rsidRPr="00A74C83">
          <w:rPr>
            <w:noProof/>
            <w:webHidden/>
          </w:rPr>
        </w:r>
        <w:r w:rsidR="00FF0F13" w:rsidRPr="00A74C83">
          <w:rPr>
            <w:noProof/>
            <w:webHidden/>
          </w:rPr>
          <w:fldChar w:fldCharType="separate"/>
        </w:r>
        <w:r w:rsidR="00FF0F13" w:rsidRPr="00A74C83">
          <w:rPr>
            <w:noProof/>
            <w:webHidden/>
          </w:rPr>
          <w:t>5</w:t>
        </w:r>
        <w:r w:rsidR="00FF0F13" w:rsidRPr="00A74C83">
          <w:rPr>
            <w:noProof/>
            <w:webHidden/>
          </w:rPr>
          <w:fldChar w:fldCharType="end"/>
        </w:r>
      </w:hyperlink>
    </w:p>
    <w:p w14:paraId="20A0058C" w14:textId="2D22BCA3" w:rsidR="00FF0F13" w:rsidRPr="00A74C83" w:rsidRDefault="0075276F">
      <w:pPr>
        <w:pStyle w:val="TM2"/>
        <w:rPr>
          <w:rFonts w:asciiTheme="minorHAnsi" w:eastAsiaTheme="minorEastAsia" w:hAnsiTheme="minorHAnsi" w:cstheme="minorBidi"/>
          <w:i w:val="0"/>
          <w:iCs w:val="0"/>
          <w:noProof/>
          <w:color w:val="auto"/>
          <w:sz w:val="22"/>
          <w:szCs w:val="22"/>
        </w:rPr>
      </w:pPr>
      <w:hyperlink w:anchor="_Toc193296208" w:history="1">
        <w:r w:rsidR="00FF0F13" w:rsidRPr="00A74C83">
          <w:rPr>
            <w:rStyle w:val="Lienhypertexte"/>
            <w:noProof/>
          </w:rPr>
          <w:t>Article 7.4 : Sécurité et transfert des données</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_Toc193296208 \h </w:instrText>
        </w:r>
        <w:r w:rsidR="00FF0F13" w:rsidRPr="00A74C83">
          <w:rPr>
            <w:noProof/>
            <w:webHidden/>
          </w:rPr>
        </w:r>
        <w:r w:rsidR="00FF0F13" w:rsidRPr="00A74C83">
          <w:rPr>
            <w:noProof/>
            <w:webHidden/>
          </w:rPr>
          <w:fldChar w:fldCharType="separate"/>
        </w:r>
        <w:r w:rsidR="00FF0F13" w:rsidRPr="00A74C83">
          <w:rPr>
            <w:noProof/>
            <w:webHidden/>
          </w:rPr>
          <w:t>5</w:t>
        </w:r>
        <w:r w:rsidR="00FF0F13" w:rsidRPr="00A74C83">
          <w:rPr>
            <w:noProof/>
            <w:webHidden/>
          </w:rPr>
          <w:fldChar w:fldCharType="end"/>
        </w:r>
      </w:hyperlink>
    </w:p>
    <w:p w14:paraId="36019032" w14:textId="029DE65C" w:rsidR="00FF0F13" w:rsidRPr="00A74C83" w:rsidRDefault="0075276F">
      <w:pPr>
        <w:pStyle w:val="TM1"/>
        <w:tabs>
          <w:tab w:val="right" w:leader="dot" w:pos="9174"/>
        </w:tabs>
        <w:rPr>
          <w:rFonts w:asciiTheme="minorHAnsi" w:eastAsiaTheme="minorEastAsia" w:hAnsiTheme="minorHAnsi" w:cstheme="minorBidi"/>
          <w:b w:val="0"/>
          <w:bCs w:val="0"/>
          <w:noProof/>
          <w:color w:val="auto"/>
          <w:sz w:val="22"/>
          <w:szCs w:val="22"/>
        </w:rPr>
      </w:pPr>
      <w:hyperlink w:anchor="_Toc193296209" w:history="1">
        <w:r w:rsidR="00FF0F13" w:rsidRPr="00A74C83">
          <w:rPr>
            <w:rStyle w:val="Lienhypertexte"/>
            <w:noProof/>
          </w:rPr>
          <w:t>Article 8 : Engagements d’INRAE</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_Toc193296209 \h </w:instrText>
        </w:r>
        <w:r w:rsidR="00FF0F13" w:rsidRPr="00A74C83">
          <w:rPr>
            <w:noProof/>
            <w:webHidden/>
          </w:rPr>
        </w:r>
        <w:r w:rsidR="00FF0F13" w:rsidRPr="00A74C83">
          <w:rPr>
            <w:noProof/>
            <w:webHidden/>
          </w:rPr>
          <w:fldChar w:fldCharType="separate"/>
        </w:r>
        <w:r w:rsidR="00FF0F13" w:rsidRPr="00A74C83">
          <w:rPr>
            <w:noProof/>
            <w:webHidden/>
          </w:rPr>
          <w:t>5</w:t>
        </w:r>
        <w:r w:rsidR="00FF0F13" w:rsidRPr="00A74C83">
          <w:rPr>
            <w:noProof/>
            <w:webHidden/>
          </w:rPr>
          <w:fldChar w:fldCharType="end"/>
        </w:r>
      </w:hyperlink>
    </w:p>
    <w:p w14:paraId="75059AD0" w14:textId="1E10BB4E" w:rsidR="00FF0F13" w:rsidRPr="00A74C83" w:rsidRDefault="0075276F">
      <w:pPr>
        <w:pStyle w:val="TM1"/>
        <w:tabs>
          <w:tab w:val="right" w:leader="dot" w:pos="9174"/>
        </w:tabs>
        <w:rPr>
          <w:rFonts w:asciiTheme="minorHAnsi" w:eastAsiaTheme="minorEastAsia" w:hAnsiTheme="minorHAnsi" w:cstheme="minorBidi"/>
          <w:b w:val="0"/>
          <w:bCs w:val="0"/>
          <w:noProof/>
          <w:color w:val="auto"/>
          <w:sz w:val="22"/>
          <w:szCs w:val="22"/>
        </w:rPr>
      </w:pPr>
      <w:hyperlink w:anchor="_Toc193296210" w:history="1">
        <w:r w:rsidR="00FF0F13" w:rsidRPr="00A74C83">
          <w:rPr>
            <w:rStyle w:val="Lienhypertexte"/>
            <w:noProof/>
          </w:rPr>
          <w:t>Article 9 : Responsabilité du titulaire sur les équipes</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_Toc193296210 \h </w:instrText>
        </w:r>
        <w:r w:rsidR="00FF0F13" w:rsidRPr="00A74C83">
          <w:rPr>
            <w:noProof/>
            <w:webHidden/>
          </w:rPr>
        </w:r>
        <w:r w:rsidR="00FF0F13" w:rsidRPr="00A74C83">
          <w:rPr>
            <w:noProof/>
            <w:webHidden/>
          </w:rPr>
          <w:fldChar w:fldCharType="separate"/>
        </w:r>
        <w:r w:rsidR="00FF0F13" w:rsidRPr="00A74C83">
          <w:rPr>
            <w:noProof/>
            <w:webHidden/>
          </w:rPr>
          <w:t>5</w:t>
        </w:r>
        <w:r w:rsidR="00FF0F13" w:rsidRPr="00A74C83">
          <w:rPr>
            <w:noProof/>
            <w:webHidden/>
          </w:rPr>
          <w:fldChar w:fldCharType="end"/>
        </w:r>
      </w:hyperlink>
    </w:p>
    <w:p w14:paraId="731116CB" w14:textId="53CF8A75" w:rsidR="00FF0F13" w:rsidRPr="00A74C83" w:rsidRDefault="0075276F">
      <w:pPr>
        <w:pStyle w:val="TM1"/>
        <w:tabs>
          <w:tab w:val="right" w:leader="dot" w:pos="9174"/>
        </w:tabs>
        <w:rPr>
          <w:rFonts w:asciiTheme="minorHAnsi" w:eastAsiaTheme="minorEastAsia" w:hAnsiTheme="minorHAnsi" w:cstheme="minorBidi"/>
          <w:b w:val="0"/>
          <w:bCs w:val="0"/>
          <w:noProof/>
          <w:color w:val="auto"/>
          <w:sz w:val="22"/>
          <w:szCs w:val="22"/>
        </w:rPr>
      </w:pPr>
      <w:hyperlink w:anchor="_Toc193296211" w:history="1">
        <w:r w:rsidR="00FF0F13" w:rsidRPr="00A74C83">
          <w:rPr>
            <w:rStyle w:val="Lienhypertexte"/>
            <w:noProof/>
          </w:rPr>
          <w:t>Article 10 : Clause sociale – Action de formation sous statut scolaire au bénéfice de jeunes en situation de décrochage scolaire</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_Toc193296211 \h </w:instrText>
        </w:r>
        <w:r w:rsidR="00FF0F13" w:rsidRPr="00A74C83">
          <w:rPr>
            <w:noProof/>
            <w:webHidden/>
          </w:rPr>
        </w:r>
        <w:r w:rsidR="00FF0F13" w:rsidRPr="00A74C83">
          <w:rPr>
            <w:noProof/>
            <w:webHidden/>
          </w:rPr>
          <w:fldChar w:fldCharType="separate"/>
        </w:r>
        <w:r w:rsidR="00FF0F13" w:rsidRPr="00A74C83">
          <w:rPr>
            <w:noProof/>
            <w:webHidden/>
          </w:rPr>
          <w:t>6</w:t>
        </w:r>
        <w:r w:rsidR="00FF0F13" w:rsidRPr="00A74C83">
          <w:rPr>
            <w:noProof/>
            <w:webHidden/>
          </w:rPr>
          <w:fldChar w:fldCharType="end"/>
        </w:r>
      </w:hyperlink>
    </w:p>
    <w:p w14:paraId="71A4660D" w14:textId="6E11376E" w:rsidR="00FF0F13" w:rsidRPr="00A74C83" w:rsidRDefault="0075276F">
      <w:pPr>
        <w:pStyle w:val="TM2"/>
        <w:rPr>
          <w:rFonts w:asciiTheme="minorHAnsi" w:eastAsiaTheme="minorEastAsia" w:hAnsiTheme="minorHAnsi" w:cstheme="minorBidi"/>
          <w:i w:val="0"/>
          <w:iCs w:val="0"/>
          <w:noProof/>
          <w:color w:val="auto"/>
          <w:sz w:val="22"/>
          <w:szCs w:val="22"/>
        </w:rPr>
      </w:pPr>
      <w:hyperlink w:anchor="_Toc193296212" w:history="1">
        <w:r w:rsidR="00FF0F13" w:rsidRPr="00A74C83">
          <w:rPr>
            <w:rStyle w:val="Lienhypertexte"/>
            <w:noProof/>
          </w:rPr>
          <w:t>Article 10.1 : Conformément à son offre, le titulaire réalise une action en faveur d'un ou plusieurs jeunes en situation de décrochage scolaire</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_Toc193296212 \h </w:instrText>
        </w:r>
        <w:r w:rsidR="00FF0F13" w:rsidRPr="00A74C83">
          <w:rPr>
            <w:noProof/>
            <w:webHidden/>
          </w:rPr>
        </w:r>
        <w:r w:rsidR="00FF0F13" w:rsidRPr="00A74C83">
          <w:rPr>
            <w:noProof/>
            <w:webHidden/>
          </w:rPr>
          <w:fldChar w:fldCharType="separate"/>
        </w:r>
        <w:r w:rsidR="00FF0F13" w:rsidRPr="00A74C83">
          <w:rPr>
            <w:noProof/>
            <w:webHidden/>
          </w:rPr>
          <w:t>6</w:t>
        </w:r>
        <w:r w:rsidR="00FF0F13" w:rsidRPr="00A74C83">
          <w:rPr>
            <w:noProof/>
            <w:webHidden/>
          </w:rPr>
          <w:fldChar w:fldCharType="end"/>
        </w:r>
      </w:hyperlink>
    </w:p>
    <w:p w14:paraId="4AEBE7C0" w14:textId="6377A55F" w:rsidR="00FF0F13" w:rsidRPr="00A74C83" w:rsidRDefault="0075276F">
      <w:pPr>
        <w:pStyle w:val="TM2"/>
        <w:rPr>
          <w:rFonts w:asciiTheme="minorHAnsi" w:eastAsiaTheme="minorEastAsia" w:hAnsiTheme="minorHAnsi" w:cstheme="minorBidi"/>
          <w:i w:val="0"/>
          <w:iCs w:val="0"/>
          <w:noProof/>
          <w:color w:val="auto"/>
          <w:sz w:val="22"/>
          <w:szCs w:val="22"/>
        </w:rPr>
      </w:pPr>
      <w:hyperlink w:anchor="_Toc193296213" w:history="1">
        <w:r w:rsidR="00FF0F13" w:rsidRPr="00A74C83">
          <w:rPr>
            <w:rStyle w:val="Lienhypertexte"/>
            <w:noProof/>
          </w:rPr>
          <w:t>Article 10.2 : Exécution de la clause sociale pendant la durée du marché et à l’issue du parcours</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_Toc193296213 \h </w:instrText>
        </w:r>
        <w:r w:rsidR="00FF0F13" w:rsidRPr="00A74C83">
          <w:rPr>
            <w:noProof/>
            <w:webHidden/>
          </w:rPr>
        </w:r>
        <w:r w:rsidR="00FF0F13" w:rsidRPr="00A74C83">
          <w:rPr>
            <w:noProof/>
            <w:webHidden/>
          </w:rPr>
          <w:fldChar w:fldCharType="separate"/>
        </w:r>
        <w:r w:rsidR="00FF0F13" w:rsidRPr="00A74C83">
          <w:rPr>
            <w:noProof/>
            <w:webHidden/>
          </w:rPr>
          <w:t>6</w:t>
        </w:r>
        <w:r w:rsidR="00FF0F13" w:rsidRPr="00A74C83">
          <w:rPr>
            <w:noProof/>
            <w:webHidden/>
          </w:rPr>
          <w:fldChar w:fldCharType="end"/>
        </w:r>
      </w:hyperlink>
    </w:p>
    <w:p w14:paraId="5726814C" w14:textId="5352089F" w:rsidR="00FF0F13" w:rsidRPr="00A74C83" w:rsidRDefault="0075276F">
      <w:pPr>
        <w:pStyle w:val="TM2"/>
        <w:rPr>
          <w:rFonts w:asciiTheme="minorHAnsi" w:eastAsiaTheme="minorEastAsia" w:hAnsiTheme="minorHAnsi" w:cstheme="minorBidi"/>
          <w:i w:val="0"/>
          <w:iCs w:val="0"/>
          <w:noProof/>
          <w:color w:val="auto"/>
          <w:sz w:val="22"/>
          <w:szCs w:val="22"/>
        </w:rPr>
      </w:pPr>
      <w:hyperlink w:anchor="_Toc193296214" w:history="1">
        <w:r w:rsidR="00FF0F13" w:rsidRPr="00A74C83">
          <w:rPr>
            <w:rStyle w:val="Lienhypertexte"/>
            <w:noProof/>
          </w:rPr>
          <w:t>Article 10.3 : Contrôle et évaluation de l’action de formation</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_Toc193296214 \h </w:instrText>
        </w:r>
        <w:r w:rsidR="00FF0F13" w:rsidRPr="00A74C83">
          <w:rPr>
            <w:noProof/>
            <w:webHidden/>
          </w:rPr>
        </w:r>
        <w:r w:rsidR="00FF0F13" w:rsidRPr="00A74C83">
          <w:rPr>
            <w:noProof/>
            <w:webHidden/>
          </w:rPr>
          <w:fldChar w:fldCharType="separate"/>
        </w:r>
        <w:r w:rsidR="00FF0F13" w:rsidRPr="00A74C83">
          <w:rPr>
            <w:noProof/>
            <w:webHidden/>
          </w:rPr>
          <w:t>7</w:t>
        </w:r>
        <w:r w:rsidR="00FF0F13" w:rsidRPr="00A74C83">
          <w:rPr>
            <w:noProof/>
            <w:webHidden/>
          </w:rPr>
          <w:fldChar w:fldCharType="end"/>
        </w:r>
      </w:hyperlink>
    </w:p>
    <w:p w14:paraId="7B3B248F" w14:textId="0D4A63EF" w:rsidR="00FF0F13" w:rsidRPr="00A74C83" w:rsidRDefault="0075276F">
      <w:pPr>
        <w:pStyle w:val="TM1"/>
        <w:tabs>
          <w:tab w:val="right" w:leader="dot" w:pos="9174"/>
        </w:tabs>
        <w:rPr>
          <w:rFonts w:asciiTheme="minorHAnsi" w:eastAsiaTheme="minorEastAsia" w:hAnsiTheme="minorHAnsi" w:cstheme="minorBidi"/>
          <w:b w:val="0"/>
          <w:bCs w:val="0"/>
          <w:noProof/>
          <w:color w:val="auto"/>
          <w:sz w:val="22"/>
          <w:szCs w:val="22"/>
        </w:rPr>
      </w:pPr>
      <w:hyperlink w:anchor="_Toc193296215" w:history="1">
        <w:r w:rsidR="00FF0F13" w:rsidRPr="00A74C83">
          <w:rPr>
            <w:rStyle w:val="Lienhypertexte"/>
            <w:noProof/>
          </w:rPr>
          <w:t>Article 11 : Dispositions en cas de sous-traitance déclarée en cours d’exécution du marché</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_Toc193296215 \h </w:instrText>
        </w:r>
        <w:r w:rsidR="00FF0F13" w:rsidRPr="00A74C83">
          <w:rPr>
            <w:noProof/>
            <w:webHidden/>
          </w:rPr>
        </w:r>
        <w:r w:rsidR="00FF0F13" w:rsidRPr="00A74C83">
          <w:rPr>
            <w:noProof/>
            <w:webHidden/>
          </w:rPr>
          <w:fldChar w:fldCharType="separate"/>
        </w:r>
        <w:r w:rsidR="00FF0F13" w:rsidRPr="00A74C83">
          <w:rPr>
            <w:noProof/>
            <w:webHidden/>
          </w:rPr>
          <w:t>7</w:t>
        </w:r>
        <w:r w:rsidR="00FF0F13" w:rsidRPr="00A74C83">
          <w:rPr>
            <w:noProof/>
            <w:webHidden/>
          </w:rPr>
          <w:fldChar w:fldCharType="end"/>
        </w:r>
      </w:hyperlink>
    </w:p>
    <w:p w14:paraId="26F68DFE" w14:textId="1F817597" w:rsidR="00FF0F13" w:rsidRPr="00A74C83" w:rsidRDefault="0075276F">
      <w:pPr>
        <w:pStyle w:val="TM1"/>
        <w:tabs>
          <w:tab w:val="right" w:leader="dot" w:pos="9174"/>
        </w:tabs>
        <w:rPr>
          <w:rFonts w:asciiTheme="minorHAnsi" w:eastAsiaTheme="minorEastAsia" w:hAnsiTheme="minorHAnsi" w:cstheme="minorBidi"/>
          <w:b w:val="0"/>
          <w:bCs w:val="0"/>
          <w:noProof/>
          <w:color w:val="auto"/>
          <w:sz w:val="22"/>
          <w:szCs w:val="22"/>
        </w:rPr>
      </w:pPr>
      <w:hyperlink w:anchor="_Toc193296216" w:history="1">
        <w:r w:rsidR="00FF0F13" w:rsidRPr="00A74C83">
          <w:rPr>
            <w:rStyle w:val="Lienhypertexte"/>
            <w:noProof/>
          </w:rPr>
          <w:t>Article 12 : Prix</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_Toc193296216 \h </w:instrText>
        </w:r>
        <w:r w:rsidR="00FF0F13" w:rsidRPr="00A74C83">
          <w:rPr>
            <w:noProof/>
            <w:webHidden/>
          </w:rPr>
        </w:r>
        <w:r w:rsidR="00FF0F13" w:rsidRPr="00A74C83">
          <w:rPr>
            <w:noProof/>
            <w:webHidden/>
          </w:rPr>
          <w:fldChar w:fldCharType="separate"/>
        </w:r>
        <w:r w:rsidR="00FF0F13" w:rsidRPr="00A74C83">
          <w:rPr>
            <w:noProof/>
            <w:webHidden/>
          </w:rPr>
          <w:t>7</w:t>
        </w:r>
        <w:r w:rsidR="00FF0F13" w:rsidRPr="00A74C83">
          <w:rPr>
            <w:noProof/>
            <w:webHidden/>
          </w:rPr>
          <w:fldChar w:fldCharType="end"/>
        </w:r>
      </w:hyperlink>
    </w:p>
    <w:p w14:paraId="5BB20F7B" w14:textId="67306789" w:rsidR="00FF0F13" w:rsidRPr="00A74C83" w:rsidRDefault="0075276F">
      <w:pPr>
        <w:pStyle w:val="TM2"/>
        <w:rPr>
          <w:rFonts w:asciiTheme="minorHAnsi" w:eastAsiaTheme="minorEastAsia" w:hAnsiTheme="minorHAnsi" w:cstheme="minorBidi"/>
          <w:i w:val="0"/>
          <w:iCs w:val="0"/>
          <w:noProof/>
          <w:color w:val="auto"/>
          <w:sz w:val="22"/>
          <w:szCs w:val="22"/>
        </w:rPr>
      </w:pPr>
      <w:hyperlink w:anchor="_Toc193296217" w:history="1">
        <w:r w:rsidR="00FF0F13" w:rsidRPr="00A74C83">
          <w:rPr>
            <w:rStyle w:val="Lienhypertexte"/>
            <w:noProof/>
          </w:rPr>
          <w:t>Article 12.1 : Prix du marché</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_Toc193296217 \h </w:instrText>
        </w:r>
        <w:r w:rsidR="00FF0F13" w:rsidRPr="00A74C83">
          <w:rPr>
            <w:noProof/>
            <w:webHidden/>
          </w:rPr>
        </w:r>
        <w:r w:rsidR="00FF0F13" w:rsidRPr="00A74C83">
          <w:rPr>
            <w:noProof/>
            <w:webHidden/>
          </w:rPr>
          <w:fldChar w:fldCharType="separate"/>
        </w:r>
        <w:r w:rsidR="00FF0F13" w:rsidRPr="00A74C83">
          <w:rPr>
            <w:noProof/>
            <w:webHidden/>
          </w:rPr>
          <w:t>7</w:t>
        </w:r>
        <w:r w:rsidR="00FF0F13" w:rsidRPr="00A74C83">
          <w:rPr>
            <w:noProof/>
            <w:webHidden/>
          </w:rPr>
          <w:fldChar w:fldCharType="end"/>
        </w:r>
      </w:hyperlink>
    </w:p>
    <w:p w14:paraId="5908C317" w14:textId="400CFEE3" w:rsidR="00FF0F13" w:rsidRPr="00A74C83" w:rsidRDefault="0075276F">
      <w:pPr>
        <w:pStyle w:val="TM2"/>
        <w:rPr>
          <w:rFonts w:asciiTheme="minorHAnsi" w:eastAsiaTheme="minorEastAsia" w:hAnsiTheme="minorHAnsi" w:cstheme="minorBidi"/>
          <w:i w:val="0"/>
          <w:iCs w:val="0"/>
          <w:noProof/>
          <w:color w:val="auto"/>
          <w:sz w:val="22"/>
          <w:szCs w:val="22"/>
        </w:rPr>
      </w:pPr>
      <w:hyperlink w:anchor="_Toc193296218" w:history="1">
        <w:r w:rsidR="00FF0F13" w:rsidRPr="00A74C83">
          <w:rPr>
            <w:rStyle w:val="Lienhypertexte"/>
            <w:noProof/>
          </w:rPr>
          <w:t>Article 12.2 : Mise à jour du bordereau et révision des prix</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_Toc193296218 \h </w:instrText>
        </w:r>
        <w:r w:rsidR="00FF0F13" w:rsidRPr="00A74C83">
          <w:rPr>
            <w:noProof/>
            <w:webHidden/>
          </w:rPr>
        </w:r>
        <w:r w:rsidR="00FF0F13" w:rsidRPr="00A74C83">
          <w:rPr>
            <w:noProof/>
            <w:webHidden/>
          </w:rPr>
          <w:fldChar w:fldCharType="separate"/>
        </w:r>
        <w:r w:rsidR="00FF0F13" w:rsidRPr="00A74C83">
          <w:rPr>
            <w:noProof/>
            <w:webHidden/>
          </w:rPr>
          <w:t>8</w:t>
        </w:r>
        <w:r w:rsidR="00FF0F13" w:rsidRPr="00A74C83">
          <w:rPr>
            <w:noProof/>
            <w:webHidden/>
          </w:rPr>
          <w:fldChar w:fldCharType="end"/>
        </w:r>
      </w:hyperlink>
    </w:p>
    <w:p w14:paraId="4031284A" w14:textId="127A3AF7" w:rsidR="00FF0F13" w:rsidRPr="00A74C83" w:rsidRDefault="0075276F">
      <w:pPr>
        <w:pStyle w:val="TM1"/>
        <w:tabs>
          <w:tab w:val="right" w:leader="dot" w:pos="9174"/>
        </w:tabs>
        <w:rPr>
          <w:rFonts w:asciiTheme="minorHAnsi" w:eastAsiaTheme="minorEastAsia" w:hAnsiTheme="minorHAnsi" w:cstheme="minorBidi"/>
          <w:b w:val="0"/>
          <w:bCs w:val="0"/>
          <w:noProof/>
          <w:color w:val="auto"/>
          <w:sz w:val="22"/>
          <w:szCs w:val="22"/>
        </w:rPr>
      </w:pPr>
      <w:hyperlink w:anchor="_Toc193296219" w:history="1">
        <w:r w:rsidR="00FF0F13" w:rsidRPr="00A74C83">
          <w:rPr>
            <w:rStyle w:val="Lienhypertexte"/>
            <w:noProof/>
          </w:rPr>
          <w:t>Article 15 : Bons de commande</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_Toc193296219 \h </w:instrText>
        </w:r>
        <w:r w:rsidR="00FF0F13" w:rsidRPr="00A74C83">
          <w:rPr>
            <w:noProof/>
            <w:webHidden/>
          </w:rPr>
        </w:r>
        <w:r w:rsidR="00FF0F13" w:rsidRPr="00A74C83">
          <w:rPr>
            <w:noProof/>
            <w:webHidden/>
          </w:rPr>
          <w:fldChar w:fldCharType="separate"/>
        </w:r>
        <w:r w:rsidR="00FF0F13" w:rsidRPr="00A74C83">
          <w:rPr>
            <w:noProof/>
            <w:webHidden/>
          </w:rPr>
          <w:t>8</w:t>
        </w:r>
        <w:r w:rsidR="00FF0F13" w:rsidRPr="00A74C83">
          <w:rPr>
            <w:noProof/>
            <w:webHidden/>
          </w:rPr>
          <w:fldChar w:fldCharType="end"/>
        </w:r>
      </w:hyperlink>
    </w:p>
    <w:p w14:paraId="38E37E0B" w14:textId="4BE2EB25" w:rsidR="00FF0F13" w:rsidRPr="00A74C83" w:rsidRDefault="0075276F">
      <w:pPr>
        <w:pStyle w:val="TM1"/>
        <w:tabs>
          <w:tab w:val="right" w:leader="dot" w:pos="9174"/>
        </w:tabs>
        <w:rPr>
          <w:rFonts w:asciiTheme="minorHAnsi" w:eastAsiaTheme="minorEastAsia" w:hAnsiTheme="minorHAnsi" w:cstheme="minorBidi"/>
          <w:b w:val="0"/>
          <w:bCs w:val="0"/>
          <w:noProof/>
          <w:color w:val="auto"/>
          <w:sz w:val="22"/>
          <w:szCs w:val="22"/>
        </w:rPr>
      </w:pPr>
      <w:hyperlink w:anchor="_Toc193296220" w:history="1">
        <w:r w:rsidR="00FF0F13" w:rsidRPr="00A74C83">
          <w:rPr>
            <w:rStyle w:val="Lienhypertexte"/>
            <w:noProof/>
          </w:rPr>
          <w:t>Article 16 : Vérification et validation des prestations</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_Toc193296220 \h </w:instrText>
        </w:r>
        <w:r w:rsidR="00FF0F13" w:rsidRPr="00A74C83">
          <w:rPr>
            <w:noProof/>
            <w:webHidden/>
          </w:rPr>
        </w:r>
        <w:r w:rsidR="00FF0F13" w:rsidRPr="00A74C83">
          <w:rPr>
            <w:noProof/>
            <w:webHidden/>
          </w:rPr>
          <w:fldChar w:fldCharType="separate"/>
        </w:r>
        <w:r w:rsidR="00FF0F13" w:rsidRPr="00A74C83">
          <w:rPr>
            <w:noProof/>
            <w:webHidden/>
          </w:rPr>
          <w:t>8</w:t>
        </w:r>
        <w:r w:rsidR="00FF0F13" w:rsidRPr="00A74C83">
          <w:rPr>
            <w:noProof/>
            <w:webHidden/>
          </w:rPr>
          <w:fldChar w:fldCharType="end"/>
        </w:r>
      </w:hyperlink>
    </w:p>
    <w:p w14:paraId="0A6739B3" w14:textId="1EE9D67F" w:rsidR="00FF0F13" w:rsidRPr="00A74C83" w:rsidRDefault="0075276F">
      <w:pPr>
        <w:pStyle w:val="TM2"/>
        <w:rPr>
          <w:rFonts w:asciiTheme="minorHAnsi" w:eastAsiaTheme="minorEastAsia" w:hAnsiTheme="minorHAnsi" w:cstheme="minorBidi"/>
          <w:i w:val="0"/>
          <w:iCs w:val="0"/>
          <w:noProof/>
          <w:color w:val="auto"/>
          <w:sz w:val="22"/>
          <w:szCs w:val="22"/>
        </w:rPr>
      </w:pPr>
      <w:hyperlink w:anchor="_Toc193296221" w:history="1">
        <w:r w:rsidR="00FF0F13" w:rsidRPr="00A74C83">
          <w:rPr>
            <w:rStyle w:val="Lienhypertexte"/>
            <w:noProof/>
          </w:rPr>
          <w:t>Article 16.1 : Validation et acceptation des livrables</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_Toc193296221 \h </w:instrText>
        </w:r>
        <w:r w:rsidR="00FF0F13" w:rsidRPr="00A74C83">
          <w:rPr>
            <w:noProof/>
            <w:webHidden/>
          </w:rPr>
        </w:r>
        <w:r w:rsidR="00FF0F13" w:rsidRPr="00A74C83">
          <w:rPr>
            <w:noProof/>
            <w:webHidden/>
          </w:rPr>
          <w:fldChar w:fldCharType="separate"/>
        </w:r>
        <w:r w:rsidR="00FF0F13" w:rsidRPr="00A74C83">
          <w:rPr>
            <w:noProof/>
            <w:webHidden/>
          </w:rPr>
          <w:t>9</w:t>
        </w:r>
        <w:r w:rsidR="00FF0F13" w:rsidRPr="00A74C83">
          <w:rPr>
            <w:noProof/>
            <w:webHidden/>
          </w:rPr>
          <w:fldChar w:fldCharType="end"/>
        </w:r>
      </w:hyperlink>
    </w:p>
    <w:p w14:paraId="351D495E" w14:textId="1CA900EF" w:rsidR="00FF0F13" w:rsidRPr="00A74C83" w:rsidRDefault="0075276F">
      <w:pPr>
        <w:pStyle w:val="TM1"/>
        <w:tabs>
          <w:tab w:val="right" w:leader="dot" w:pos="9174"/>
        </w:tabs>
        <w:rPr>
          <w:rFonts w:asciiTheme="minorHAnsi" w:eastAsiaTheme="minorEastAsia" w:hAnsiTheme="minorHAnsi" w:cstheme="minorBidi"/>
          <w:b w:val="0"/>
          <w:bCs w:val="0"/>
          <w:noProof/>
          <w:color w:val="auto"/>
          <w:sz w:val="22"/>
          <w:szCs w:val="22"/>
        </w:rPr>
      </w:pPr>
      <w:hyperlink w:anchor="_Toc193296222" w:history="1">
        <w:r w:rsidR="00FF0F13" w:rsidRPr="00A74C83">
          <w:rPr>
            <w:rStyle w:val="Lienhypertexte"/>
            <w:noProof/>
          </w:rPr>
          <w:t>Article 17 : Modalités de facturation et de paiement</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_Toc193296222 \h </w:instrText>
        </w:r>
        <w:r w:rsidR="00FF0F13" w:rsidRPr="00A74C83">
          <w:rPr>
            <w:noProof/>
            <w:webHidden/>
          </w:rPr>
        </w:r>
        <w:r w:rsidR="00FF0F13" w:rsidRPr="00A74C83">
          <w:rPr>
            <w:noProof/>
            <w:webHidden/>
          </w:rPr>
          <w:fldChar w:fldCharType="separate"/>
        </w:r>
        <w:r w:rsidR="00FF0F13" w:rsidRPr="00A74C83">
          <w:rPr>
            <w:noProof/>
            <w:webHidden/>
          </w:rPr>
          <w:t>9</w:t>
        </w:r>
        <w:r w:rsidR="00FF0F13" w:rsidRPr="00A74C83">
          <w:rPr>
            <w:noProof/>
            <w:webHidden/>
          </w:rPr>
          <w:fldChar w:fldCharType="end"/>
        </w:r>
      </w:hyperlink>
    </w:p>
    <w:p w14:paraId="3F945D9C" w14:textId="32B0EC25" w:rsidR="00FF0F13" w:rsidRPr="00A74C83" w:rsidRDefault="0075276F">
      <w:pPr>
        <w:pStyle w:val="TM2"/>
        <w:rPr>
          <w:rFonts w:asciiTheme="minorHAnsi" w:eastAsiaTheme="minorEastAsia" w:hAnsiTheme="minorHAnsi" w:cstheme="minorBidi"/>
          <w:i w:val="0"/>
          <w:iCs w:val="0"/>
          <w:noProof/>
          <w:color w:val="auto"/>
          <w:sz w:val="22"/>
          <w:szCs w:val="22"/>
        </w:rPr>
      </w:pPr>
      <w:hyperlink w:anchor="_Toc193296223" w:history="1">
        <w:r w:rsidR="00FF0F13" w:rsidRPr="00A74C83">
          <w:rPr>
            <w:rStyle w:val="Lienhypertexte"/>
            <w:noProof/>
          </w:rPr>
          <w:t>Article 17.1 : Présentation des factures</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_Toc193296223 \h </w:instrText>
        </w:r>
        <w:r w:rsidR="00FF0F13" w:rsidRPr="00A74C83">
          <w:rPr>
            <w:noProof/>
            <w:webHidden/>
          </w:rPr>
        </w:r>
        <w:r w:rsidR="00FF0F13" w:rsidRPr="00A74C83">
          <w:rPr>
            <w:noProof/>
            <w:webHidden/>
          </w:rPr>
          <w:fldChar w:fldCharType="separate"/>
        </w:r>
        <w:r w:rsidR="00FF0F13" w:rsidRPr="00A74C83">
          <w:rPr>
            <w:noProof/>
            <w:webHidden/>
          </w:rPr>
          <w:t>9</w:t>
        </w:r>
        <w:r w:rsidR="00FF0F13" w:rsidRPr="00A74C83">
          <w:rPr>
            <w:noProof/>
            <w:webHidden/>
          </w:rPr>
          <w:fldChar w:fldCharType="end"/>
        </w:r>
      </w:hyperlink>
    </w:p>
    <w:p w14:paraId="39D807EF" w14:textId="7891EBA1" w:rsidR="00FF0F13" w:rsidRPr="00A74C83" w:rsidRDefault="0075276F">
      <w:pPr>
        <w:pStyle w:val="TM2"/>
        <w:rPr>
          <w:rFonts w:asciiTheme="minorHAnsi" w:eastAsiaTheme="minorEastAsia" w:hAnsiTheme="minorHAnsi" w:cstheme="minorBidi"/>
          <w:i w:val="0"/>
          <w:iCs w:val="0"/>
          <w:noProof/>
          <w:color w:val="auto"/>
          <w:sz w:val="22"/>
          <w:szCs w:val="22"/>
        </w:rPr>
      </w:pPr>
      <w:hyperlink w:anchor="_Toc193296224" w:history="1">
        <w:r w:rsidR="00FF0F13" w:rsidRPr="00A74C83">
          <w:rPr>
            <w:rStyle w:val="Lienhypertexte"/>
            <w:noProof/>
          </w:rPr>
          <w:t>Article 17.2 : Envoi des factures, ordonnateur et comptable assignataires</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_Toc193296224 \h </w:instrText>
        </w:r>
        <w:r w:rsidR="00FF0F13" w:rsidRPr="00A74C83">
          <w:rPr>
            <w:noProof/>
            <w:webHidden/>
          </w:rPr>
        </w:r>
        <w:r w:rsidR="00FF0F13" w:rsidRPr="00A74C83">
          <w:rPr>
            <w:noProof/>
            <w:webHidden/>
          </w:rPr>
          <w:fldChar w:fldCharType="separate"/>
        </w:r>
        <w:r w:rsidR="00FF0F13" w:rsidRPr="00A74C83">
          <w:rPr>
            <w:noProof/>
            <w:webHidden/>
          </w:rPr>
          <w:t>12</w:t>
        </w:r>
        <w:r w:rsidR="00FF0F13" w:rsidRPr="00A74C83">
          <w:rPr>
            <w:noProof/>
            <w:webHidden/>
          </w:rPr>
          <w:fldChar w:fldCharType="end"/>
        </w:r>
      </w:hyperlink>
    </w:p>
    <w:p w14:paraId="2FB522A2" w14:textId="26A899F6" w:rsidR="00FF0F13" w:rsidRPr="00A74C83" w:rsidRDefault="0075276F">
      <w:pPr>
        <w:pStyle w:val="TM2"/>
        <w:rPr>
          <w:rFonts w:asciiTheme="minorHAnsi" w:eastAsiaTheme="minorEastAsia" w:hAnsiTheme="minorHAnsi" w:cstheme="minorBidi"/>
          <w:i w:val="0"/>
          <w:iCs w:val="0"/>
          <w:noProof/>
          <w:color w:val="auto"/>
          <w:sz w:val="22"/>
          <w:szCs w:val="22"/>
        </w:rPr>
      </w:pPr>
      <w:hyperlink w:anchor="_Toc193296225" w:history="1">
        <w:r w:rsidR="00FF0F13" w:rsidRPr="00A74C83">
          <w:rPr>
            <w:rStyle w:val="Lienhypertexte"/>
            <w:noProof/>
          </w:rPr>
          <w:t>Article 17.3 : Conditions de paiement</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_Toc193296225 \h </w:instrText>
        </w:r>
        <w:r w:rsidR="00FF0F13" w:rsidRPr="00A74C83">
          <w:rPr>
            <w:noProof/>
            <w:webHidden/>
          </w:rPr>
        </w:r>
        <w:r w:rsidR="00FF0F13" w:rsidRPr="00A74C83">
          <w:rPr>
            <w:noProof/>
            <w:webHidden/>
          </w:rPr>
          <w:fldChar w:fldCharType="separate"/>
        </w:r>
        <w:r w:rsidR="00FF0F13" w:rsidRPr="00A74C83">
          <w:rPr>
            <w:noProof/>
            <w:webHidden/>
          </w:rPr>
          <w:t>12</w:t>
        </w:r>
        <w:r w:rsidR="00FF0F13" w:rsidRPr="00A74C83">
          <w:rPr>
            <w:noProof/>
            <w:webHidden/>
          </w:rPr>
          <w:fldChar w:fldCharType="end"/>
        </w:r>
      </w:hyperlink>
    </w:p>
    <w:p w14:paraId="52FE6D47" w14:textId="0BC3EC2D" w:rsidR="00FF0F13" w:rsidRPr="00A74C83" w:rsidRDefault="0075276F">
      <w:pPr>
        <w:pStyle w:val="TM2"/>
        <w:rPr>
          <w:rFonts w:asciiTheme="minorHAnsi" w:eastAsiaTheme="minorEastAsia" w:hAnsiTheme="minorHAnsi" w:cstheme="minorBidi"/>
          <w:i w:val="0"/>
          <w:iCs w:val="0"/>
          <w:noProof/>
          <w:color w:val="auto"/>
          <w:sz w:val="22"/>
          <w:szCs w:val="22"/>
        </w:rPr>
      </w:pPr>
      <w:hyperlink w:anchor="_Toc193296226" w:history="1">
        <w:r w:rsidR="00FF0F13" w:rsidRPr="00A74C83">
          <w:rPr>
            <w:rStyle w:val="Lienhypertexte"/>
            <w:noProof/>
          </w:rPr>
          <w:t>Article 17.4 : Echéancier des paiements</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_Toc193296226 \h </w:instrText>
        </w:r>
        <w:r w:rsidR="00FF0F13" w:rsidRPr="00A74C83">
          <w:rPr>
            <w:noProof/>
            <w:webHidden/>
          </w:rPr>
        </w:r>
        <w:r w:rsidR="00FF0F13" w:rsidRPr="00A74C83">
          <w:rPr>
            <w:noProof/>
            <w:webHidden/>
          </w:rPr>
          <w:fldChar w:fldCharType="separate"/>
        </w:r>
        <w:r w:rsidR="00FF0F13" w:rsidRPr="00A74C83">
          <w:rPr>
            <w:noProof/>
            <w:webHidden/>
          </w:rPr>
          <w:t>12</w:t>
        </w:r>
        <w:r w:rsidR="00FF0F13" w:rsidRPr="00A74C83">
          <w:rPr>
            <w:noProof/>
            <w:webHidden/>
          </w:rPr>
          <w:fldChar w:fldCharType="end"/>
        </w:r>
      </w:hyperlink>
    </w:p>
    <w:p w14:paraId="05B32120" w14:textId="7104956D" w:rsidR="00FF0F13" w:rsidRPr="00A74C83" w:rsidRDefault="0075276F">
      <w:pPr>
        <w:pStyle w:val="TM2"/>
        <w:rPr>
          <w:rFonts w:asciiTheme="minorHAnsi" w:eastAsiaTheme="minorEastAsia" w:hAnsiTheme="minorHAnsi" w:cstheme="minorBidi"/>
          <w:i w:val="0"/>
          <w:iCs w:val="0"/>
          <w:noProof/>
          <w:color w:val="auto"/>
          <w:sz w:val="22"/>
          <w:szCs w:val="22"/>
        </w:rPr>
      </w:pPr>
      <w:hyperlink w:anchor="_Toc193296227" w:history="1">
        <w:r w:rsidR="00FF0F13" w:rsidRPr="00A74C83">
          <w:rPr>
            <w:rStyle w:val="Lienhypertexte"/>
            <w:noProof/>
          </w:rPr>
          <w:t>Article 17.5 : Paiement des sous-traitants et des cotraitants</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_Toc193296227 \h </w:instrText>
        </w:r>
        <w:r w:rsidR="00FF0F13" w:rsidRPr="00A74C83">
          <w:rPr>
            <w:noProof/>
            <w:webHidden/>
          </w:rPr>
        </w:r>
        <w:r w:rsidR="00FF0F13" w:rsidRPr="00A74C83">
          <w:rPr>
            <w:noProof/>
            <w:webHidden/>
          </w:rPr>
          <w:fldChar w:fldCharType="separate"/>
        </w:r>
        <w:r w:rsidR="00FF0F13" w:rsidRPr="00A74C83">
          <w:rPr>
            <w:noProof/>
            <w:webHidden/>
          </w:rPr>
          <w:t>12</w:t>
        </w:r>
        <w:r w:rsidR="00FF0F13" w:rsidRPr="00A74C83">
          <w:rPr>
            <w:noProof/>
            <w:webHidden/>
          </w:rPr>
          <w:fldChar w:fldCharType="end"/>
        </w:r>
      </w:hyperlink>
    </w:p>
    <w:p w14:paraId="440A846B" w14:textId="1F81608D" w:rsidR="00FF0F13" w:rsidRPr="00A74C83" w:rsidRDefault="0075276F">
      <w:pPr>
        <w:pStyle w:val="TM3"/>
        <w:rPr>
          <w:rFonts w:asciiTheme="minorHAnsi" w:eastAsiaTheme="minorEastAsia" w:hAnsiTheme="minorHAnsi" w:cstheme="minorBidi"/>
          <w:noProof/>
          <w:color w:val="auto"/>
          <w:sz w:val="22"/>
          <w:szCs w:val="22"/>
        </w:rPr>
      </w:pPr>
      <w:hyperlink w:anchor="_Toc193296228" w:history="1">
        <w:r w:rsidR="00FF0F13" w:rsidRPr="00A74C83">
          <w:rPr>
            <w:rStyle w:val="Lienhypertexte"/>
            <w:noProof/>
          </w:rPr>
          <w:t>Article 17.5.1 : Paiement des sous-traitants</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_Toc193296228 \h </w:instrText>
        </w:r>
        <w:r w:rsidR="00FF0F13" w:rsidRPr="00A74C83">
          <w:rPr>
            <w:noProof/>
            <w:webHidden/>
          </w:rPr>
        </w:r>
        <w:r w:rsidR="00FF0F13" w:rsidRPr="00A74C83">
          <w:rPr>
            <w:noProof/>
            <w:webHidden/>
          </w:rPr>
          <w:fldChar w:fldCharType="separate"/>
        </w:r>
        <w:r w:rsidR="00FF0F13" w:rsidRPr="00A74C83">
          <w:rPr>
            <w:noProof/>
            <w:webHidden/>
          </w:rPr>
          <w:t>12</w:t>
        </w:r>
        <w:r w:rsidR="00FF0F13" w:rsidRPr="00A74C83">
          <w:rPr>
            <w:noProof/>
            <w:webHidden/>
          </w:rPr>
          <w:fldChar w:fldCharType="end"/>
        </w:r>
      </w:hyperlink>
    </w:p>
    <w:p w14:paraId="6286D4C3" w14:textId="5487B5AF" w:rsidR="00FF0F13" w:rsidRPr="00A74C83" w:rsidRDefault="0075276F">
      <w:pPr>
        <w:pStyle w:val="TM3"/>
        <w:rPr>
          <w:rFonts w:asciiTheme="minorHAnsi" w:eastAsiaTheme="minorEastAsia" w:hAnsiTheme="minorHAnsi" w:cstheme="minorBidi"/>
          <w:noProof/>
          <w:color w:val="auto"/>
          <w:sz w:val="22"/>
          <w:szCs w:val="22"/>
        </w:rPr>
      </w:pPr>
      <w:hyperlink w:anchor="_Toc193296229" w:history="1">
        <w:r w:rsidR="00FF0F13" w:rsidRPr="00A74C83">
          <w:rPr>
            <w:rStyle w:val="Lienhypertexte"/>
            <w:noProof/>
          </w:rPr>
          <w:t>Article 17.5.2 : Paiement des cotraitants</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_Toc193296229 \h </w:instrText>
        </w:r>
        <w:r w:rsidR="00FF0F13" w:rsidRPr="00A74C83">
          <w:rPr>
            <w:noProof/>
            <w:webHidden/>
          </w:rPr>
        </w:r>
        <w:r w:rsidR="00FF0F13" w:rsidRPr="00A74C83">
          <w:rPr>
            <w:noProof/>
            <w:webHidden/>
          </w:rPr>
          <w:fldChar w:fldCharType="separate"/>
        </w:r>
        <w:r w:rsidR="00FF0F13" w:rsidRPr="00A74C83">
          <w:rPr>
            <w:noProof/>
            <w:webHidden/>
          </w:rPr>
          <w:t>12</w:t>
        </w:r>
        <w:r w:rsidR="00FF0F13" w:rsidRPr="00A74C83">
          <w:rPr>
            <w:noProof/>
            <w:webHidden/>
          </w:rPr>
          <w:fldChar w:fldCharType="end"/>
        </w:r>
      </w:hyperlink>
    </w:p>
    <w:p w14:paraId="699D1926" w14:textId="520F8550" w:rsidR="00FF0F13" w:rsidRPr="00A74C83" w:rsidRDefault="0075276F">
      <w:pPr>
        <w:pStyle w:val="TM1"/>
        <w:tabs>
          <w:tab w:val="right" w:leader="dot" w:pos="9174"/>
        </w:tabs>
        <w:rPr>
          <w:rFonts w:asciiTheme="minorHAnsi" w:eastAsiaTheme="minorEastAsia" w:hAnsiTheme="minorHAnsi" w:cstheme="minorBidi"/>
          <w:b w:val="0"/>
          <w:bCs w:val="0"/>
          <w:noProof/>
          <w:color w:val="auto"/>
          <w:sz w:val="22"/>
          <w:szCs w:val="22"/>
        </w:rPr>
      </w:pPr>
      <w:hyperlink w:anchor="_Toc193296230" w:history="1">
        <w:r w:rsidR="00FF0F13" w:rsidRPr="00A74C83">
          <w:rPr>
            <w:rStyle w:val="Lienhypertexte"/>
            <w:noProof/>
          </w:rPr>
          <w:t>Article 18 : Avance</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_Toc193296230 \h </w:instrText>
        </w:r>
        <w:r w:rsidR="00FF0F13" w:rsidRPr="00A74C83">
          <w:rPr>
            <w:noProof/>
            <w:webHidden/>
          </w:rPr>
        </w:r>
        <w:r w:rsidR="00FF0F13" w:rsidRPr="00A74C83">
          <w:rPr>
            <w:noProof/>
            <w:webHidden/>
          </w:rPr>
          <w:fldChar w:fldCharType="separate"/>
        </w:r>
        <w:r w:rsidR="00FF0F13" w:rsidRPr="00A74C83">
          <w:rPr>
            <w:noProof/>
            <w:webHidden/>
          </w:rPr>
          <w:t>13</w:t>
        </w:r>
        <w:r w:rsidR="00FF0F13" w:rsidRPr="00A74C83">
          <w:rPr>
            <w:noProof/>
            <w:webHidden/>
          </w:rPr>
          <w:fldChar w:fldCharType="end"/>
        </w:r>
      </w:hyperlink>
    </w:p>
    <w:p w14:paraId="4ADABE9D" w14:textId="20A2A6EB" w:rsidR="00FF0F13" w:rsidRPr="00A74C83" w:rsidRDefault="0075276F">
      <w:pPr>
        <w:pStyle w:val="TM1"/>
        <w:tabs>
          <w:tab w:val="right" w:leader="dot" w:pos="9174"/>
        </w:tabs>
        <w:rPr>
          <w:rFonts w:asciiTheme="minorHAnsi" w:eastAsiaTheme="minorEastAsia" w:hAnsiTheme="minorHAnsi" w:cstheme="minorBidi"/>
          <w:b w:val="0"/>
          <w:bCs w:val="0"/>
          <w:noProof/>
          <w:color w:val="auto"/>
          <w:sz w:val="22"/>
          <w:szCs w:val="22"/>
        </w:rPr>
      </w:pPr>
      <w:hyperlink w:anchor="_Toc193296231" w:history="1">
        <w:r w:rsidR="00FF0F13" w:rsidRPr="00A74C83">
          <w:rPr>
            <w:rStyle w:val="Lienhypertexte"/>
            <w:noProof/>
          </w:rPr>
          <w:t>Article 19 : Pénalités</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_Toc193296231 \h </w:instrText>
        </w:r>
        <w:r w:rsidR="00FF0F13" w:rsidRPr="00A74C83">
          <w:rPr>
            <w:noProof/>
            <w:webHidden/>
          </w:rPr>
        </w:r>
        <w:r w:rsidR="00FF0F13" w:rsidRPr="00A74C83">
          <w:rPr>
            <w:noProof/>
            <w:webHidden/>
          </w:rPr>
          <w:fldChar w:fldCharType="separate"/>
        </w:r>
        <w:r w:rsidR="00FF0F13" w:rsidRPr="00A74C83">
          <w:rPr>
            <w:noProof/>
            <w:webHidden/>
          </w:rPr>
          <w:t>13</w:t>
        </w:r>
        <w:r w:rsidR="00FF0F13" w:rsidRPr="00A74C83">
          <w:rPr>
            <w:noProof/>
            <w:webHidden/>
          </w:rPr>
          <w:fldChar w:fldCharType="end"/>
        </w:r>
      </w:hyperlink>
    </w:p>
    <w:p w14:paraId="44CF77E2" w14:textId="7CE54413" w:rsidR="00FF0F13" w:rsidRPr="00A74C83" w:rsidRDefault="0075276F">
      <w:pPr>
        <w:pStyle w:val="TM2"/>
        <w:rPr>
          <w:rFonts w:asciiTheme="minorHAnsi" w:eastAsiaTheme="minorEastAsia" w:hAnsiTheme="minorHAnsi" w:cstheme="minorBidi"/>
          <w:i w:val="0"/>
          <w:iCs w:val="0"/>
          <w:noProof/>
          <w:color w:val="auto"/>
          <w:sz w:val="22"/>
          <w:szCs w:val="22"/>
        </w:rPr>
      </w:pPr>
      <w:hyperlink w:anchor="_Toc193296232" w:history="1">
        <w:r w:rsidR="00FF0F13" w:rsidRPr="00A74C83">
          <w:rPr>
            <w:rStyle w:val="Lienhypertexte"/>
            <w:noProof/>
          </w:rPr>
          <w:t>Article 19.1 : Indisponibilité, retard ou mauvaise exécution du service</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_Toc193296232 \h </w:instrText>
        </w:r>
        <w:r w:rsidR="00FF0F13" w:rsidRPr="00A74C83">
          <w:rPr>
            <w:noProof/>
            <w:webHidden/>
          </w:rPr>
        </w:r>
        <w:r w:rsidR="00FF0F13" w:rsidRPr="00A74C83">
          <w:rPr>
            <w:noProof/>
            <w:webHidden/>
          </w:rPr>
          <w:fldChar w:fldCharType="separate"/>
        </w:r>
        <w:r w:rsidR="00FF0F13" w:rsidRPr="00A74C83">
          <w:rPr>
            <w:noProof/>
            <w:webHidden/>
          </w:rPr>
          <w:t>13</w:t>
        </w:r>
        <w:r w:rsidR="00FF0F13" w:rsidRPr="00A74C83">
          <w:rPr>
            <w:noProof/>
            <w:webHidden/>
          </w:rPr>
          <w:fldChar w:fldCharType="end"/>
        </w:r>
      </w:hyperlink>
    </w:p>
    <w:p w14:paraId="6636F3B0" w14:textId="17E9836A" w:rsidR="00FF0F13" w:rsidRPr="00A74C83" w:rsidRDefault="0075276F">
      <w:pPr>
        <w:pStyle w:val="TM2"/>
        <w:rPr>
          <w:rFonts w:asciiTheme="minorHAnsi" w:eastAsiaTheme="minorEastAsia" w:hAnsiTheme="minorHAnsi" w:cstheme="minorBidi"/>
          <w:i w:val="0"/>
          <w:iCs w:val="0"/>
          <w:noProof/>
          <w:color w:val="auto"/>
          <w:sz w:val="22"/>
          <w:szCs w:val="22"/>
        </w:rPr>
      </w:pPr>
      <w:hyperlink w:anchor="_Toc193296233" w:history="1">
        <w:r w:rsidR="00FF0F13" w:rsidRPr="00A74C83">
          <w:rPr>
            <w:rStyle w:val="Lienhypertexte"/>
            <w:noProof/>
          </w:rPr>
          <w:t>Article 19.2 : Pénalités pour non-respect de la clause sociale</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_Toc193296233 \h </w:instrText>
        </w:r>
        <w:r w:rsidR="00FF0F13" w:rsidRPr="00A74C83">
          <w:rPr>
            <w:noProof/>
            <w:webHidden/>
          </w:rPr>
        </w:r>
        <w:r w:rsidR="00FF0F13" w:rsidRPr="00A74C83">
          <w:rPr>
            <w:noProof/>
            <w:webHidden/>
          </w:rPr>
          <w:fldChar w:fldCharType="separate"/>
        </w:r>
        <w:r w:rsidR="00FF0F13" w:rsidRPr="00A74C83">
          <w:rPr>
            <w:noProof/>
            <w:webHidden/>
          </w:rPr>
          <w:t>13</w:t>
        </w:r>
        <w:r w:rsidR="00FF0F13" w:rsidRPr="00A74C83">
          <w:rPr>
            <w:noProof/>
            <w:webHidden/>
          </w:rPr>
          <w:fldChar w:fldCharType="end"/>
        </w:r>
      </w:hyperlink>
    </w:p>
    <w:p w14:paraId="652F97ED" w14:textId="6FB360AA" w:rsidR="00FF0F13" w:rsidRPr="00A74C83" w:rsidRDefault="0075276F">
      <w:pPr>
        <w:pStyle w:val="TM2"/>
        <w:rPr>
          <w:rFonts w:asciiTheme="minorHAnsi" w:eastAsiaTheme="minorEastAsia" w:hAnsiTheme="minorHAnsi" w:cstheme="minorBidi"/>
          <w:i w:val="0"/>
          <w:iCs w:val="0"/>
          <w:noProof/>
          <w:color w:val="auto"/>
          <w:sz w:val="22"/>
          <w:szCs w:val="22"/>
        </w:rPr>
      </w:pPr>
      <w:hyperlink w:anchor="_Toc193296234" w:history="1">
        <w:r w:rsidR="00FF0F13" w:rsidRPr="00A74C83">
          <w:rPr>
            <w:rStyle w:val="Lienhypertexte"/>
            <w:noProof/>
          </w:rPr>
          <w:t>Article 19.3 : Plafond des pénalités</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_Toc193296234 \h </w:instrText>
        </w:r>
        <w:r w:rsidR="00FF0F13" w:rsidRPr="00A74C83">
          <w:rPr>
            <w:noProof/>
            <w:webHidden/>
          </w:rPr>
        </w:r>
        <w:r w:rsidR="00FF0F13" w:rsidRPr="00A74C83">
          <w:rPr>
            <w:noProof/>
            <w:webHidden/>
          </w:rPr>
          <w:fldChar w:fldCharType="separate"/>
        </w:r>
        <w:r w:rsidR="00FF0F13" w:rsidRPr="00A74C83">
          <w:rPr>
            <w:noProof/>
            <w:webHidden/>
          </w:rPr>
          <w:t>14</w:t>
        </w:r>
        <w:r w:rsidR="00FF0F13" w:rsidRPr="00A74C83">
          <w:rPr>
            <w:noProof/>
            <w:webHidden/>
          </w:rPr>
          <w:fldChar w:fldCharType="end"/>
        </w:r>
      </w:hyperlink>
    </w:p>
    <w:p w14:paraId="6DE45C00" w14:textId="141D8337" w:rsidR="00FF0F13" w:rsidRPr="00A74C83" w:rsidRDefault="0075276F">
      <w:pPr>
        <w:pStyle w:val="TM1"/>
        <w:tabs>
          <w:tab w:val="right" w:leader="dot" w:pos="9174"/>
        </w:tabs>
        <w:rPr>
          <w:rFonts w:asciiTheme="minorHAnsi" w:eastAsiaTheme="minorEastAsia" w:hAnsiTheme="minorHAnsi" w:cstheme="minorBidi"/>
          <w:b w:val="0"/>
          <w:bCs w:val="0"/>
          <w:noProof/>
          <w:color w:val="auto"/>
          <w:sz w:val="22"/>
          <w:szCs w:val="22"/>
        </w:rPr>
      </w:pPr>
      <w:hyperlink w:anchor="_Toc193296235" w:history="1">
        <w:r w:rsidR="00FF0F13" w:rsidRPr="00A74C83">
          <w:rPr>
            <w:rStyle w:val="Lienhypertexte"/>
            <w:noProof/>
          </w:rPr>
          <w:t>Article 20 : Propriété intellectuelle</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_Toc193296235 \h </w:instrText>
        </w:r>
        <w:r w:rsidR="00FF0F13" w:rsidRPr="00A74C83">
          <w:rPr>
            <w:noProof/>
            <w:webHidden/>
          </w:rPr>
        </w:r>
        <w:r w:rsidR="00FF0F13" w:rsidRPr="00A74C83">
          <w:rPr>
            <w:noProof/>
            <w:webHidden/>
          </w:rPr>
          <w:fldChar w:fldCharType="separate"/>
        </w:r>
        <w:r w:rsidR="00FF0F13" w:rsidRPr="00A74C83">
          <w:rPr>
            <w:noProof/>
            <w:webHidden/>
          </w:rPr>
          <w:t>14</w:t>
        </w:r>
        <w:r w:rsidR="00FF0F13" w:rsidRPr="00A74C83">
          <w:rPr>
            <w:noProof/>
            <w:webHidden/>
          </w:rPr>
          <w:fldChar w:fldCharType="end"/>
        </w:r>
      </w:hyperlink>
    </w:p>
    <w:p w14:paraId="6CAA6455" w14:textId="0F81439B" w:rsidR="00FF0F13" w:rsidRPr="00A74C83" w:rsidRDefault="0075276F">
      <w:pPr>
        <w:pStyle w:val="TM2"/>
        <w:rPr>
          <w:rFonts w:asciiTheme="minorHAnsi" w:eastAsiaTheme="minorEastAsia" w:hAnsiTheme="minorHAnsi" w:cstheme="minorBidi"/>
          <w:i w:val="0"/>
          <w:iCs w:val="0"/>
          <w:noProof/>
          <w:color w:val="auto"/>
          <w:sz w:val="22"/>
          <w:szCs w:val="22"/>
        </w:rPr>
      </w:pPr>
      <w:hyperlink w:anchor="_Toc193296236" w:history="1">
        <w:r w:rsidR="00FF0F13" w:rsidRPr="00A74C83">
          <w:rPr>
            <w:rStyle w:val="Lienhypertexte"/>
            <w:noProof/>
          </w:rPr>
          <w:t>Article 20.1 : Dispositions générales relatives à l’utilisation des résultats</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_Toc193296236 \h </w:instrText>
        </w:r>
        <w:r w:rsidR="00FF0F13" w:rsidRPr="00A74C83">
          <w:rPr>
            <w:noProof/>
            <w:webHidden/>
          </w:rPr>
        </w:r>
        <w:r w:rsidR="00FF0F13" w:rsidRPr="00A74C83">
          <w:rPr>
            <w:noProof/>
            <w:webHidden/>
          </w:rPr>
          <w:fldChar w:fldCharType="separate"/>
        </w:r>
        <w:r w:rsidR="00FF0F13" w:rsidRPr="00A74C83">
          <w:rPr>
            <w:noProof/>
            <w:webHidden/>
          </w:rPr>
          <w:t>14</w:t>
        </w:r>
        <w:r w:rsidR="00FF0F13" w:rsidRPr="00A74C83">
          <w:rPr>
            <w:noProof/>
            <w:webHidden/>
          </w:rPr>
          <w:fldChar w:fldCharType="end"/>
        </w:r>
      </w:hyperlink>
    </w:p>
    <w:p w14:paraId="5FD8064A" w14:textId="0B5A2ECE" w:rsidR="00FF0F13" w:rsidRPr="00A74C83" w:rsidRDefault="0075276F">
      <w:pPr>
        <w:pStyle w:val="TM2"/>
        <w:rPr>
          <w:rFonts w:asciiTheme="minorHAnsi" w:eastAsiaTheme="minorEastAsia" w:hAnsiTheme="minorHAnsi" w:cstheme="minorBidi"/>
          <w:i w:val="0"/>
          <w:iCs w:val="0"/>
          <w:noProof/>
          <w:color w:val="auto"/>
          <w:sz w:val="22"/>
          <w:szCs w:val="22"/>
        </w:rPr>
      </w:pPr>
      <w:hyperlink w:anchor="_Toc193296237" w:history="1">
        <w:r w:rsidR="00FF0F13" w:rsidRPr="00A74C83">
          <w:rPr>
            <w:rStyle w:val="Lienhypertexte"/>
            <w:noProof/>
          </w:rPr>
          <w:t>Article 20.2 : Propriété matérielle</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_Toc193296237 \h </w:instrText>
        </w:r>
        <w:r w:rsidR="00FF0F13" w:rsidRPr="00A74C83">
          <w:rPr>
            <w:noProof/>
            <w:webHidden/>
          </w:rPr>
        </w:r>
        <w:r w:rsidR="00FF0F13" w:rsidRPr="00A74C83">
          <w:rPr>
            <w:noProof/>
            <w:webHidden/>
          </w:rPr>
          <w:fldChar w:fldCharType="separate"/>
        </w:r>
        <w:r w:rsidR="00FF0F13" w:rsidRPr="00A74C83">
          <w:rPr>
            <w:noProof/>
            <w:webHidden/>
          </w:rPr>
          <w:t>14</w:t>
        </w:r>
        <w:r w:rsidR="00FF0F13" w:rsidRPr="00A74C83">
          <w:rPr>
            <w:noProof/>
            <w:webHidden/>
          </w:rPr>
          <w:fldChar w:fldCharType="end"/>
        </w:r>
      </w:hyperlink>
    </w:p>
    <w:p w14:paraId="7D7636FF" w14:textId="761D0963" w:rsidR="00FF0F13" w:rsidRPr="00A74C83" w:rsidRDefault="0075276F">
      <w:pPr>
        <w:pStyle w:val="TM2"/>
        <w:rPr>
          <w:rFonts w:asciiTheme="minorHAnsi" w:eastAsiaTheme="minorEastAsia" w:hAnsiTheme="minorHAnsi" w:cstheme="minorBidi"/>
          <w:i w:val="0"/>
          <w:iCs w:val="0"/>
          <w:noProof/>
          <w:color w:val="auto"/>
          <w:sz w:val="22"/>
          <w:szCs w:val="22"/>
        </w:rPr>
      </w:pPr>
      <w:hyperlink w:anchor="_Toc193296238" w:history="1">
        <w:r w:rsidR="00FF0F13" w:rsidRPr="00A74C83">
          <w:rPr>
            <w:rStyle w:val="Lienhypertexte"/>
            <w:noProof/>
          </w:rPr>
          <w:t>Article 20.3 : Livrables réalisés au titre du marché</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_Toc193296238 \h </w:instrText>
        </w:r>
        <w:r w:rsidR="00FF0F13" w:rsidRPr="00A74C83">
          <w:rPr>
            <w:noProof/>
            <w:webHidden/>
          </w:rPr>
        </w:r>
        <w:r w:rsidR="00FF0F13" w:rsidRPr="00A74C83">
          <w:rPr>
            <w:noProof/>
            <w:webHidden/>
          </w:rPr>
          <w:fldChar w:fldCharType="separate"/>
        </w:r>
        <w:r w:rsidR="00FF0F13" w:rsidRPr="00A74C83">
          <w:rPr>
            <w:noProof/>
            <w:webHidden/>
          </w:rPr>
          <w:t>14</w:t>
        </w:r>
        <w:r w:rsidR="00FF0F13" w:rsidRPr="00A74C83">
          <w:rPr>
            <w:noProof/>
            <w:webHidden/>
          </w:rPr>
          <w:fldChar w:fldCharType="end"/>
        </w:r>
      </w:hyperlink>
    </w:p>
    <w:p w14:paraId="3B28C6FA" w14:textId="574AD04A" w:rsidR="00FF0F13" w:rsidRPr="00A74C83" w:rsidRDefault="0075276F">
      <w:pPr>
        <w:pStyle w:val="TM2"/>
        <w:rPr>
          <w:rFonts w:asciiTheme="minorHAnsi" w:eastAsiaTheme="minorEastAsia" w:hAnsiTheme="minorHAnsi" w:cstheme="minorBidi"/>
          <w:i w:val="0"/>
          <w:iCs w:val="0"/>
          <w:noProof/>
          <w:color w:val="auto"/>
          <w:sz w:val="22"/>
          <w:szCs w:val="22"/>
        </w:rPr>
      </w:pPr>
      <w:hyperlink w:anchor="_Toc193296239" w:history="1">
        <w:r w:rsidR="00FF0F13" w:rsidRPr="00A74C83">
          <w:rPr>
            <w:rStyle w:val="Lienhypertexte"/>
            <w:noProof/>
          </w:rPr>
          <w:t>Article 20.5 : Garantie de copyright des données, des programmes et des mentions d’origine</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_Toc193296239 \h </w:instrText>
        </w:r>
        <w:r w:rsidR="00FF0F13" w:rsidRPr="00A74C83">
          <w:rPr>
            <w:noProof/>
            <w:webHidden/>
          </w:rPr>
        </w:r>
        <w:r w:rsidR="00FF0F13" w:rsidRPr="00A74C83">
          <w:rPr>
            <w:noProof/>
            <w:webHidden/>
          </w:rPr>
          <w:fldChar w:fldCharType="separate"/>
        </w:r>
        <w:r w:rsidR="00FF0F13" w:rsidRPr="00A74C83">
          <w:rPr>
            <w:noProof/>
            <w:webHidden/>
          </w:rPr>
          <w:t>15</w:t>
        </w:r>
        <w:r w:rsidR="00FF0F13" w:rsidRPr="00A74C83">
          <w:rPr>
            <w:noProof/>
            <w:webHidden/>
          </w:rPr>
          <w:fldChar w:fldCharType="end"/>
        </w:r>
      </w:hyperlink>
    </w:p>
    <w:p w14:paraId="266645DB" w14:textId="0AD85788" w:rsidR="00FF0F13" w:rsidRPr="00A74C83" w:rsidRDefault="0075276F">
      <w:pPr>
        <w:pStyle w:val="TM2"/>
        <w:rPr>
          <w:rFonts w:asciiTheme="minorHAnsi" w:eastAsiaTheme="minorEastAsia" w:hAnsiTheme="minorHAnsi" w:cstheme="minorBidi"/>
          <w:i w:val="0"/>
          <w:iCs w:val="0"/>
          <w:noProof/>
          <w:color w:val="auto"/>
          <w:sz w:val="22"/>
          <w:szCs w:val="22"/>
        </w:rPr>
      </w:pPr>
      <w:hyperlink w:anchor="_Toc193296240" w:history="1">
        <w:r w:rsidR="00FF0F13" w:rsidRPr="00A74C83">
          <w:rPr>
            <w:rStyle w:val="Lienhypertexte"/>
            <w:noProof/>
          </w:rPr>
          <w:t>Article 20.6 : Garantie des droits</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_Toc193296240 \h </w:instrText>
        </w:r>
        <w:r w:rsidR="00FF0F13" w:rsidRPr="00A74C83">
          <w:rPr>
            <w:noProof/>
            <w:webHidden/>
          </w:rPr>
        </w:r>
        <w:r w:rsidR="00FF0F13" w:rsidRPr="00A74C83">
          <w:rPr>
            <w:noProof/>
            <w:webHidden/>
          </w:rPr>
          <w:fldChar w:fldCharType="separate"/>
        </w:r>
        <w:r w:rsidR="00FF0F13" w:rsidRPr="00A74C83">
          <w:rPr>
            <w:noProof/>
            <w:webHidden/>
          </w:rPr>
          <w:t>15</w:t>
        </w:r>
        <w:r w:rsidR="00FF0F13" w:rsidRPr="00A74C83">
          <w:rPr>
            <w:noProof/>
            <w:webHidden/>
          </w:rPr>
          <w:fldChar w:fldCharType="end"/>
        </w:r>
      </w:hyperlink>
    </w:p>
    <w:p w14:paraId="3C929EA7" w14:textId="3927F599" w:rsidR="00FF0F13" w:rsidRPr="00A74C83" w:rsidRDefault="0075276F">
      <w:pPr>
        <w:pStyle w:val="TM1"/>
        <w:tabs>
          <w:tab w:val="right" w:leader="dot" w:pos="9174"/>
        </w:tabs>
        <w:rPr>
          <w:rFonts w:asciiTheme="minorHAnsi" w:eastAsiaTheme="minorEastAsia" w:hAnsiTheme="minorHAnsi" w:cstheme="minorBidi"/>
          <w:b w:val="0"/>
          <w:bCs w:val="0"/>
          <w:noProof/>
          <w:color w:val="auto"/>
          <w:sz w:val="22"/>
          <w:szCs w:val="22"/>
        </w:rPr>
      </w:pPr>
      <w:hyperlink w:anchor="_Toc193296241" w:history="1">
        <w:r w:rsidR="00FF0F13" w:rsidRPr="00A74C83">
          <w:rPr>
            <w:rStyle w:val="Lienhypertexte"/>
            <w:noProof/>
          </w:rPr>
          <w:t>Article 21 : Conditions de résiliation</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_Toc193296241 \h </w:instrText>
        </w:r>
        <w:r w:rsidR="00FF0F13" w:rsidRPr="00A74C83">
          <w:rPr>
            <w:noProof/>
            <w:webHidden/>
          </w:rPr>
        </w:r>
        <w:r w:rsidR="00FF0F13" w:rsidRPr="00A74C83">
          <w:rPr>
            <w:noProof/>
            <w:webHidden/>
          </w:rPr>
          <w:fldChar w:fldCharType="separate"/>
        </w:r>
        <w:r w:rsidR="00FF0F13" w:rsidRPr="00A74C83">
          <w:rPr>
            <w:noProof/>
            <w:webHidden/>
          </w:rPr>
          <w:t>16</w:t>
        </w:r>
        <w:r w:rsidR="00FF0F13" w:rsidRPr="00A74C83">
          <w:rPr>
            <w:noProof/>
            <w:webHidden/>
          </w:rPr>
          <w:fldChar w:fldCharType="end"/>
        </w:r>
      </w:hyperlink>
    </w:p>
    <w:p w14:paraId="5FDD3A11" w14:textId="1042A937" w:rsidR="00FF0F13" w:rsidRPr="00A74C83" w:rsidRDefault="0075276F">
      <w:pPr>
        <w:pStyle w:val="TM2"/>
        <w:rPr>
          <w:rFonts w:asciiTheme="minorHAnsi" w:eastAsiaTheme="minorEastAsia" w:hAnsiTheme="minorHAnsi" w:cstheme="minorBidi"/>
          <w:i w:val="0"/>
          <w:iCs w:val="0"/>
          <w:noProof/>
          <w:color w:val="auto"/>
          <w:sz w:val="22"/>
          <w:szCs w:val="22"/>
        </w:rPr>
      </w:pPr>
      <w:hyperlink w:anchor="_Toc193296242" w:history="1">
        <w:r w:rsidR="00FF0F13" w:rsidRPr="00A74C83">
          <w:rPr>
            <w:rStyle w:val="Lienhypertexte"/>
            <w:noProof/>
          </w:rPr>
          <w:t>Article 21.1 : Résiliation du fait du pouvoir adjudicateur</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_Toc193296242 \h </w:instrText>
        </w:r>
        <w:r w:rsidR="00FF0F13" w:rsidRPr="00A74C83">
          <w:rPr>
            <w:noProof/>
            <w:webHidden/>
          </w:rPr>
        </w:r>
        <w:r w:rsidR="00FF0F13" w:rsidRPr="00A74C83">
          <w:rPr>
            <w:noProof/>
            <w:webHidden/>
          </w:rPr>
          <w:fldChar w:fldCharType="separate"/>
        </w:r>
        <w:r w:rsidR="00FF0F13" w:rsidRPr="00A74C83">
          <w:rPr>
            <w:noProof/>
            <w:webHidden/>
          </w:rPr>
          <w:t>16</w:t>
        </w:r>
        <w:r w:rsidR="00FF0F13" w:rsidRPr="00A74C83">
          <w:rPr>
            <w:noProof/>
            <w:webHidden/>
          </w:rPr>
          <w:fldChar w:fldCharType="end"/>
        </w:r>
      </w:hyperlink>
    </w:p>
    <w:p w14:paraId="4509905E" w14:textId="3A80DB0C" w:rsidR="00FF0F13" w:rsidRPr="00A74C83" w:rsidRDefault="0075276F">
      <w:pPr>
        <w:pStyle w:val="TM2"/>
        <w:rPr>
          <w:rFonts w:asciiTheme="minorHAnsi" w:eastAsiaTheme="minorEastAsia" w:hAnsiTheme="minorHAnsi" w:cstheme="minorBidi"/>
          <w:i w:val="0"/>
          <w:iCs w:val="0"/>
          <w:noProof/>
          <w:color w:val="auto"/>
          <w:sz w:val="22"/>
          <w:szCs w:val="22"/>
        </w:rPr>
      </w:pPr>
      <w:hyperlink w:anchor="_Toc193296243" w:history="1">
        <w:r w:rsidR="00FF0F13" w:rsidRPr="00A74C83">
          <w:rPr>
            <w:rStyle w:val="Lienhypertexte"/>
            <w:noProof/>
          </w:rPr>
          <w:t>Article 21.2 : Résiliation aux torts du titulaire</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_Toc193296243 \h </w:instrText>
        </w:r>
        <w:r w:rsidR="00FF0F13" w:rsidRPr="00A74C83">
          <w:rPr>
            <w:noProof/>
            <w:webHidden/>
          </w:rPr>
        </w:r>
        <w:r w:rsidR="00FF0F13" w:rsidRPr="00A74C83">
          <w:rPr>
            <w:noProof/>
            <w:webHidden/>
          </w:rPr>
          <w:fldChar w:fldCharType="separate"/>
        </w:r>
        <w:r w:rsidR="00FF0F13" w:rsidRPr="00A74C83">
          <w:rPr>
            <w:noProof/>
            <w:webHidden/>
          </w:rPr>
          <w:t>16</w:t>
        </w:r>
        <w:r w:rsidR="00FF0F13" w:rsidRPr="00A74C83">
          <w:rPr>
            <w:noProof/>
            <w:webHidden/>
          </w:rPr>
          <w:fldChar w:fldCharType="end"/>
        </w:r>
      </w:hyperlink>
    </w:p>
    <w:p w14:paraId="1AF43919" w14:textId="619F56F9" w:rsidR="00FF0F13" w:rsidRPr="00A74C83" w:rsidRDefault="0075276F">
      <w:pPr>
        <w:pStyle w:val="TM1"/>
        <w:tabs>
          <w:tab w:val="right" w:leader="dot" w:pos="9174"/>
        </w:tabs>
        <w:rPr>
          <w:rFonts w:asciiTheme="minorHAnsi" w:eastAsiaTheme="minorEastAsia" w:hAnsiTheme="minorHAnsi" w:cstheme="minorBidi"/>
          <w:b w:val="0"/>
          <w:bCs w:val="0"/>
          <w:noProof/>
          <w:color w:val="auto"/>
          <w:sz w:val="22"/>
          <w:szCs w:val="22"/>
        </w:rPr>
      </w:pPr>
      <w:hyperlink w:anchor="_Toc193296244" w:history="1">
        <w:r w:rsidR="00FF0F13" w:rsidRPr="00A74C83">
          <w:rPr>
            <w:rStyle w:val="Lienhypertexte"/>
            <w:noProof/>
          </w:rPr>
          <w:t>Article 22 : Responsabilité et assurance</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_Toc193296244 \h </w:instrText>
        </w:r>
        <w:r w:rsidR="00FF0F13" w:rsidRPr="00A74C83">
          <w:rPr>
            <w:noProof/>
            <w:webHidden/>
          </w:rPr>
        </w:r>
        <w:r w:rsidR="00FF0F13" w:rsidRPr="00A74C83">
          <w:rPr>
            <w:noProof/>
            <w:webHidden/>
          </w:rPr>
          <w:fldChar w:fldCharType="separate"/>
        </w:r>
        <w:r w:rsidR="00FF0F13" w:rsidRPr="00A74C83">
          <w:rPr>
            <w:noProof/>
            <w:webHidden/>
          </w:rPr>
          <w:t>16</w:t>
        </w:r>
        <w:r w:rsidR="00FF0F13" w:rsidRPr="00A74C83">
          <w:rPr>
            <w:noProof/>
            <w:webHidden/>
          </w:rPr>
          <w:fldChar w:fldCharType="end"/>
        </w:r>
      </w:hyperlink>
    </w:p>
    <w:p w14:paraId="263F2A7B" w14:textId="55D7E0DA" w:rsidR="00FF0F13" w:rsidRPr="00A74C83" w:rsidRDefault="0075276F">
      <w:pPr>
        <w:pStyle w:val="TM1"/>
        <w:tabs>
          <w:tab w:val="right" w:leader="dot" w:pos="9174"/>
        </w:tabs>
        <w:rPr>
          <w:rFonts w:asciiTheme="minorHAnsi" w:eastAsiaTheme="minorEastAsia" w:hAnsiTheme="minorHAnsi" w:cstheme="minorBidi"/>
          <w:b w:val="0"/>
          <w:bCs w:val="0"/>
          <w:noProof/>
          <w:color w:val="auto"/>
          <w:sz w:val="22"/>
          <w:szCs w:val="22"/>
        </w:rPr>
      </w:pPr>
      <w:hyperlink w:anchor="_Toc193296245" w:history="1">
        <w:r w:rsidR="00FF0F13" w:rsidRPr="00A74C83">
          <w:rPr>
            <w:rStyle w:val="Lienhypertexte"/>
            <w:noProof/>
          </w:rPr>
          <w:t>Article 23 : Modifications du marché</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_Toc193296245 \h </w:instrText>
        </w:r>
        <w:r w:rsidR="00FF0F13" w:rsidRPr="00A74C83">
          <w:rPr>
            <w:noProof/>
            <w:webHidden/>
          </w:rPr>
        </w:r>
        <w:r w:rsidR="00FF0F13" w:rsidRPr="00A74C83">
          <w:rPr>
            <w:noProof/>
            <w:webHidden/>
          </w:rPr>
          <w:fldChar w:fldCharType="separate"/>
        </w:r>
        <w:r w:rsidR="00FF0F13" w:rsidRPr="00A74C83">
          <w:rPr>
            <w:noProof/>
            <w:webHidden/>
          </w:rPr>
          <w:t>17</w:t>
        </w:r>
        <w:r w:rsidR="00FF0F13" w:rsidRPr="00A74C83">
          <w:rPr>
            <w:noProof/>
            <w:webHidden/>
          </w:rPr>
          <w:fldChar w:fldCharType="end"/>
        </w:r>
      </w:hyperlink>
    </w:p>
    <w:p w14:paraId="604D8593" w14:textId="31BCFB7C" w:rsidR="00FF0F13" w:rsidRPr="00A74C83" w:rsidRDefault="0075276F">
      <w:pPr>
        <w:pStyle w:val="TM2"/>
        <w:rPr>
          <w:rFonts w:asciiTheme="minorHAnsi" w:eastAsiaTheme="minorEastAsia" w:hAnsiTheme="minorHAnsi" w:cstheme="minorBidi"/>
          <w:i w:val="0"/>
          <w:iCs w:val="0"/>
          <w:noProof/>
          <w:color w:val="auto"/>
          <w:sz w:val="22"/>
          <w:szCs w:val="22"/>
        </w:rPr>
      </w:pPr>
      <w:hyperlink w:anchor="_Toc193296246" w:history="1">
        <w:r w:rsidR="00FF0F13" w:rsidRPr="00A74C83">
          <w:rPr>
            <w:rStyle w:val="Lienhypertexte"/>
            <w:noProof/>
          </w:rPr>
          <w:t>Article 23.1 : Évolution de la législation et marché similaire</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_Toc193296246 \h </w:instrText>
        </w:r>
        <w:r w:rsidR="00FF0F13" w:rsidRPr="00A74C83">
          <w:rPr>
            <w:noProof/>
            <w:webHidden/>
          </w:rPr>
        </w:r>
        <w:r w:rsidR="00FF0F13" w:rsidRPr="00A74C83">
          <w:rPr>
            <w:noProof/>
            <w:webHidden/>
          </w:rPr>
          <w:fldChar w:fldCharType="separate"/>
        </w:r>
        <w:r w:rsidR="00FF0F13" w:rsidRPr="00A74C83">
          <w:rPr>
            <w:noProof/>
            <w:webHidden/>
          </w:rPr>
          <w:t>17</w:t>
        </w:r>
        <w:r w:rsidR="00FF0F13" w:rsidRPr="00A74C83">
          <w:rPr>
            <w:noProof/>
            <w:webHidden/>
          </w:rPr>
          <w:fldChar w:fldCharType="end"/>
        </w:r>
      </w:hyperlink>
    </w:p>
    <w:p w14:paraId="190A50E4" w14:textId="65F47962" w:rsidR="00FF0F13" w:rsidRPr="00A74C83" w:rsidRDefault="0075276F">
      <w:pPr>
        <w:pStyle w:val="TM2"/>
        <w:rPr>
          <w:rFonts w:asciiTheme="minorHAnsi" w:eastAsiaTheme="minorEastAsia" w:hAnsiTheme="minorHAnsi" w:cstheme="minorBidi"/>
          <w:i w:val="0"/>
          <w:iCs w:val="0"/>
          <w:noProof/>
          <w:color w:val="auto"/>
          <w:sz w:val="22"/>
          <w:szCs w:val="22"/>
        </w:rPr>
      </w:pPr>
      <w:hyperlink w:anchor="_Toc193296247" w:history="1">
        <w:r w:rsidR="00FF0F13" w:rsidRPr="00A74C83">
          <w:rPr>
            <w:rStyle w:val="Lienhypertexte"/>
            <w:noProof/>
          </w:rPr>
          <w:t>Article 23.2 : Clause de réexamen</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_Toc193296247 \h </w:instrText>
        </w:r>
        <w:r w:rsidR="00FF0F13" w:rsidRPr="00A74C83">
          <w:rPr>
            <w:noProof/>
            <w:webHidden/>
          </w:rPr>
        </w:r>
        <w:r w:rsidR="00FF0F13" w:rsidRPr="00A74C83">
          <w:rPr>
            <w:noProof/>
            <w:webHidden/>
          </w:rPr>
          <w:fldChar w:fldCharType="separate"/>
        </w:r>
        <w:r w:rsidR="00FF0F13" w:rsidRPr="00A74C83">
          <w:rPr>
            <w:noProof/>
            <w:webHidden/>
          </w:rPr>
          <w:t>17</w:t>
        </w:r>
        <w:r w:rsidR="00FF0F13" w:rsidRPr="00A74C83">
          <w:rPr>
            <w:noProof/>
            <w:webHidden/>
          </w:rPr>
          <w:fldChar w:fldCharType="end"/>
        </w:r>
      </w:hyperlink>
    </w:p>
    <w:p w14:paraId="3BCDF14D" w14:textId="1363467C" w:rsidR="00FF0F13" w:rsidRPr="00A74C83" w:rsidRDefault="0075276F">
      <w:pPr>
        <w:pStyle w:val="TM2"/>
        <w:rPr>
          <w:rFonts w:asciiTheme="minorHAnsi" w:eastAsiaTheme="minorEastAsia" w:hAnsiTheme="minorHAnsi" w:cstheme="minorBidi"/>
          <w:i w:val="0"/>
          <w:iCs w:val="0"/>
          <w:noProof/>
          <w:color w:val="auto"/>
          <w:sz w:val="22"/>
          <w:szCs w:val="22"/>
        </w:rPr>
      </w:pPr>
      <w:hyperlink w:anchor="_Toc193296248" w:history="1">
        <w:r w:rsidR="00FF0F13" w:rsidRPr="00A74C83">
          <w:rPr>
            <w:rStyle w:val="Lienhypertexte"/>
            <w:noProof/>
          </w:rPr>
          <w:t>Article 23.3 : Modification du groupement titulaire en cas de défaillance du mandataire</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_Toc193296248 \h </w:instrText>
        </w:r>
        <w:r w:rsidR="00FF0F13" w:rsidRPr="00A74C83">
          <w:rPr>
            <w:noProof/>
            <w:webHidden/>
          </w:rPr>
        </w:r>
        <w:r w:rsidR="00FF0F13" w:rsidRPr="00A74C83">
          <w:rPr>
            <w:noProof/>
            <w:webHidden/>
          </w:rPr>
          <w:fldChar w:fldCharType="separate"/>
        </w:r>
        <w:r w:rsidR="00FF0F13" w:rsidRPr="00A74C83">
          <w:rPr>
            <w:noProof/>
            <w:webHidden/>
          </w:rPr>
          <w:t>17</w:t>
        </w:r>
        <w:r w:rsidR="00FF0F13" w:rsidRPr="00A74C83">
          <w:rPr>
            <w:noProof/>
            <w:webHidden/>
          </w:rPr>
          <w:fldChar w:fldCharType="end"/>
        </w:r>
      </w:hyperlink>
    </w:p>
    <w:p w14:paraId="66AEF2D5" w14:textId="7C35891E" w:rsidR="00FF0F13" w:rsidRPr="00A74C83" w:rsidRDefault="0075276F">
      <w:pPr>
        <w:pStyle w:val="TM1"/>
        <w:tabs>
          <w:tab w:val="right" w:leader="dot" w:pos="9174"/>
        </w:tabs>
        <w:rPr>
          <w:rFonts w:asciiTheme="minorHAnsi" w:eastAsiaTheme="minorEastAsia" w:hAnsiTheme="minorHAnsi" w:cstheme="minorBidi"/>
          <w:b w:val="0"/>
          <w:bCs w:val="0"/>
          <w:noProof/>
          <w:color w:val="auto"/>
          <w:sz w:val="22"/>
          <w:szCs w:val="22"/>
        </w:rPr>
      </w:pPr>
      <w:hyperlink w:anchor="_Toc193296249" w:history="1">
        <w:r w:rsidR="00FF0F13" w:rsidRPr="00A74C83">
          <w:rPr>
            <w:rStyle w:val="Lienhypertexte"/>
            <w:noProof/>
          </w:rPr>
          <w:t>Article 24 : Mode de communication entre les parties et développement durable</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_Toc193296249 \h </w:instrText>
        </w:r>
        <w:r w:rsidR="00FF0F13" w:rsidRPr="00A74C83">
          <w:rPr>
            <w:noProof/>
            <w:webHidden/>
          </w:rPr>
        </w:r>
        <w:r w:rsidR="00FF0F13" w:rsidRPr="00A74C83">
          <w:rPr>
            <w:noProof/>
            <w:webHidden/>
          </w:rPr>
          <w:fldChar w:fldCharType="separate"/>
        </w:r>
        <w:r w:rsidR="00FF0F13" w:rsidRPr="00A74C83">
          <w:rPr>
            <w:noProof/>
            <w:webHidden/>
          </w:rPr>
          <w:t>17</w:t>
        </w:r>
        <w:r w:rsidR="00FF0F13" w:rsidRPr="00A74C83">
          <w:rPr>
            <w:noProof/>
            <w:webHidden/>
          </w:rPr>
          <w:fldChar w:fldCharType="end"/>
        </w:r>
      </w:hyperlink>
    </w:p>
    <w:p w14:paraId="60A6C9BE" w14:textId="2561463D" w:rsidR="00FF0F13" w:rsidRPr="00A74C83" w:rsidRDefault="0075276F">
      <w:pPr>
        <w:pStyle w:val="TM1"/>
        <w:tabs>
          <w:tab w:val="right" w:leader="dot" w:pos="9174"/>
        </w:tabs>
        <w:rPr>
          <w:rFonts w:asciiTheme="minorHAnsi" w:eastAsiaTheme="minorEastAsia" w:hAnsiTheme="minorHAnsi" w:cstheme="minorBidi"/>
          <w:b w:val="0"/>
          <w:bCs w:val="0"/>
          <w:noProof/>
          <w:color w:val="auto"/>
          <w:sz w:val="22"/>
          <w:szCs w:val="22"/>
        </w:rPr>
      </w:pPr>
      <w:hyperlink w:anchor="_Toc193296250" w:history="1">
        <w:r w:rsidR="00FF0F13" w:rsidRPr="00A74C83">
          <w:rPr>
            <w:rStyle w:val="Lienhypertexte"/>
            <w:noProof/>
          </w:rPr>
          <w:t>Article 25 : Loi applicable, différends et litiges</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_Toc193296250 \h </w:instrText>
        </w:r>
        <w:r w:rsidR="00FF0F13" w:rsidRPr="00A74C83">
          <w:rPr>
            <w:noProof/>
            <w:webHidden/>
          </w:rPr>
        </w:r>
        <w:r w:rsidR="00FF0F13" w:rsidRPr="00A74C83">
          <w:rPr>
            <w:noProof/>
            <w:webHidden/>
          </w:rPr>
          <w:fldChar w:fldCharType="separate"/>
        </w:r>
        <w:r w:rsidR="00FF0F13" w:rsidRPr="00A74C83">
          <w:rPr>
            <w:noProof/>
            <w:webHidden/>
          </w:rPr>
          <w:t>17</w:t>
        </w:r>
        <w:r w:rsidR="00FF0F13" w:rsidRPr="00A74C83">
          <w:rPr>
            <w:noProof/>
            <w:webHidden/>
          </w:rPr>
          <w:fldChar w:fldCharType="end"/>
        </w:r>
      </w:hyperlink>
    </w:p>
    <w:p w14:paraId="79965B3B" w14:textId="42B76585" w:rsidR="00FF0F13" w:rsidRPr="00A74C83" w:rsidRDefault="0075276F">
      <w:pPr>
        <w:pStyle w:val="TM1"/>
        <w:tabs>
          <w:tab w:val="right" w:leader="dot" w:pos="9174"/>
        </w:tabs>
        <w:rPr>
          <w:rFonts w:asciiTheme="minorHAnsi" w:eastAsiaTheme="minorEastAsia" w:hAnsiTheme="minorHAnsi" w:cstheme="minorBidi"/>
          <w:b w:val="0"/>
          <w:bCs w:val="0"/>
          <w:noProof/>
          <w:color w:val="auto"/>
          <w:sz w:val="22"/>
          <w:szCs w:val="22"/>
        </w:rPr>
      </w:pPr>
      <w:hyperlink w:anchor="_Toc193296251" w:history="1">
        <w:r w:rsidR="00FF0F13" w:rsidRPr="00A74C83">
          <w:rPr>
            <w:rStyle w:val="Lienhypertexte"/>
            <w:noProof/>
          </w:rPr>
          <w:t>Article 26 : Dérogations au CCAG-FCS</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_Toc193296251 \h </w:instrText>
        </w:r>
        <w:r w:rsidR="00FF0F13" w:rsidRPr="00A74C83">
          <w:rPr>
            <w:noProof/>
            <w:webHidden/>
          </w:rPr>
        </w:r>
        <w:r w:rsidR="00FF0F13" w:rsidRPr="00A74C83">
          <w:rPr>
            <w:noProof/>
            <w:webHidden/>
          </w:rPr>
          <w:fldChar w:fldCharType="separate"/>
        </w:r>
        <w:r w:rsidR="00FF0F13" w:rsidRPr="00A74C83">
          <w:rPr>
            <w:noProof/>
            <w:webHidden/>
          </w:rPr>
          <w:t>18</w:t>
        </w:r>
        <w:r w:rsidR="00FF0F13" w:rsidRPr="00A74C83">
          <w:rPr>
            <w:noProof/>
            <w:webHidden/>
          </w:rPr>
          <w:fldChar w:fldCharType="end"/>
        </w:r>
      </w:hyperlink>
    </w:p>
    <w:p w14:paraId="1836E524" w14:textId="50C30F53" w:rsidR="00FF0F13" w:rsidRPr="00A74C83" w:rsidRDefault="0075276F">
      <w:pPr>
        <w:pStyle w:val="TM1"/>
        <w:tabs>
          <w:tab w:val="right" w:leader="dot" w:pos="9174"/>
        </w:tabs>
        <w:rPr>
          <w:rFonts w:asciiTheme="minorHAnsi" w:eastAsiaTheme="minorEastAsia" w:hAnsiTheme="minorHAnsi" w:cstheme="minorBidi"/>
          <w:b w:val="0"/>
          <w:bCs w:val="0"/>
          <w:noProof/>
          <w:color w:val="auto"/>
          <w:sz w:val="22"/>
          <w:szCs w:val="22"/>
        </w:rPr>
      </w:pPr>
      <w:hyperlink w:anchor="_Toc193296252" w:history="1">
        <w:r w:rsidR="00FF0F13" w:rsidRPr="00A74C83">
          <w:rPr>
            <w:rStyle w:val="Lienhypertexte"/>
            <w:noProof/>
          </w:rPr>
          <w:t>Annexe 1 : Documents relatifs à la clause sociale – Action de formation sous statut scolaire au bénéfice de jeunes en situation de décrochage scolaire</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_Toc193296252 \h </w:instrText>
        </w:r>
        <w:r w:rsidR="00FF0F13" w:rsidRPr="00A74C83">
          <w:rPr>
            <w:noProof/>
            <w:webHidden/>
          </w:rPr>
        </w:r>
        <w:r w:rsidR="00FF0F13" w:rsidRPr="00A74C83">
          <w:rPr>
            <w:noProof/>
            <w:webHidden/>
          </w:rPr>
          <w:fldChar w:fldCharType="separate"/>
        </w:r>
        <w:r w:rsidR="00FF0F13" w:rsidRPr="00A74C83">
          <w:rPr>
            <w:noProof/>
            <w:webHidden/>
          </w:rPr>
          <w:t>19</w:t>
        </w:r>
        <w:r w:rsidR="00FF0F13" w:rsidRPr="00A74C83">
          <w:rPr>
            <w:noProof/>
            <w:webHidden/>
          </w:rPr>
          <w:fldChar w:fldCharType="end"/>
        </w:r>
      </w:hyperlink>
    </w:p>
    <w:p w14:paraId="0D014F8D" w14:textId="67001DD2" w:rsidR="00FF0F13" w:rsidRPr="00A74C83" w:rsidRDefault="0075276F">
      <w:pPr>
        <w:pStyle w:val="TM2"/>
        <w:rPr>
          <w:rFonts w:asciiTheme="minorHAnsi" w:eastAsiaTheme="minorEastAsia" w:hAnsiTheme="minorHAnsi" w:cstheme="minorBidi"/>
          <w:i w:val="0"/>
          <w:iCs w:val="0"/>
          <w:noProof/>
          <w:color w:val="auto"/>
          <w:sz w:val="22"/>
          <w:szCs w:val="22"/>
        </w:rPr>
      </w:pPr>
      <w:hyperlink w:anchor="_Toc193296253" w:history="1">
        <w:r w:rsidR="00FF0F13" w:rsidRPr="00A74C83">
          <w:rPr>
            <w:rStyle w:val="Lienhypertexte"/>
            <w:noProof/>
          </w:rPr>
          <w:t>Annexe 1.1 : Fiche entreprise relative à la clause sociale de lutte contre le décrochage scolaire (cadre de réponse)</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_Toc193296253 \h </w:instrText>
        </w:r>
        <w:r w:rsidR="00FF0F13" w:rsidRPr="00A74C83">
          <w:rPr>
            <w:noProof/>
            <w:webHidden/>
          </w:rPr>
        </w:r>
        <w:r w:rsidR="00FF0F13" w:rsidRPr="00A74C83">
          <w:rPr>
            <w:noProof/>
            <w:webHidden/>
          </w:rPr>
          <w:fldChar w:fldCharType="separate"/>
        </w:r>
        <w:r w:rsidR="00FF0F13" w:rsidRPr="00A74C83">
          <w:rPr>
            <w:noProof/>
            <w:webHidden/>
          </w:rPr>
          <w:t>19</w:t>
        </w:r>
        <w:r w:rsidR="00FF0F13" w:rsidRPr="00A74C83">
          <w:rPr>
            <w:noProof/>
            <w:webHidden/>
          </w:rPr>
          <w:fldChar w:fldCharType="end"/>
        </w:r>
      </w:hyperlink>
    </w:p>
    <w:p w14:paraId="065593EA" w14:textId="358577BA" w:rsidR="00FF0F13" w:rsidRPr="00A74C83" w:rsidRDefault="0075276F">
      <w:pPr>
        <w:pStyle w:val="TM2"/>
        <w:rPr>
          <w:rFonts w:asciiTheme="minorHAnsi" w:eastAsiaTheme="minorEastAsia" w:hAnsiTheme="minorHAnsi" w:cstheme="minorBidi"/>
          <w:i w:val="0"/>
          <w:iCs w:val="0"/>
          <w:noProof/>
          <w:color w:val="auto"/>
          <w:sz w:val="22"/>
          <w:szCs w:val="22"/>
        </w:rPr>
      </w:pPr>
      <w:hyperlink w:anchor="_Toc193296254" w:history="1">
        <w:r w:rsidR="00FF0F13" w:rsidRPr="00A74C83">
          <w:rPr>
            <w:rStyle w:val="Lienhypertexte"/>
            <w:noProof/>
          </w:rPr>
          <w:t>Annexe 1.2 : Exemples de fiches entreprises complétées</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_Toc193296254 \h </w:instrText>
        </w:r>
        <w:r w:rsidR="00FF0F13" w:rsidRPr="00A74C83">
          <w:rPr>
            <w:noProof/>
            <w:webHidden/>
          </w:rPr>
        </w:r>
        <w:r w:rsidR="00FF0F13" w:rsidRPr="00A74C83">
          <w:rPr>
            <w:noProof/>
            <w:webHidden/>
          </w:rPr>
          <w:fldChar w:fldCharType="separate"/>
        </w:r>
        <w:r w:rsidR="00FF0F13" w:rsidRPr="00A74C83">
          <w:rPr>
            <w:noProof/>
            <w:webHidden/>
          </w:rPr>
          <w:t>19</w:t>
        </w:r>
        <w:r w:rsidR="00FF0F13" w:rsidRPr="00A74C83">
          <w:rPr>
            <w:noProof/>
            <w:webHidden/>
          </w:rPr>
          <w:fldChar w:fldCharType="end"/>
        </w:r>
      </w:hyperlink>
    </w:p>
    <w:p w14:paraId="1C183A9F" w14:textId="40FA5BBB" w:rsidR="00FF0F13" w:rsidRPr="00A74C83" w:rsidRDefault="0075276F">
      <w:pPr>
        <w:pStyle w:val="TM2"/>
        <w:rPr>
          <w:rFonts w:asciiTheme="minorHAnsi" w:eastAsiaTheme="minorEastAsia" w:hAnsiTheme="minorHAnsi" w:cstheme="minorBidi"/>
          <w:i w:val="0"/>
          <w:iCs w:val="0"/>
          <w:noProof/>
          <w:color w:val="auto"/>
          <w:sz w:val="22"/>
          <w:szCs w:val="22"/>
        </w:rPr>
      </w:pPr>
      <w:hyperlink w:anchor="_Toc193296255" w:history="1">
        <w:r w:rsidR="00FF0F13" w:rsidRPr="00A74C83">
          <w:rPr>
            <w:rStyle w:val="Lienhypertexte"/>
            <w:noProof/>
          </w:rPr>
          <w:t>Annexe 1.3 : Bilan croisé</w:t>
        </w:r>
        <w:r w:rsidR="00FF0F13" w:rsidRPr="00A74C83">
          <w:rPr>
            <w:noProof/>
            <w:webHidden/>
          </w:rPr>
          <w:tab/>
        </w:r>
        <w:r w:rsidR="00FF0F13" w:rsidRPr="00A74C83">
          <w:rPr>
            <w:noProof/>
            <w:webHidden/>
          </w:rPr>
          <w:fldChar w:fldCharType="begin"/>
        </w:r>
        <w:r w:rsidR="00FF0F13" w:rsidRPr="00A74C83">
          <w:rPr>
            <w:noProof/>
            <w:webHidden/>
          </w:rPr>
          <w:instrText xml:space="preserve"> PAGEREF _Toc193296255 \h </w:instrText>
        </w:r>
        <w:r w:rsidR="00FF0F13" w:rsidRPr="00A74C83">
          <w:rPr>
            <w:noProof/>
            <w:webHidden/>
          </w:rPr>
        </w:r>
        <w:r w:rsidR="00FF0F13" w:rsidRPr="00A74C83">
          <w:rPr>
            <w:noProof/>
            <w:webHidden/>
          </w:rPr>
          <w:fldChar w:fldCharType="separate"/>
        </w:r>
        <w:r w:rsidR="00FF0F13" w:rsidRPr="00A74C83">
          <w:rPr>
            <w:noProof/>
            <w:webHidden/>
          </w:rPr>
          <w:t>19</w:t>
        </w:r>
        <w:r w:rsidR="00FF0F13" w:rsidRPr="00A74C83">
          <w:rPr>
            <w:noProof/>
            <w:webHidden/>
          </w:rPr>
          <w:fldChar w:fldCharType="end"/>
        </w:r>
      </w:hyperlink>
    </w:p>
    <w:p w14:paraId="57276905" w14:textId="6CCED895" w:rsidR="00DB19F5" w:rsidRPr="00A74C83" w:rsidRDefault="00DB19F5" w:rsidP="00DB19F5">
      <w:pPr>
        <w:rPr>
          <w:sz w:val="16"/>
        </w:rPr>
        <w:sectPr w:rsidR="00DB19F5" w:rsidRPr="00A74C83" w:rsidSect="00DB19F5">
          <w:footerReference w:type="default" r:id="rId17"/>
          <w:footerReference w:type="first" r:id="rId18"/>
          <w:pgSz w:w="11906" w:h="16838"/>
          <w:pgMar w:top="1466" w:right="1412" w:bottom="715" w:left="1310" w:header="720" w:footer="720" w:gutter="0"/>
          <w:pgNumType w:start="1"/>
          <w:cols w:space="720"/>
          <w:titlePg/>
          <w:docGrid w:linePitch="360"/>
        </w:sectPr>
      </w:pPr>
      <w:r w:rsidRPr="00A74C83">
        <w:rPr>
          <w:sz w:val="16"/>
        </w:rPr>
        <w:fldChar w:fldCharType="end"/>
      </w:r>
    </w:p>
    <w:p w14:paraId="62A83296" w14:textId="77777777" w:rsidR="000A7BDC" w:rsidRPr="00A74C83" w:rsidRDefault="000A7BDC" w:rsidP="00DB19F5">
      <w:pPr>
        <w:sectPr w:rsidR="000A7BDC" w:rsidRPr="00A74C83" w:rsidSect="000A7BDC">
          <w:footerReference w:type="default" r:id="rId19"/>
          <w:type w:val="continuous"/>
          <w:pgSz w:w="11906" w:h="16838"/>
          <w:pgMar w:top="1466" w:right="1412" w:bottom="715" w:left="1310" w:header="720" w:footer="720" w:gutter="0"/>
          <w:pgNumType w:start="0"/>
          <w:cols w:space="720"/>
          <w:titlePg/>
          <w:docGrid w:linePitch="360"/>
        </w:sectPr>
      </w:pPr>
      <w:bookmarkStart w:id="1" w:name="_Toc79415490"/>
    </w:p>
    <w:p w14:paraId="364D38C9" w14:textId="77777777" w:rsidR="00DB19F5" w:rsidRPr="00A74C83" w:rsidRDefault="00DB19F5" w:rsidP="00DB19F5">
      <w:pPr>
        <w:pStyle w:val="Article"/>
      </w:pPr>
      <w:bookmarkStart w:id="2" w:name="_Toc84500679"/>
      <w:bookmarkStart w:id="3" w:name="_Toc85720045"/>
      <w:bookmarkStart w:id="4" w:name="_Toc193296196"/>
      <w:r w:rsidRPr="00A74C83">
        <w:lastRenderedPageBreak/>
        <w:t xml:space="preserve">Article 1 : </w:t>
      </w:r>
      <w:bookmarkEnd w:id="2"/>
      <w:r w:rsidRPr="00A74C83">
        <w:t>Objet du marché</w:t>
      </w:r>
      <w:bookmarkEnd w:id="3"/>
      <w:bookmarkEnd w:id="4"/>
      <w:r w:rsidRPr="00A74C83">
        <w:tab/>
      </w:r>
    </w:p>
    <w:p w14:paraId="0B089668" w14:textId="77777777" w:rsidR="00FB598B" w:rsidRPr="00A74C83" w:rsidRDefault="00FB598B" w:rsidP="00FB598B">
      <w:bookmarkStart w:id="5" w:name="_Hlk143509541"/>
      <w:bookmarkStart w:id="6" w:name="_Hlk141107339"/>
      <w:bookmarkStart w:id="7" w:name="_Toc85720046"/>
      <w:r w:rsidRPr="00A74C83">
        <w:t>Le marché a pour objet les formations suivantes :</w:t>
      </w:r>
    </w:p>
    <w:p w14:paraId="10A68C8D" w14:textId="77777777" w:rsidR="00FB598B" w:rsidRPr="00A74C83" w:rsidRDefault="00FB598B" w:rsidP="00FB598B">
      <w:r w:rsidRPr="00A74C83">
        <w:t>a)</w:t>
      </w:r>
      <w:r w:rsidRPr="00A74C83">
        <w:tab/>
        <w:t>Formation recyclage des compétences des télépilotes de drones à INRAE (en conformité avec la réglementation européenne) afin d’obtenir le CATS pour tous les agents ayant le certificat drone actuel (attestation d’aptitude aux fonctions de télépilote ou le CATT) qui sera obsolète en décembre 2025.</w:t>
      </w:r>
    </w:p>
    <w:p w14:paraId="774BDD3B" w14:textId="77777777" w:rsidR="00FB598B" w:rsidRPr="00A74C83" w:rsidRDefault="00FB598B" w:rsidP="00FB598B">
      <w:r w:rsidRPr="00A74C83">
        <w:t>b)</w:t>
      </w:r>
      <w:r w:rsidRPr="00A74C83">
        <w:tab/>
        <w:t>Formation initiale des compétences des télépilotes de drones à INRAE.</w:t>
      </w:r>
    </w:p>
    <w:p w14:paraId="402AD9CA" w14:textId="77777777" w:rsidR="00FB598B" w:rsidRPr="00A74C83" w:rsidRDefault="00FB598B" w:rsidP="00FB598B">
      <w:r w:rsidRPr="00A74C83">
        <w:t>c)</w:t>
      </w:r>
      <w:r w:rsidRPr="00A74C83">
        <w:tab/>
        <w:t>Formation à l’OPEN A1 et A2.</w:t>
      </w:r>
    </w:p>
    <w:p w14:paraId="4B884ED6" w14:textId="7EC17FBB" w:rsidR="00DB19F5" w:rsidRPr="00A74C83" w:rsidRDefault="00FB598B" w:rsidP="00FB598B">
      <w:r w:rsidRPr="00A74C83">
        <w:t xml:space="preserve">Ces 3 formations doivent répondre aux exigences de la réglementation européenne pour les télépilotes de drones professionnels et être certifiées « Europe </w:t>
      </w:r>
      <w:proofErr w:type="gramStart"/>
      <w:r w:rsidRPr="00A74C83">
        <w:t>».</w:t>
      </w:r>
      <w:r w:rsidR="00DB19F5" w:rsidRPr="00A74C83">
        <w:t>.</w:t>
      </w:r>
      <w:bookmarkEnd w:id="5"/>
      <w:proofErr w:type="gramEnd"/>
    </w:p>
    <w:p w14:paraId="52A195BE" w14:textId="4658CA60" w:rsidR="005D5384" w:rsidRPr="00A74C83" w:rsidRDefault="005D5384" w:rsidP="00CA6660">
      <w:r w:rsidRPr="00A74C83">
        <w:t>Le détail du besoin est décrit dans le cahier des clauses techniques particulières.</w:t>
      </w:r>
    </w:p>
    <w:p w14:paraId="21AF023F" w14:textId="1D8EF690" w:rsidR="00DB19F5" w:rsidRPr="00A74C83" w:rsidRDefault="00DB19F5" w:rsidP="00DB19F5">
      <w:pPr>
        <w:pStyle w:val="Article"/>
      </w:pPr>
      <w:bookmarkStart w:id="8" w:name="_Toc193296197"/>
      <w:bookmarkEnd w:id="6"/>
      <w:r w:rsidRPr="00A74C83">
        <w:t>Article 2 : Allotissement</w:t>
      </w:r>
      <w:bookmarkEnd w:id="7"/>
      <w:bookmarkEnd w:id="8"/>
      <w:r w:rsidRPr="00A74C83">
        <w:tab/>
      </w:r>
    </w:p>
    <w:p w14:paraId="51F5DF43" w14:textId="6895B7F8" w:rsidR="00DB19F5" w:rsidRPr="00A74C83" w:rsidRDefault="00DB19F5" w:rsidP="00DB19F5">
      <w:r w:rsidRPr="00A74C83">
        <w:t>L’accord-cadre n’est pas alloti car</w:t>
      </w:r>
      <w:r w:rsidR="005D5384" w:rsidRPr="00A74C83">
        <w:t xml:space="preserve"> son objet ne permet </w:t>
      </w:r>
      <w:r w:rsidR="00FB598B" w:rsidRPr="00A74C83">
        <w:t xml:space="preserve">pas </w:t>
      </w:r>
      <w:r w:rsidR="005D5384" w:rsidRPr="00A74C83">
        <w:t xml:space="preserve">l’identification de prestations distinctes </w:t>
      </w:r>
      <w:bookmarkStart w:id="9" w:name="_Toc85720047"/>
      <w:r w:rsidR="005D5384" w:rsidRPr="00A74C83">
        <w:t>au sens de l’article L2113-10 du code de la commande publique.</w:t>
      </w:r>
    </w:p>
    <w:p w14:paraId="6082E5E7" w14:textId="77777777" w:rsidR="00DB19F5" w:rsidRPr="00A74C83" w:rsidRDefault="00DB19F5" w:rsidP="00DB19F5">
      <w:pPr>
        <w:pStyle w:val="Article"/>
      </w:pPr>
      <w:bookmarkStart w:id="10" w:name="_Toc193296198"/>
      <w:r w:rsidRPr="00A74C83">
        <w:t>Article 3 : Documents régissant le marché</w:t>
      </w:r>
      <w:bookmarkEnd w:id="9"/>
      <w:bookmarkEnd w:id="10"/>
      <w:r w:rsidRPr="00A74C83">
        <w:tab/>
      </w:r>
    </w:p>
    <w:p w14:paraId="18BAC396" w14:textId="77777777" w:rsidR="00DB19F5" w:rsidRPr="00A74C83" w:rsidRDefault="00DB19F5" w:rsidP="00DB19F5">
      <w:r w:rsidRPr="00A74C83">
        <w:t xml:space="preserve">L’accord-cadre est soumis aux dispositions du code de la commande publique. </w:t>
      </w:r>
    </w:p>
    <w:p w14:paraId="4FEDFDD9" w14:textId="62EEAE00" w:rsidR="00DB19F5" w:rsidRPr="00A74C83" w:rsidRDefault="00DB19F5" w:rsidP="00DB19F5">
      <w:r w:rsidRPr="00A74C83">
        <w:t>Il est constitué par les documents contractuels énumérés ci-dessous par ordre de priorité décroissante (par dérogation à l’article 4.1 du CCAG-</w:t>
      </w:r>
      <w:r w:rsidR="00FB598B" w:rsidRPr="00A74C83">
        <w:t>FCS</w:t>
      </w:r>
      <w:r w:rsidRPr="00A74C83">
        <w:t>) :</w:t>
      </w:r>
    </w:p>
    <w:p w14:paraId="78305C0C" w14:textId="1969524D" w:rsidR="00DB19F5" w:rsidRPr="00A74C83" w:rsidRDefault="00DB19F5" w:rsidP="00DB19F5">
      <w:pPr>
        <w:pStyle w:val="Paragraphedeliste"/>
        <w:numPr>
          <w:ilvl w:val="0"/>
          <w:numId w:val="1"/>
        </w:numPr>
        <w:rPr>
          <w:sz w:val="19"/>
          <w:szCs w:val="19"/>
        </w:rPr>
      </w:pPr>
      <w:r w:rsidRPr="00A74C83">
        <w:rPr>
          <w:sz w:val="19"/>
          <w:szCs w:val="19"/>
        </w:rPr>
        <w:t>L’Acte d’Engagement (</w:t>
      </w:r>
      <w:proofErr w:type="spellStart"/>
      <w:r w:rsidRPr="00A74C83">
        <w:rPr>
          <w:sz w:val="19"/>
          <w:szCs w:val="19"/>
        </w:rPr>
        <w:t>Attri</w:t>
      </w:r>
      <w:proofErr w:type="spellEnd"/>
      <w:r w:rsidRPr="00A74C83">
        <w:rPr>
          <w:sz w:val="19"/>
          <w:szCs w:val="19"/>
        </w:rPr>
        <w:t xml:space="preserve">), </w:t>
      </w:r>
    </w:p>
    <w:p w14:paraId="72483FFA" w14:textId="77777777" w:rsidR="00DB19F5" w:rsidRPr="00A74C83" w:rsidRDefault="00DB19F5" w:rsidP="00DB19F5">
      <w:pPr>
        <w:pStyle w:val="Paragraphedeliste"/>
        <w:numPr>
          <w:ilvl w:val="0"/>
          <w:numId w:val="1"/>
        </w:numPr>
        <w:rPr>
          <w:sz w:val="19"/>
          <w:szCs w:val="19"/>
        </w:rPr>
      </w:pPr>
      <w:r w:rsidRPr="00A74C83">
        <w:rPr>
          <w:sz w:val="19"/>
          <w:szCs w:val="19"/>
        </w:rPr>
        <w:t>Le présent Cahier des Clauses Administratives Particulières (CCAP) et son annexe 1 relative à la clause de lutte contre le décrochage scolaire,</w:t>
      </w:r>
    </w:p>
    <w:p w14:paraId="58CB5154" w14:textId="452C81E6" w:rsidR="00DB19F5" w:rsidRPr="00A74C83" w:rsidRDefault="00DB19F5" w:rsidP="00DB19F5">
      <w:pPr>
        <w:pStyle w:val="Paragraphedeliste"/>
        <w:numPr>
          <w:ilvl w:val="0"/>
          <w:numId w:val="1"/>
        </w:numPr>
        <w:rPr>
          <w:sz w:val="19"/>
          <w:szCs w:val="19"/>
        </w:rPr>
      </w:pPr>
      <w:r w:rsidRPr="00A74C83">
        <w:rPr>
          <w:sz w:val="19"/>
          <w:szCs w:val="19"/>
        </w:rPr>
        <w:t xml:space="preserve">Le Cahier des Clauses Techniques Particulières (CCTP), </w:t>
      </w:r>
    </w:p>
    <w:p w14:paraId="0AFBF8EF" w14:textId="1F614336" w:rsidR="00DB19F5" w:rsidRPr="00A74C83" w:rsidRDefault="00DB19F5" w:rsidP="00DB19F5">
      <w:pPr>
        <w:pStyle w:val="Paragraphedeliste"/>
        <w:numPr>
          <w:ilvl w:val="0"/>
          <w:numId w:val="1"/>
        </w:numPr>
        <w:rPr>
          <w:sz w:val="19"/>
          <w:szCs w:val="19"/>
        </w:rPr>
      </w:pPr>
      <w:r w:rsidRPr="00A74C83">
        <w:rPr>
          <w:sz w:val="19"/>
          <w:szCs w:val="19"/>
        </w:rPr>
        <w:t>Le bordereau des prix unitaires du marché (BPU),</w:t>
      </w:r>
    </w:p>
    <w:p w14:paraId="7F898E23" w14:textId="743A6237" w:rsidR="00DB19F5" w:rsidRPr="00A74C83" w:rsidRDefault="00DB19F5" w:rsidP="00DB19F5">
      <w:pPr>
        <w:pStyle w:val="Paragraphedeliste"/>
        <w:numPr>
          <w:ilvl w:val="0"/>
          <w:numId w:val="1"/>
        </w:numPr>
        <w:rPr>
          <w:sz w:val="19"/>
          <w:szCs w:val="19"/>
        </w:rPr>
      </w:pPr>
      <w:r w:rsidRPr="00A74C83">
        <w:rPr>
          <w:sz w:val="19"/>
          <w:szCs w:val="19"/>
        </w:rPr>
        <w:t>Les bons de commande comportant des spécifications particulières,</w:t>
      </w:r>
    </w:p>
    <w:p w14:paraId="5B1EC016" w14:textId="10968CC0" w:rsidR="00DB19F5" w:rsidRPr="00A74C83" w:rsidRDefault="00DB19F5" w:rsidP="00DB19F5">
      <w:pPr>
        <w:pStyle w:val="Paragraphedeliste"/>
        <w:numPr>
          <w:ilvl w:val="0"/>
          <w:numId w:val="1"/>
        </w:numPr>
        <w:rPr>
          <w:sz w:val="19"/>
          <w:szCs w:val="19"/>
        </w:rPr>
      </w:pPr>
      <w:r w:rsidRPr="00A74C83">
        <w:rPr>
          <w:sz w:val="19"/>
          <w:szCs w:val="19"/>
        </w:rPr>
        <w:t>Le Cahier des Clauses Administratives Générales</w:t>
      </w:r>
      <w:r w:rsidR="00F742B6" w:rsidRPr="00A74C83">
        <w:rPr>
          <w:sz w:val="19"/>
          <w:szCs w:val="19"/>
        </w:rPr>
        <w:t xml:space="preserve"> applicables aux marchés publics de Fournitures Courantes et Services issu de l'arrêté du 30 mars 2021</w:t>
      </w:r>
      <w:r w:rsidRPr="00A74C83">
        <w:rPr>
          <w:sz w:val="19"/>
          <w:szCs w:val="19"/>
        </w:rPr>
        <w:t xml:space="preserve">, </w:t>
      </w:r>
    </w:p>
    <w:p w14:paraId="561C1AA7" w14:textId="1096C7D1" w:rsidR="00DB19F5" w:rsidRPr="00A74C83" w:rsidRDefault="00DB19F5" w:rsidP="00DB19F5">
      <w:pPr>
        <w:pStyle w:val="Paragraphedeliste"/>
        <w:numPr>
          <w:ilvl w:val="0"/>
          <w:numId w:val="1"/>
        </w:numPr>
        <w:rPr>
          <w:sz w:val="19"/>
          <w:szCs w:val="19"/>
        </w:rPr>
      </w:pPr>
      <w:r w:rsidRPr="00A74C83">
        <w:rPr>
          <w:sz w:val="19"/>
          <w:szCs w:val="19"/>
        </w:rPr>
        <w:t>L’Offre technique du Titulaire comprenant notamment son mémoire technique</w:t>
      </w:r>
      <w:r w:rsidR="005D5384" w:rsidRPr="00A74C83">
        <w:rPr>
          <w:sz w:val="19"/>
          <w:szCs w:val="19"/>
        </w:rPr>
        <w:t xml:space="preserve"> </w:t>
      </w:r>
      <w:r w:rsidR="00F742B6" w:rsidRPr="00A74C83">
        <w:rPr>
          <w:sz w:val="19"/>
          <w:szCs w:val="19"/>
        </w:rPr>
        <w:t>et les profils types des formateurs</w:t>
      </w:r>
      <w:r w:rsidRPr="00A74C83">
        <w:rPr>
          <w:sz w:val="19"/>
          <w:szCs w:val="19"/>
        </w:rPr>
        <w:t xml:space="preserve">. </w:t>
      </w:r>
    </w:p>
    <w:p w14:paraId="5C11B9BB" w14:textId="77777777" w:rsidR="00383EB4" w:rsidRPr="00A74C83" w:rsidRDefault="00383EB4" w:rsidP="00383EB4">
      <w:pPr>
        <w:rPr>
          <w:sz w:val="2"/>
        </w:rPr>
      </w:pPr>
    </w:p>
    <w:p w14:paraId="0F374DB7" w14:textId="77777777" w:rsidR="00DB19F5" w:rsidRPr="00A74C83" w:rsidRDefault="00DB19F5" w:rsidP="00DB19F5">
      <w:r w:rsidRPr="00A74C83">
        <w:t>Toute clause portée dans l’offre du Titulaire et contraire aux documents du dossier de consultation des entreprises est réputée non écrite.</w:t>
      </w:r>
    </w:p>
    <w:p w14:paraId="57AD1F2D" w14:textId="404BA216" w:rsidR="00DB19F5" w:rsidRPr="00A74C83" w:rsidRDefault="00DB19F5" w:rsidP="00DB19F5">
      <w:pPr>
        <w:pStyle w:val="Article"/>
      </w:pPr>
      <w:bookmarkStart w:id="11" w:name="_Toc85720048"/>
      <w:bookmarkStart w:id="12" w:name="_Toc193296199"/>
      <w:r w:rsidRPr="00A74C83">
        <w:t>Article 4 : Forme du marché et</w:t>
      </w:r>
      <w:r w:rsidR="00117964" w:rsidRPr="00A74C83">
        <w:t xml:space="preserve"> </w:t>
      </w:r>
      <w:bookmarkEnd w:id="11"/>
      <w:r w:rsidR="00117964" w:rsidRPr="00A74C83">
        <w:t>exception d’exclusivité</w:t>
      </w:r>
      <w:bookmarkEnd w:id="12"/>
      <w:r w:rsidRPr="00A74C83">
        <w:tab/>
      </w:r>
    </w:p>
    <w:p w14:paraId="2791D5F2" w14:textId="0670D6A8" w:rsidR="00DB19F5" w:rsidRPr="00A74C83" w:rsidRDefault="00DB19F5" w:rsidP="00DB19F5">
      <w:r w:rsidRPr="00A74C83">
        <w:t>Le présent marché</w:t>
      </w:r>
      <w:r w:rsidR="00B31974" w:rsidRPr="00A74C83">
        <w:t xml:space="preserve"> est passé </w:t>
      </w:r>
      <w:r w:rsidR="00F555BE" w:rsidRPr="00A74C83">
        <w:t xml:space="preserve">après la mise en œuvre d’une procédure adaptée </w:t>
      </w:r>
      <w:r w:rsidR="00B31974" w:rsidRPr="00A74C83">
        <w:t xml:space="preserve">en application de l’article R2123-1 </w:t>
      </w:r>
      <w:r w:rsidR="00F555BE" w:rsidRPr="00A74C83">
        <w:t>§ 3°</w:t>
      </w:r>
      <w:r w:rsidR="00B31974" w:rsidRPr="00A74C83">
        <w:t>couvrant les marchés ayant pour objet des services spécifiques</w:t>
      </w:r>
      <w:r w:rsidR="00F555BE" w:rsidRPr="00A74C83">
        <w:t xml:space="preserve">. Il </w:t>
      </w:r>
      <w:r w:rsidRPr="00A74C83">
        <w:t>aboutit à la passation d’un accord-cadre mono-attributaire exécuté par bons de commande relatif aux articles R.2162-1 à 6 et R.2162-13 à 14 du code de la commande publique. Toutes les prestations du marché feront l’objet de bons de commande au fur et à mesure de la survenance des besoins.</w:t>
      </w:r>
    </w:p>
    <w:p w14:paraId="598CF677" w14:textId="411C292B" w:rsidR="00117964" w:rsidRPr="00A74C83" w:rsidRDefault="00117964" w:rsidP="00DB19F5">
      <w:r w:rsidRPr="00A74C83">
        <w:t>Les prestations du marché emportent une obligation de résultat. En cas de défaillance du titulaire ou d’incapacité à réaliser les prestations, l’exclusivité du titulaire tombe et les prestations concernées peuvent légitimement être commandées en dehors du présent marché, sans recours possible du titulaire.</w:t>
      </w:r>
      <w:r w:rsidR="00F1503F" w:rsidRPr="00A74C83">
        <w:t xml:space="preserve"> La défaillance du titulaire peut également entraîner la résiliation du marché pour faute tel que prévu à l’article 21 du présent CCAP.</w:t>
      </w:r>
    </w:p>
    <w:p w14:paraId="20C95B2A" w14:textId="77777777" w:rsidR="00DB19F5" w:rsidRPr="00A74C83" w:rsidRDefault="00DB19F5" w:rsidP="00DB19F5">
      <w:pPr>
        <w:pStyle w:val="Article"/>
      </w:pPr>
      <w:bookmarkStart w:id="13" w:name="_Toc85720049"/>
      <w:bookmarkStart w:id="14" w:name="_Toc193296200"/>
      <w:r w:rsidRPr="00A74C83">
        <w:lastRenderedPageBreak/>
        <w:t>Article 5 : Durée et montants du marché</w:t>
      </w:r>
      <w:bookmarkEnd w:id="13"/>
      <w:bookmarkEnd w:id="14"/>
      <w:r w:rsidRPr="00A74C83">
        <w:tab/>
      </w:r>
    </w:p>
    <w:p w14:paraId="67BB2136" w14:textId="77777777" w:rsidR="00DB19F5" w:rsidRPr="00A74C83" w:rsidRDefault="00DB19F5" w:rsidP="00DB19F5">
      <w:pPr>
        <w:pStyle w:val="Sousarticle"/>
      </w:pPr>
      <w:bookmarkStart w:id="15" w:name="_Toc193296201"/>
      <w:r w:rsidRPr="00A74C83">
        <w:t>Article 5.1 : Durée du marché</w:t>
      </w:r>
      <w:bookmarkEnd w:id="15"/>
      <w:r w:rsidRPr="00A74C83">
        <w:tab/>
      </w:r>
    </w:p>
    <w:p w14:paraId="10F61559" w14:textId="22FD7151" w:rsidR="00DB19F5" w:rsidRPr="00A74C83" w:rsidRDefault="00DB19F5" w:rsidP="00DB19F5">
      <w:r w:rsidRPr="00A74C83">
        <w:t xml:space="preserve">L’accord-cadre commence </w:t>
      </w:r>
      <w:r w:rsidR="00DE47C1" w:rsidRPr="00A74C83">
        <w:t>à s’exécuter à la date précisée par INRAE au moment de la notification du marché</w:t>
      </w:r>
      <w:r w:rsidR="00F1503F" w:rsidRPr="00A74C83">
        <w:t xml:space="preserve"> ou par défaut à la date de sa notification</w:t>
      </w:r>
      <w:r w:rsidR="00FB598B" w:rsidRPr="00A74C83">
        <w:t>.</w:t>
      </w:r>
      <w:r w:rsidR="00DE47C1" w:rsidRPr="00A74C83">
        <w:t xml:space="preserve"> Il prend fin à l’issue d’une durée </w:t>
      </w:r>
      <w:r w:rsidR="007E40E5">
        <w:t>d’un an ferme</w:t>
      </w:r>
      <w:bookmarkStart w:id="16" w:name="_GoBack"/>
      <w:bookmarkEnd w:id="16"/>
      <w:r w:rsidR="00DE47C1" w:rsidRPr="00A74C83">
        <w:t xml:space="preserve"> à compter du début d’exécution</w:t>
      </w:r>
      <w:r w:rsidR="004C22FA" w:rsidRPr="00A74C83">
        <w:t>, r</w:t>
      </w:r>
      <w:r w:rsidRPr="00A74C83">
        <w:t xml:space="preserve">econductible </w:t>
      </w:r>
      <w:r w:rsidR="00FB598B" w:rsidRPr="00A74C83">
        <w:t>trois</w:t>
      </w:r>
      <w:r w:rsidRPr="00A74C83">
        <w:t xml:space="preserve"> fois pour des périodes d’un an. </w:t>
      </w:r>
    </w:p>
    <w:p w14:paraId="4B9DAD0E" w14:textId="06A5403C" w:rsidR="00DB19F5" w:rsidRPr="00A74C83" w:rsidRDefault="00DB19F5" w:rsidP="00DB19F5">
      <w:r w:rsidRPr="00A74C83">
        <w:t xml:space="preserve">Dans l’hypothèse où </w:t>
      </w:r>
      <w:r w:rsidR="00673CC5" w:rsidRPr="00A74C83">
        <w:t>INRAE</w:t>
      </w:r>
      <w:r w:rsidRPr="00A74C83">
        <w:t xml:space="preserve"> ne reconduirait pas le marché, il en informe le titulaire trois mois avant la date de fin de la période du marché en cours d’exécution.</w:t>
      </w:r>
    </w:p>
    <w:p w14:paraId="7B04D4FD" w14:textId="77777777" w:rsidR="00DB19F5" w:rsidRPr="00A74C83" w:rsidRDefault="00DB19F5" w:rsidP="00DB19F5">
      <w:r w:rsidRPr="00A74C83">
        <w:t>Dans tous les cas, le titulaire reste engagé jusqu’à la fin de cette période.</w:t>
      </w:r>
    </w:p>
    <w:p w14:paraId="036BE520" w14:textId="77777777" w:rsidR="00DB19F5" w:rsidRPr="00A74C83" w:rsidRDefault="00DB19F5" w:rsidP="00DB19F5">
      <w:pPr>
        <w:pStyle w:val="Sousarticle"/>
      </w:pPr>
      <w:bookmarkStart w:id="17" w:name="_Toc193296202"/>
      <w:bookmarkStart w:id="18" w:name="_Toc85720050"/>
      <w:r w:rsidRPr="00A74C83">
        <w:t>Action 5.2 : Montants du marché</w:t>
      </w:r>
      <w:bookmarkEnd w:id="17"/>
      <w:r w:rsidRPr="00A74C83">
        <w:tab/>
      </w:r>
    </w:p>
    <w:p w14:paraId="5D41AFCD" w14:textId="1625B363" w:rsidR="00DB19F5" w:rsidRPr="00A74C83" w:rsidRDefault="00DB19F5" w:rsidP="00DB19F5">
      <w:r w:rsidRPr="00A74C83">
        <w:t xml:space="preserve">Le marché ne comporte pas de montant minimum. Le montant estimatif sur la durée maximale du marché est de </w:t>
      </w:r>
      <w:r w:rsidR="00F742B6" w:rsidRPr="00A74C83">
        <w:t>400 000</w:t>
      </w:r>
      <w:r w:rsidRPr="00A74C83">
        <w:t xml:space="preserve"> €HT. Le montant du marché sur sa durée ne saurait excéder </w:t>
      </w:r>
      <w:r w:rsidR="00F742B6" w:rsidRPr="00A74C83">
        <w:t>1 600</w:t>
      </w:r>
      <w:r w:rsidRPr="00A74C83">
        <w:t xml:space="preserve"> 000 €HT.</w:t>
      </w:r>
    </w:p>
    <w:p w14:paraId="3C0227A3" w14:textId="77777777" w:rsidR="00DB19F5" w:rsidRPr="00A74C83" w:rsidRDefault="00DB19F5" w:rsidP="00DB19F5">
      <w:pPr>
        <w:pStyle w:val="Article"/>
      </w:pPr>
      <w:bookmarkStart w:id="19" w:name="_Toc193296203"/>
      <w:r w:rsidRPr="00A74C83">
        <w:t>Article 6 : Délais d’exécution</w:t>
      </w:r>
      <w:bookmarkEnd w:id="18"/>
      <w:bookmarkEnd w:id="19"/>
      <w:r w:rsidRPr="00A74C83">
        <w:tab/>
      </w:r>
    </w:p>
    <w:p w14:paraId="39B75BBA" w14:textId="5FA16216" w:rsidR="00DB19F5" w:rsidRPr="00A74C83" w:rsidRDefault="00DB19F5" w:rsidP="00DB19F5">
      <w:r w:rsidRPr="00A74C83">
        <w:t>Toute notification de l’accord-cadre, d’un bon de commande ou de toute autre décision d’INRAE est effective à compter de la date de son accusé de réception</w:t>
      </w:r>
      <w:r w:rsidR="00F1503F" w:rsidRPr="00A74C83">
        <w:t xml:space="preserve"> </w:t>
      </w:r>
      <w:r w:rsidRPr="00A74C83">
        <w:t xml:space="preserve">et par </w:t>
      </w:r>
      <w:r w:rsidR="00F1503F" w:rsidRPr="00A74C83">
        <w:t xml:space="preserve">à l’issue </w:t>
      </w:r>
      <w:r w:rsidRPr="00A74C83">
        <w:t>d’un délai de 5 jours calendaires à compter de son envoi.</w:t>
      </w:r>
    </w:p>
    <w:p w14:paraId="4A46BB4C" w14:textId="4D3CE0CD" w:rsidR="00DB19F5" w:rsidRPr="00A74C83" w:rsidRDefault="00DB19F5" w:rsidP="00DB19F5">
      <w:r w:rsidRPr="00A74C83">
        <w:t>Les délais d’exécution figurent dans le CCTP de l’accord-cadre</w:t>
      </w:r>
      <w:r w:rsidR="00F1503F" w:rsidRPr="00A74C83">
        <w:t>,</w:t>
      </w:r>
      <w:r w:rsidRPr="00A74C83">
        <w:t xml:space="preserve"> à défaut</w:t>
      </w:r>
      <w:r w:rsidR="00F1503F" w:rsidRPr="00A74C83">
        <w:t>,</w:t>
      </w:r>
      <w:r w:rsidRPr="00A74C83">
        <w:t xml:space="preserve"> dans l’offre du titulaire ou dans les bons de commande d’exécution. </w:t>
      </w:r>
    </w:p>
    <w:p w14:paraId="168C2C74" w14:textId="77777777" w:rsidR="00DB19F5" w:rsidRPr="00A74C83" w:rsidRDefault="00DB19F5" w:rsidP="00DB19F5">
      <w:pPr>
        <w:pStyle w:val="Article"/>
      </w:pPr>
      <w:bookmarkStart w:id="20" w:name="_Toc85720051"/>
      <w:bookmarkStart w:id="21" w:name="_Toc193296204"/>
      <w:r w:rsidRPr="00A74C83">
        <w:t>Article 7 : Obligations du titulaire</w:t>
      </w:r>
      <w:bookmarkEnd w:id="20"/>
      <w:bookmarkEnd w:id="21"/>
      <w:r w:rsidRPr="00A74C83">
        <w:tab/>
      </w:r>
    </w:p>
    <w:p w14:paraId="1A920974" w14:textId="77777777" w:rsidR="00DB19F5" w:rsidRPr="00A74C83" w:rsidRDefault="00DB19F5" w:rsidP="00DB19F5">
      <w:pPr>
        <w:pStyle w:val="Sousarticle"/>
      </w:pPr>
      <w:bookmarkStart w:id="22" w:name="_Toc85720052"/>
      <w:bookmarkStart w:id="23" w:name="_Toc193296205"/>
      <w:r w:rsidRPr="00A74C83">
        <w:t>Article 7.1 : Conditions générales</w:t>
      </w:r>
      <w:bookmarkEnd w:id="22"/>
      <w:bookmarkEnd w:id="23"/>
      <w:r w:rsidRPr="00A74C83">
        <w:tab/>
      </w:r>
    </w:p>
    <w:p w14:paraId="6F815A2A" w14:textId="77777777" w:rsidR="00DB19F5" w:rsidRPr="00A74C83" w:rsidRDefault="00DB19F5" w:rsidP="00DB19F5">
      <w:r w:rsidRPr="00A74C83">
        <w:t>Le Titulaire est réputé connaître et maîtriser les techniques nécessaires à l’exécution des prestations objet du présent marché.</w:t>
      </w:r>
    </w:p>
    <w:p w14:paraId="506CF1D8" w14:textId="77777777" w:rsidR="00DB19F5" w:rsidRPr="00A74C83" w:rsidRDefault="00DB19F5" w:rsidP="00DB19F5">
      <w:r w:rsidRPr="00A74C83">
        <w:t>Le Titulaire s’engage à prendre les moyens nécessaires pour assurer la sécurité des biens et des personnes.</w:t>
      </w:r>
    </w:p>
    <w:p w14:paraId="7E86DD95" w14:textId="77777777" w:rsidR="00DB19F5" w:rsidRPr="00A74C83" w:rsidRDefault="00DB19F5" w:rsidP="00DB19F5">
      <w:r w:rsidRPr="00A74C83">
        <w:t xml:space="preserve">Le Titulaire est astreint, pour l’ensemble des prestations découlant de l’accord-cadre à une obligation de résultats sur les prestations attendues décrites dans le CCTP de l’accord-cadre et les bons de commande. </w:t>
      </w:r>
    </w:p>
    <w:p w14:paraId="16EF8F79" w14:textId="77777777" w:rsidR="00DB19F5" w:rsidRPr="00A74C83" w:rsidRDefault="00DB19F5" w:rsidP="00DB19F5">
      <w:r w:rsidRPr="00A74C83">
        <w:t>Dans tous les cas, le Titulaire s’engage, dans la réalisation de ses prestations, à mener les actions concourant au respect :</w:t>
      </w:r>
    </w:p>
    <w:p w14:paraId="7F5FCF9F" w14:textId="77777777" w:rsidR="00DB19F5" w:rsidRPr="00A74C83" w:rsidRDefault="00DB19F5" w:rsidP="00DE47C1">
      <w:pPr>
        <w:pStyle w:val="Paragraphedeliste"/>
        <w:numPr>
          <w:ilvl w:val="0"/>
          <w:numId w:val="23"/>
        </w:numPr>
        <w:rPr>
          <w:sz w:val="18"/>
          <w:szCs w:val="18"/>
        </w:rPr>
      </w:pPr>
      <w:r w:rsidRPr="00A74C83">
        <w:rPr>
          <w:rFonts w:eastAsiaTheme="minorHAnsi"/>
          <w:color w:val="auto"/>
          <w:sz w:val="19"/>
          <w:szCs w:val="19"/>
        </w:rPr>
        <w:t>De la qualité et de la complétude des prestations précisées dans son offre et les engagements annexés aux bons de commande</w:t>
      </w:r>
      <w:r w:rsidRPr="00A74C83">
        <w:rPr>
          <w:sz w:val="18"/>
          <w:szCs w:val="18"/>
        </w:rPr>
        <w:t xml:space="preserve"> ;</w:t>
      </w:r>
    </w:p>
    <w:p w14:paraId="19AD0F95" w14:textId="0ADC2485" w:rsidR="00DB19F5" w:rsidRPr="00A74C83" w:rsidRDefault="00DB19F5" w:rsidP="00DE47C1">
      <w:pPr>
        <w:pStyle w:val="Paragraphedeliste"/>
        <w:numPr>
          <w:ilvl w:val="0"/>
          <w:numId w:val="23"/>
        </w:numPr>
        <w:rPr>
          <w:sz w:val="18"/>
          <w:szCs w:val="18"/>
        </w:rPr>
      </w:pPr>
      <w:r w:rsidRPr="00A74C83">
        <w:rPr>
          <w:rFonts w:eastAsiaTheme="minorHAnsi"/>
          <w:color w:val="auto"/>
          <w:sz w:val="19"/>
          <w:szCs w:val="19"/>
        </w:rPr>
        <w:t xml:space="preserve">Des délais convenus, tels que prévus au CCTP, ainsi que dans l’offre </w:t>
      </w:r>
      <w:r w:rsidR="003B7114" w:rsidRPr="00A74C83">
        <w:rPr>
          <w:rFonts w:eastAsiaTheme="minorHAnsi"/>
          <w:color w:val="auto"/>
          <w:sz w:val="19"/>
          <w:szCs w:val="19"/>
        </w:rPr>
        <w:t>du titulaire</w:t>
      </w:r>
      <w:r w:rsidRPr="00A74C83">
        <w:rPr>
          <w:rFonts w:eastAsiaTheme="minorHAnsi"/>
          <w:color w:val="auto"/>
          <w:sz w:val="19"/>
          <w:szCs w:val="19"/>
        </w:rPr>
        <w:t xml:space="preserve"> et dans les bons de commande lorsque ces documents en comprennent</w:t>
      </w:r>
      <w:r w:rsidRPr="00A74C83">
        <w:rPr>
          <w:sz w:val="18"/>
          <w:szCs w:val="18"/>
        </w:rPr>
        <w:t xml:space="preserve">. </w:t>
      </w:r>
    </w:p>
    <w:p w14:paraId="1F3B94AF" w14:textId="3028AE58" w:rsidR="00DB19F5" w:rsidRPr="00A74C83" w:rsidRDefault="00DB19F5" w:rsidP="002316C0">
      <w:pPr>
        <w:pStyle w:val="Paragraphedeliste"/>
        <w:numPr>
          <w:ilvl w:val="0"/>
          <w:numId w:val="23"/>
        </w:numPr>
        <w:rPr>
          <w:sz w:val="18"/>
          <w:szCs w:val="18"/>
        </w:rPr>
      </w:pPr>
      <w:r w:rsidRPr="00A74C83">
        <w:rPr>
          <w:rFonts w:eastAsiaTheme="minorHAnsi"/>
          <w:color w:val="auto"/>
          <w:sz w:val="19"/>
          <w:szCs w:val="19"/>
        </w:rPr>
        <w:t>Des engagements financiers pris dans son offre et dans les devis annexés aux bons de commande</w:t>
      </w:r>
      <w:r w:rsidRPr="00A74C83">
        <w:rPr>
          <w:sz w:val="18"/>
          <w:szCs w:val="18"/>
        </w:rPr>
        <w:t xml:space="preserve">. </w:t>
      </w:r>
    </w:p>
    <w:p w14:paraId="23B53552" w14:textId="77777777" w:rsidR="002316C0" w:rsidRPr="00A74C83" w:rsidRDefault="002316C0" w:rsidP="00DE47C1">
      <w:pPr>
        <w:pStyle w:val="Paragraphedeliste"/>
        <w:rPr>
          <w:sz w:val="18"/>
          <w:szCs w:val="18"/>
        </w:rPr>
      </w:pPr>
    </w:p>
    <w:p w14:paraId="4BC3B0FA" w14:textId="77777777" w:rsidR="00DB19F5" w:rsidRPr="00A74C83" w:rsidRDefault="00DB19F5" w:rsidP="00DB19F5">
      <w:r w:rsidRPr="00A74C83">
        <w:t>Le Titulaire est astreint, pour l’ensemble des prestations découlant du marché, à une obligation de diligence, de conseil et de service.</w:t>
      </w:r>
    </w:p>
    <w:p w14:paraId="2D693186" w14:textId="5BAD9BFA" w:rsidR="00DB19F5" w:rsidRPr="00A74C83" w:rsidRDefault="00DB19F5" w:rsidP="00DB19F5">
      <w:r w:rsidRPr="00A74C83">
        <w:t>Le Titulaire s’oblige à exécuter ses prestations dans le respect des règles de l’art.</w:t>
      </w:r>
    </w:p>
    <w:p w14:paraId="2E45A9A0" w14:textId="418936DE" w:rsidR="0001118D" w:rsidRPr="00A74C83" w:rsidRDefault="0001118D" w:rsidP="00DB19F5"/>
    <w:p w14:paraId="616EA3F4" w14:textId="4F020CDE" w:rsidR="0001118D" w:rsidRPr="00A74C83" w:rsidRDefault="0001118D" w:rsidP="0001118D">
      <w:pPr>
        <w:pStyle w:val="Sousarticle"/>
      </w:pPr>
      <w:bookmarkStart w:id="24" w:name="_Toc193296206"/>
      <w:bookmarkStart w:id="25" w:name="_Toc85720053"/>
      <w:r w:rsidRPr="00A74C83">
        <w:t>Article 7.2 : Langue</w:t>
      </w:r>
      <w:bookmarkEnd w:id="24"/>
      <w:r w:rsidRPr="00A74C83">
        <w:tab/>
      </w:r>
    </w:p>
    <w:p w14:paraId="793630C3" w14:textId="77777777" w:rsidR="0001118D" w:rsidRPr="00A74C83" w:rsidRDefault="0001118D" w:rsidP="0001118D">
      <w:r w:rsidRPr="00A74C83">
        <w:t>Les correspondances, réunions et discussions relatives à l’exécution du marché se déroulent en langue française.</w:t>
      </w:r>
    </w:p>
    <w:p w14:paraId="2EF997A9" w14:textId="700F4EBF" w:rsidR="0001118D" w:rsidRPr="00A74C83" w:rsidRDefault="0001118D" w:rsidP="0001118D">
      <w:r w:rsidRPr="00A74C83">
        <w:t>Le français sera également la langue d’exécution du marché. Les personnes qui dans le cadre de ce marché seront en contact avec INRAE devront avoir une parfaite maitrise de la langue française.</w:t>
      </w:r>
    </w:p>
    <w:p w14:paraId="383BFABF" w14:textId="08395B26" w:rsidR="0001118D" w:rsidRPr="00A74C83" w:rsidRDefault="0001118D" w:rsidP="0001118D">
      <w:r w:rsidRPr="00A74C83">
        <w:lastRenderedPageBreak/>
        <w:t xml:space="preserve">Dans l'hypothèse où le titulaire étranger produit un document d’exécution constituant, accompagnant ou émanant d'une administration de son pays d'origine, ce document devra être accompagné d'une traduction en langue française dont le </w:t>
      </w:r>
      <w:r w:rsidR="007015E3" w:rsidRPr="00A74C83">
        <w:t>titulaire</w:t>
      </w:r>
      <w:r w:rsidRPr="00A74C83">
        <w:t xml:space="preserve"> est réputé attester de l'exactitude et de la conformité avec l'original.</w:t>
      </w:r>
    </w:p>
    <w:p w14:paraId="379DBF31" w14:textId="38243BC5" w:rsidR="00DB19F5" w:rsidRPr="00A74C83" w:rsidRDefault="00DB19F5" w:rsidP="00DB19F5">
      <w:pPr>
        <w:pStyle w:val="Sousarticle"/>
      </w:pPr>
      <w:bookmarkStart w:id="26" w:name="_Toc193296207"/>
      <w:r w:rsidRPr="00A74C83">
        <w:t>Article 7.</w:t>
      </w:r>
      <w:r w:rsidR="0051467B" w:rsidRPr="00A74C83">
        <w:t>3</w:t>
      </w:r>
      <w:r w:rsidRPr="00A74C83">
        <w:t> : Secret professionnel et obligation de discrétion</w:t>
      </w:r>
      <w:bookmarkEnd w:id="25"/>
      <w:bookmarkEnd w:id="26"/>
      <w:r w:rsidRPr="00A74C83">
        <w:tab/>
      </w:r>
    </w:p>
    <w:p w14:paraId="39BC88A7" w14:textId="60B29CCF" w:rsidR="00DB19F5" w:rsidRPr="00A74C83" w:rsidRDefault="00DB19F5" w:rsidP="00DB19F5">
      <w:bookmarkStart w:id="27" w:name="_Toc85720054"/>
      <w:r w:rsidRPr="00A74C83">
        <w:t xml:space="preserve">Le Titulaire est tenu, ainsi que l’ensemble de son personnel et, le cas échéant, de ses sous-traitants, cotraitants, fournisseurs, filiales et mandataires, au secret professionnel et à l’obligation de discrétion pour tout ce qui concerne les données, études, programmes, décisions et autres informations, dont il aura connaissance au titre de l’exécution </w:t>
      </w:r>
      <w:r w:rsidR="004C4B9F" w:rsidRPr="00A74C83">
        <w:t>du marché</w:t>
      </w:r>
      <w:r w:rsidRPr="00A74C83">
        <w:t>, à l’exclusion de ceux de ces éléments tombés dans le domaine public.</w:t>
      </w:r>
    </w:p>
    <w:p w14:paraId="10D33DF2" w14:textId="77777777" w:rsidR="00DB19F5" w:rsidRPr="00A74C83" w:rsidRDefault="00DB19F5" w:rsidP="00DB19F5">
      <w:r w:rsidRPr="00A74C83">
        <w:t>Il s’interdit toute communication écrite ou verbale sur ces sujets et toute remise de documents, sur quelque support que ce soit, à des tiers sans l’accord préalable exprès d’INRAE.</w:t>
      </w:r>
    </w:p>
    <w:p w14:paraId="12FC2723" w14:textId="77777777" w:rsidR="00DB19F5" w:rsidRPr="00A74C83" w:rsidRDefault="00DB19F5" w:rsidP="00DB19F5">
      <w:r w:rsidRPr="00A74C83">
        <w:t>Le Titulaire ne peut se prévaloir de la référence « INRAE » à des fins commerciales pour présenter une offre de service à d’autres clients qu’avec l’autorisation écrite d’INRAE.</w:t>
      </w:r>
    </w:p>
    <w:p w14:paraId="6E76225C" w14:textId="1C5A206E" w:rsidR="00DB19F5" w:rsidRPr="00A74C83" w:rsidRDefault="00DB19F5" w:rsidP="00DB19F5">
      <w:pPr>
        <w:pStyle w:val="Sousarticle"/>
      </w:pPr>
      <w:bookmarkStart w:id="28" w:name="_Toc193296208"/>
      <w:r w:rsidRPr="00A74C83">
        <w:t>Article 7.</w:t>
      </w:r>
      <w:r w:rsidR="0051467B" w:rsidRPr="00A74C83">
        <w:t>4</w:t>
      </w:r>
      <w:r w:rsidRPr="00A74C83">
        <w:t> : Sécurité et transfert des données</w:t>
      </w:r>
      <w:bookmarkEnd w:id="27"/>
      <w:bookmarkEnd w:id="28"/>
      <w:r w:rsidRPr="00A74C83">
        <w:tab/>
      </w:r>
    </w:p>
    <w:p w14:paraId="4511098D" w14:textId="77777777" w:rsidR="00DB19F5" w:rsidRPr="00A74C83" w:rsidRDefault="00DB19F5" w:rsidP="00DB19F5">
      <w:r w:rsidRPr="00A74C83">
        <w:t xml:space="preserve">Les dispositions du règlement européen n°2016/679 relatif à la protection des personnes physiques à l'égard du traitement des données à caractère personnel et à la libre circulation de ces données, en matière de transferts de données vers des pays n’appartenant pas à l’Union Européenne vise à éviter un contournement de la protection accordée dans ces pays par un transfert. Pour le cas où l’exécution du marché nécessite le transfert de données à caractère personnel, le Titulaire garantit pendant toute la durée du marché, que les lieux de stockage de ces données, à titre principal ou de sauvegarde et/ou de secours, sont physiquement installés dans des États reconnus par la Commission Européenne comme assurant un niveau adéquat ou équivalent de protection des données, dont la liste figure sur le site de la CNIL au lien suivant : </w:t>
      </w:r>
      <w:hyperlink r:id="rId20" w:tooltip="https://www.cnil.fr/fr/la-protection-des-donnees-dans-le-monde" w:history="1">
        <w:r w:rsidRPr="00A74C83">
          <w:rPr>
            <w:color w:val="0563C1"/>
            <w:u w:val="single"/>
          </w:rPr>
          <w:t>https://www.cnil.fr/fr/la-protection-des-donnees-dans-le-monde</w:t>
        </w:r>
      </w:hyperlink>
      <w:r w:rsidRPr="00A74C83">
        <w:t>.</w:t>
      </w:r>
    </w:p>
    <w:p w14:paraId="39A82FE1" w14:textId="5751F284" w:rsidR="00DB19F5" w:rsidRPr="00A74C83" w:rsidRDefault="00DB19F5" w:rsidP="00DB19F5">
      <w:r w:rsidRPr="00A74C83">
        <w:t>A cet effet, le Titulaire doit communiquer à tout moment</w:t>
      </w:r>
      <w:r w:rsidR="008A7680" w:rsidRPr="00A74C83">
        <w:t>,</w:t>
      </w:r>
      <w:r w:rsidRPr="00A74C83">
        <w:t xml:space="preserve"> sur sollicitation d</w:t>
      </w:r>
      <w:r w:rsidR="00673CC5" w:rsidRPr="00A74C83">
        <w:t>’INRAE</w:t>
      </w:r>
      <w:r w:rsidRPr="00A74C83">
        <w:t xml:space="preserve"> durant l’exécution du marché, la liste de tous les lieux de stockage (site d’hébergement principal, site(s) de secours, etc.) </w:t>
      </w:r>
      <w:proofErr w:type="gramStart"/>
      <w:r w:rsidRPr="00A74C83">
        <w:t>des données le cas échéant transférées</w:t>
      </w:r>
      <w:proofErr w:type="gramEnd"/>
      <w:r w:rsidRPr="00A74C83">
        <w:t xml:space="preserve">. </w:t>
      </w:r>
      <w:r w:rsidR="00673CC5" w:rsidRPr="00A74C83">
        <w:t>INRAE</w:t>
      </w:r>
      <w:r w:rsidRPr="00A74C83">
        <w:t xml:space="preserve"> se réserve le droit de contrôler ou faire contrôler à ses frais la réalité des lieux de stockage. L’incapacité du Titulaire à fournir le lieu effectif de stockage des données à caractère personnel transférées est un cas de résiliation du marché pour faute du Titulaire.</w:t>
      </w:r>
    </w:p>
    <w:p w14:paraId="0441936C" w14:textId="5E886BBE" w:rsidR="00DB19F5" w:rsidRPr="00A74C83" w:rsidRDefault="00DB19F5" w:rsidP="00DB19F5">
      <w:r w:rsidRPr="00A74C83">
        <w:t>L’ensemble des sous-traitants du Titulaire sont soumis aux mêmes obligations que ce dernier en matière de protection des données à caractère personnel et autres données confidentielles et protégées dans le cadre de l’exécution du présent marché</w:t>
      </w:r>
      <w:r w:rsidR="00EB2258" w:rsidRPr="00A74C83">
        <w:t>.</w:t>
      </w:r>
    </w:p>
    <w:p w14:paraId="1DA1A813" w14:textId="3E75F9EA" w:rsidR="00DB19F5" w:rsidRPr="00A74C83" w:rsidRDefault="00DB19F5" w:rsidP="00DB19F5">
      <w:pPr>
        <w:pStyle w:val="Article"/>
      </w:pPr>
      <w:bookmarkStart w:id="29" w:name="_Toc85720055"/>
      <w:bookmarkStart w:id="30" w:name="_Toc193296209"/>
      <w:r w:rsidRPr="00A74C83">
        <w:t xml:space="preserve">Article 8 : Engagements </w:t>
      </w:r>
      <w:bookmarkEnd w:id="29"/>
      <w:r w:rsidR="00673CC5" w:rsidRPr="00A74C83">
        <w:t>d’INRAE</w:t>
      </w:r>
      <w:bookmarkEnd w:id="30"/>
      <w:r w:rsidRPr="00A74C83">
        <w:tab/>
      </w:r>
    </w:p>
    <w:p w14:paraId="5DB9A922" w14:textId="64E96B91" w:rsidR="00DB19F5" w:rsidRPr="00A74C83" w:rsidRDefault="00673CC5" w:rsidP="00DB19F5">
      <w:r w:rsidRPr="00A74C83">
        <w:t>INRAE</w:t>
      </w:r>
      <w:r w:rsidR="00DB19F5" w:rsidRPr="00A74C83">
        <w:t xml:space="preserve"> s’engage à fournir au Titulaire, pour la réalisation des prestations qui lui sont confiées, toutes les informations et données dont il dispose et qui sont nécessaires à la bonne exécution du marché dans le strict respect des conditions de confidentialité requises.</w:t>
      </w:r>
    </w:p>
    <w:p w14:paraId="369A5B16" w14:textId="77777777" w:rsidR="00DB19F5" w:rsidRPr="00A74C83" w:rsidRDefault="00DB19F5" w:rsidP="00DB19F5">
      <w:pPr>
        <w:pStyle w:val="Article"/>
      </w:pPr>
      <w:bookmarkStart w:id="31" w:name="_Toc85720056"/>
      <w:bookmarkStart w:id="32" w:name="_Toc193296210"/>
      <w:r w:rsidRPr="00A74C83">
        <w:t>Article 9 : Responsabilité du titulaire sur les équipes</w:t>
      </w:r>
      <w:bookmarkEnd w:id="31"/>
      <w:bookmarkEnd w:id="32"/>
      <w:r w:rsidRPr="00A74C83">
        <w:tab/>
      </w:r>
    </w:p>
    <w:p w14:paraId="5AA53DBF" w14:textId="5B97BF2C" w:rsidR="00DB19F5" w:rsidRPr="00A74C83" w:rsidRDefault="00DB19F5" w:rsidP="00DB19F5">
      <w:r w:rsidRPr="00A74C83">
        <w:t>Le Titulaire s'engage à affecter des intervenants ayant une connaissance éprouvée du type de mission et technologies ou outils objet de l’accord-cadre. Le Titulaire assume seul l'entière responsabilité quant à la définition du profil et à la désignation des intervenants. Le personnel devra avoir le niveau de qualification requis</w:t>
      </w:r>
      <w:r w:rsidR="00EB2258" w:rsidRPr="00A74C83">
        <w:t xml:space="preserve"> et engagé par son offre</w:t>
      </w:r>
      <w:r w:rsidRPr="00A74C83">
        <w:t xml:space="preserve">. </w:t>
      </w:r>
    </w:p>
    <w:p w14:paraId="103EB1AA" w14:textId="329A4FFC" w:rsidR="00DB19F5" w:rsidRPr="00A74C83" w:rsidRDefault="00DB19F5" w:rsidP="00DB19F5">
      <w:r w:rsidRPr="00A74C83">
        <w:t xml:space="preserve">Le Titulaire s'engage à mettre à disposition tous les profils nécessaires à l'exécution des prestations attendues au titre </w:t>
      </w:r>
      <w:r w:rsidR="008A7680" w:rsidRPr="00A74C83">
        <w:t>du marché</w:t>
      </w:r>
      <w:r w:rsidRPr="00A74C83">
        <w:t>.</w:t>
      </w:r>
    </w:p>
    <w:p w14:paraId="5032821A" w14:textId="28F36B0C" w:rsidR="00DB19F5" w:rsidRPr="00A74C83" w:rsidRDefault="00DB19F5" w:rsidP="00DB19F5">
      <w:r w:rsidRPr="00A74C83">
        <w:t xml:space="preserve">Le Titulaire reste entièrement responsable des personnels qu’il affecte à l’exécution des prestations </w:t>
      </w:r>
      <w:r w:rsidR="008A7680" w:rsidRPr="00A74C83">
        <w:t>du marché</w:t>
      </w:r>
      <w:r w:rsidRPr="00A74C83">
        <w:t>.</w:t>
      </w:r>
    </w:p>
    <w:p w14:paraId="3CB5F3E4" w14:textId="77777777" w:rsidR="00DB19F5" w:rsidRPr="00A74C83" w:rsidRDefault="00DB19F5" w:rsidP="00DB19F5">
      <w:pPr>
        <w:pStyle w:val="Article"/>
      </w:pPr>
      <w:bookmarkStart w:id="33" w:name="_Toc193296211"/>
      <w:r w:rsidRPr="00A74C83">
        <w:lastRenderedPageBreak/>
        <w:t>Article 10 : Clause sociale – Action de formation sous statut scolaire au bénéfice de jeunes en situation de décrochage scolaire</w:t>
      </w:r>
      <w:bookmarkEnd w:id="33"/>
      <w:r w:rsidRPr="00A74C83">
        <w:tab/>
      </w:r>
    </w:p>
    <w:p w14:paraId="2B5A4081" w14:textId="5C1AEC99" w:rsidR="00DB19F5" w:rsidRPr="00A74C83" w:rsidRDefault="00DB19F5" w:rsidP="00DB19F5">
      <w:r w:rsidRPr="00A74C83">
        <w:t xml:space="preserve">Le titulaire </w:t>
      </w:r>
      <w:r w:rsidR="00032995">
        <w:t xml:space="preserve">qui se voit attribuer le marché </w:t>
      </w:r>
      <w:r w:rsidRPr="00A74C83">
        <w:t>s’engage à réaliser une action de formation d’un ou plusieurs jeunes en situation de décrochage scolaire</w:t>
      </w:r>
      <w:r w:rsidR="00032995">
        <w:t xml:space="preserve"> pendant la durée d’exécution du marché</w:t>
      </w:r>
      <w:r w:rsidRPr="00A74C83">
        <w:t>.</w:t>
      </w:r>
    </w:p>
    <w:p w14:paraId="40696410" w14:textId="77777777" w:rsidR="00DB19F5" w:rsidRPr="00A74C83" w:rsidRDefault="00DB19F5" w:rsidP="00DB19F5">
      <w:r w:rsidRPr="00A74C83">
        <w:t>Il s’agit de jeunes entre 16 et 25 ans, d’un niveau de qualification inférieur à celui mentionné à l'article L. 313-7 du code de l'éducation, tel que modifié par le décret n° 2010-1781 du 31 décembre 2010.</w:t>
      </w:r>
    </w:p>
    <w:p w14:paraId="2630936E" w14:textId="77777777" w:rsidR="00DB19F5" w:rsidRPr="00A74C83" w:rsidRDefault="00DB19F5" w:rsidP="00DB19F5">
      <w:r w:rsidRPr="00A74C83">
        <w:t>Cette action de remobilisation est suivie par la Mission de Lutte contre le Décrochage Scolaire (MLDS) du ministère chargé de l’Éducation nationale. En cas de réalisation en dehors du territoire national, cette action est mise en œuvre par tout dispositif équivalent, impliquant des personnels éducatifs engagés dans la lutte contre le décrochage scolaire.</w:t>
      </w:r>
    </w:p>
    <w:p w14:paraId="30949FBB" w14:textId="41F5152C" w:rsidR="00DB19F5" w:rsidRPr="00A74C83" w:rsidRDefault="00DB19F5" w:rsidP="00DB19F5">
      <w:pPr>
        <w:rPr>
          <w:iCs/>
        </w:rPr>
      </w:pPr>
      <w:r w:rsidRPr="00A74C83">
        <w:t xml:space="preserve">Le volume horaire minimal exigé pour l’entièreté des marchés du groupement est de </w:t>
      </w:r>
      <w:r w:rsidR="003B7114" w:rsidRPr="00A74C83">
        <w:t>45</w:t>
      </w:r>
      <w:r w:rsidR="008A7680" w:rsidRPr="00A74C83">
        <w:t xml:space="preserve">0 </w:t>
      </w:r>
      <w:r w:rsidRPr="00A74C83">
        <w:t>heures, à réaliser pendant la période ferme du marché. Néanmoins, le titulaire peut dépasser le volume horaire s’il le souhaite</w:t>
      </w:r>
      <w:r w:rsidR="003B7114" w:rsidRPr="00A74C83">
        <w:t>.</w:t>
      </w:r>
    </w:p>
    <w:p w14:paraId="50C08852" w14:textId="77777777" w:rsidR="00DB19F5" w:rsidRPr="00A74C83" w:rsidRDefault="00DB19F5" w:rsidP="00DB19F5">
      <w:pPr>
        <w:rPr>
          <w:iCs/>
        </w:rPr>
      </w:pPr>
      <w:r w:rsidRPr="00A74C83">
        <w:t xml:space="preserve">Pour plus d’informations : </w:t>
      </w:r>
      <w:hyperlink r:id="rId21" w:tooltip="https://www.education.gouv.fr/la-clause-sociale-de-formation-sous-statut-scolaire-dans-les-marches-publics-41543" w:history="1">
        <w:r w:rsidRPr="00A74C83">
          <w:rPr>
            <w:u w:val="single"/>
          </w:rPr>
          <w:t>https://www.education.gouv.fr/la-clause-sociale-de-formation-sous-statut-scolaire-dans-les-marches-publics-41543</w:t>
        </w:r>
      </w:hyperlink>
      <w:r w:rsidRPr="00A74C83">
        <w:t xml:space="preserve"> </w:t>
      </w:r>
    </w:p>
    <w:p w14:paraId="053AA542" w14:textId="77777777" w:rsidR="00DB19F5" w:rsidRPr="00A74C83" w:rsidRDefault="00DB19F5" w:rsidP="00DB19F5">
      <w:pPr>
        <w:pStyle w:val="Sousarticle"/>
        <w:rPr>
          <w:sz w:val="20"/>
          <w:szCs w:val="20"/>
        </w:rPr>
      </w:pPr>
      <w:bookmarkStart w:id="34" w:name="_Toc193296212"/>
      <w:r w:rsidRPr="00A74C83">
        <w:t>Article 10.1 : Conformément à son offre, le titulaire réalise une action en faveur d'un ou plusieurs jeunes en situation de décrochage scolaire</w:t>
      </w:r>
      <w:bookmarkEnd w:id="34"/>
      <w:r w:rsidRPr="00A74C83">
        <w:tab/>
      </w:r>
    </w:p>
    <w:p w14:paraId="35E284EE" w14:textId="77777777" w:rsidR="00DB19F5" w:rsidRPr="00A74C83" w:rsidRDefault="00DB19F5" w:rsidP="00DB19F5">
      <w:pPr>
        <w:rPr>
          <w:lang w:eastAsia="zh-CN"/>
        </w:rPr>
      </w:pPr>
      <w:r w:rsidRPr="00A74C83">
        <w:rPr>
          <w:lang w:eastAsia="zh-CN"/>
        </w:rPr>
        <w:t>Dans le cadre de la clause sociale, le jeune bénéficiaire du dispositif est sous statut scolaire. Une convention de stage tripartite est conclue entre l’entreprise, la MLDS (ou l’établissement scolaire de rattachement du jeune) et le jeune (ou son représentant légal).</w:t>
      </w:r>
    </w:p>
    <w:p w14:paraId="4E1281E4" w14:textId="6C02360C" w:rsidR="00DB19F5" w:rsidRPr="00A74C83" w:rsidRDefault="00DB19F5" w:rsidP="00DB19F5">
      <w:pPr>
        <w:rPr>
          <w:lang w:eastAsia="zh-CN"/>
        </w:rPr>
      </w:pPr>
      <w:r w:rsidRPr="00A74C83">
        <w:rPr>
          <w:lang w:eastAsia="zh-CN"/>
        </w:rPr>
        <w:t xml:space="preserve">Le titulaire du marché reçoit le jeune dans ses locaux, en immersion complète, et l’accompagne dans </w:t>
      </w:r>
      <w:r w:rsidR="001C7C75" w:rsidRPr="00A74C83">
        <w:rPr>
          <w:lang w:eastAsia="zh-CN"/>
        </w:rPr>
        <w:t>ses missions (le stage peut porter sur d’autres tâches et missions que celles objet du marché)</w:t>
      </w:r>
      <w:r w:rsidRPr="00A74C83">
        <w:rPr>
          <w:lang w:eastAsia="zh-CN"/>
        </w:rPr>
        <w:t xml:space="preserve">. Le jeune est accompagné par la MLDS du ministère chargé de l’Éducation nationale, qui désigne un tuteur pédagogique. </w:t>
      </w:r>
    </w:p>
    <w:p w14:paraId="370DE317" w14:textId="4601F908" w:rsidR="00DB19F5" w:rsidRPr="00A74C83" w:rsidRDefault="00DB19F5" w:rsidP="00DB19F5">
      <w:pPr>
        <w:rPr>
          <w:lang w:eastAsia="zh-CN"/>
        </w:rPr>
      </w:pPr>
      <w:r w:rsidRPr="00A74C83">
        <w:rPr>
          <w:lang w:eastAsia="zh-CN"/>
        </w:rPr>
        <w:t xml:space="preserve">Le titulaire désigne un responsable des ressources humaines (RRH), qui est l’interlocuteur privilégié </w:t>
      </w:r>
      <w:r w:rsidR="00CA0021" w:rsidRPr="00A74C83">
        <w:rPr>
          <w:lang w:eastAsia="zh-CN"/>
        </w:rPr>
        <w:t>d’INRAE</w:t>
      </w:r>
      <w:r w:rsidRPr="00A74C83">
        <w:rPr>
          <w:lang w:eastAsia="zh-CN"/>
        </w:rPr>
        <w:t>, ainsi qu’un référent au sein de l’entreprise. Le référent « entreprise » et le tuteur pédagogique sont en relation directe.</w:t>
      </w:r>
    </w:p>
    <w:p w14:paraId="2ACDCC56" w14:textId="77777777" w:rsidR="00DB19F5" w:rsidRPr="00A74C83" w:rsidRDefault="00DB19F5" w:rsidP="00DB19F5">
      <w:pPr>
        <w:rPr>
          <w:lang w:eastAsia="zh-CN"/>
        </w:rPr>
      </w:pPr>
      <w:r w:rsidRPr="00A74C83">
        <w:rPr>
          <w:lang w:eastAsia="zh-CN"/>
        </w:rPr>
        <w:t>L’action mise en œuvre fait l’objet d’une validation, par écrit, sous la forme d’un « bilan croisé » réalisé par le référent « entreprise » et le tuteur pédagogique.</w:t>
      </w:r>
    </w:p>
    <w:p w14:paraId="3424D70F" w14:textId="77777777" w:rsidR="00DB19F5" w:rsidRPr="00A74C83" w:rsidRDefault="00DB19F5" w:rsidP="00DB19F5">
      <w:pPr>
        <w:rPr>
          <w:lang w:eastAsia="zh-CN"/>
        </w:rPr>
      </w:pPr>
      <w:r w:rsidRPr="00A74C83">
        <w:rPr>
          <w:lang w:eastAsia="zh-CN"/>
        </w:rPr>
        <w:t xml:space="preserve">Au terme de son parcours, le jeune bénéficiaire du dispositif peut intégrer un parcours de formation diplômant (reprise de scolarité) ou accéder à l’emploi (insertion professionnelle). </w:t>
      </w:r>
    </w:p>
    <w:p w14:paraId="045B2FCC" w14:textId="77777777" w:rsidR="00DB19F5" w:rsidRPr="00A74C83" w:rsidRDefault="00DB19F5" w:rsidP="00DB19F5">
      <w:pPr>
        <w:rPr>
          <w:lang w:eastAsia="zh-CN"/>
        </w:rPr>
      </w:pPr>
      <w:r w:rsidRPr="00A74C83">
        <w:rPr>
          <w:lang w:eastAsia="zh-CN"/>
        </w:rPr>
        <w:t>Toutes les hypothèses de fin de parcours sont envisagées par la MLDS, à l’occasion d’un échange avec le titulaire. À tout moment, le titulaire peut dépasser les objectifs fixés par le marché.</w:t>
      </w:r>
    </w:p>
    <w:p w14:paraId="39455451" w14:textId="77777777" w:rsidR="00DB19F5" w:rsidRPr="00A74C83" w:rsidRDefault="00DB19F5" w:rsidP="00DB19F5">
      <w:pPr>
        <w:pStyle w:val="Sousarticle"/>
      </w:pPr>
      <w:bookmarkStart w:id="35" w:name="_Toc193296213"/>
      <w:r w:rsidRPr="00A74C83">
        <w:t>Article 10.2 : Exécution de la clause sociale pendant la durée du marché et à l’issue du parcours</w:t>
      </w:r>
      <w:bookmarkEnd w:id="35"/>
      <w:r w:rsidRPr="00A74C83">
        <w:tab/>
      </w:r>
    </w:p>
    <w:p w14:paraId="33C06B89" w14:textId="54BB7156" w:rsidR="00DB19F5" w:rsidRPr="00A74C83" w:rsidRDefault="00DB19F5" w:rsidP="00DB19F5">
      <w:r w:rsidRPr="00A74C83">
        <w:t xml:space="preserve">Le suivi de la clause sociale est réalisé par </w:t>
      </w:r>
      <w:r w:rsidR="00CA0021" w:rsidRPr="00A74C83">
        <w:t>INRAE</w:t>
      </w:r>
      <w:r w:rsidRPr="00A74C83">
        <w:t xml:space="preserve"> et la MLDS, qui s’assurent de la réalité de l’action mise en œuvre par le titulaire dans le cadre du calendrier scolaire.</w:t>
      </w:r>
    </w:p>
    <w:p w14:paraId="77EA44E0" w14:textId="77777777" w:rsidR="00DB19F5" w:rsidRPr="00A74C83" w:rsidRDefault="00DB19F5" w:rsidP="00DB19F5">
      <w:r w:rsidRPr="00A74C83">
        <w:t>Lors de la réunion de lancement du marché, le thème de la clause sociale est abordé (confirmation des contacts inscrits dans la « Fiche entreprise »).</w:t>
      </w:r>
    </w:p>
    <w:p w14:paraId="71614AF8" w14:textId="35F7CA62" w:rsidR="00DB19F5" w:rsidRPr="00A74C83" w:rsidRDefault="00DB19F5" w:rsidP="00DB19F5">
      <w:r w:rsidRPr="00A74C83">
        <w:t xml:space="preserve">Une réunion spécifique à la mise en œuvre de la clause sociale est organisée, sur proposition du titulaire ou </w:t>
      </w:r>
      <w:r w:rsidR="00CA0021" w:rsidRPr="00A74C83">
        <w:t>d’INRAE</w:t>
      </w:r>
      <w:r w:rsidRPr="00A74C83">
        <w:t>, dès qu’un ou plusieurs profils de jeunes sont proposés par la MLDS. La présence du référent entreprise est obligatoire et celle du responsable des ressources humaines souhaitable. A cette occasion, la « fiche entreprise » annexée au CCAP – qui a une fonction de dialogue – peut être modifiée en fonction du ou des profils proposés par la MLDS. La nouvelle « fiche entreprise » finalisée est alors transmise à l’ensemble du groupement par le titulaire.</w:t>
      </w:r>
    </w:p>
    <w:p w14:paraId="3C860734" w14:textId="7E1BD8C8" w:rsidR="00DB19F5" w:rsidRPr="00A74C83" w:rsidRDefault="00DB19F5" w:rsidP="00DB19F5">
      <w:pPr>
        <w:rPr>
          <w:szCs w:val="24"/>
        </w:rPr>
      </w:pPr>
      <w:r w:rsidRPr="00A74C83">
        <w:t xml:space="preserve">Le titulaire transmet également </w:t>
      </w:r>
      <w:r w:rsidR="00CA0021" w:rsidRPr="00A74C83">
        <w:t>à INRAE</w:t>
      </w:r>
      <w:r w:rsidRPr="00A74C83">
        <w:rPr>
          <w:lang w:eastAsia="zh-CN"/>
        </w:rPr>
        <w:t xml:space="preserve"> </w:t>
      </w:r>
      <w:r w:rsidRPr="00A74C83">
        <w:t xml:space="preserve">la convention de stage tripartite signée. </w:t>
      </w:r>
    </w:p>
    <w:p w14:paraId="7CCF1A26" w14:textId="77777777" w:rsidR="00DB19F5" w:rsidRPr="00A74C83" w:rsidRDefault="00DB19F5" w:rsidP="00DB19F5">
      <w:pPr>
        <w:rPr>
          <w:szCs w:val="24"/>
        </w:rPr>
      </w:pPr>
      <w:r w:rsidRPr="00A74C83">
        <w:lastRenderedPageBreak/>
        <w:t>A l’issue du parcours, le tuteur pédagogique et le référent « entreprise » réalisent un bilan croisé faisant état du résultat de la clause sociale et attestant de la bonne exécution de la clause sociale par le titulaire.</w:t>
      </w:r>
    </w:p>
    <w:p w14:paraId="302B0FDA" w14:textId="77777777" w:rsidR="00DB19F5" w:rsidRPr="00A74C83" w:rsidRDefault="00DB19F5" w:rsidP="00DB19F5">
      <w:pPr>
        <w:rPr>
          <w:lang w:eastAsia="zh-CN"/>
        </w:rPr>
      </w:pPr>
      <w:r w:rsidRPr="00A74C83">
        <w:rPr>
          <w:lang w:eastAsia="zh-CN"/>
        </w:rPr>
        <w:t>À la fin de l’action de rescolarisation, le titulaire du marché s’engage à étudier toutes les possibilités de formation ou d’embauche pérenne des personnes bénéficiaires de la clause sociale.</w:t>
      </w:r>
    </w:p>
    <w:p w14:paraId="7F0BF555" w14:textId="77777777" w:rsidR="00DB19F5" w:rsidRPr="00A74C83" w:rsidRDefault="00DB19F5" w:rsidP="00DB19F5">
      <w:pPr>
        <w:pStyle w:val="Sousarticle"/>
        <w:rPr>
          <w:sz w:val="20"/>
          <w:szCs w:val="20"/>
        </w:rPr>
      </w:pPr>
      <w:bookmarkStart w:id="36" w:name="_Toc193296214"/>
      <w:r w:rsidRPr="00A74C83">
        <w:t>Article 10.3 : Contrôle et évaluation de l’action de formation</w:t>
      </w:r>
      <w:bookmarkEnd w:id="36"/>
      <w:r w:rsidRPr="00A74C83">
        <w:tab/>
      </w:r>
    </w:p>
    <w:p w14:paraId="08CFC79A" w14:textId="0D585FEE" w:rsidR="00DB19F5" w:rsidRPr="00A74C83" w:rsidRDefault="00DB19F5" w:rsidP="00DB19F5">
      <w:pPr>
        <w:rPr>
          <w:lang w:eastAsia="zh-CN"/>
        </w:rPr>
      </w:pPr>
      <w:r w:rsidRPr="00A74C83">
        <w:rPr>
          <w:lang w:eastAsia="zh-CN"/>
        </w:rPr>
        <w:t xml:space="preserve">Tout au long de l’exécution des prestations du marché, le titulaire répond à toute demande </w:t>
      </w:r>
      <w:r w:rsidR="00CA0021" w:rsidRPr="00A74C83">
        <w:rPr>
          <w:lang w:eastAsia="zh-CN"/>
        </w:rPr>
        <w:t>d’INRAE</w:t>
      </w:r>
      <w:r w:rsidRPr="00A74C83">
        <w:rPr>
          <w:lang w:eastAsia="zh-CN"/>
        </w:rPr>
        <w:t xml:space="preserve"> ou de la MLDS relative à l’état d’avancement de la mise en œuvre de la clause sociale.</w:t>
      </w:r>
    </w:p>
    <w:p w14:paraId="26290D07" w14:textId="77777777" w:rsidR="00DB19F5" w:rsidRPr="00A74C83" w:rsidRDefault="00DB19F5" w:rsidP="00DB19F5">
      <w:pPr>
        <w:rPr>
          <w:lang w:eastAsia="zh-CN"/>
        </w:rPr>
      </w:pPr>
      <w:r w:rsidRPr="00A74C83">
        <w:rPr>
          <w:lang w:eastAsia="zh-CN"/>
        </w:rPr>
        <w:t>Pour rappel, le titulaire est tenu de transmettre en cours d’exécution au groupement :</w:t>
      </w:r>
    </w:p>
    <w:p w14:paraId="0FE59439" w14:textId="77777777" w:rsidR="00DB19F5" w:rsidRPr="00A74C83" w:rsidRDefault="00DB19F5" w:rsidP="00DE47C1">
      <w:pPr>
        <w:pStyle w:val="Puces"/>
        <w:rPr>
          <w:lang w:eastAsia="zh-CN"/>
        </w:rPr>
      </w:pPr>
      <w:r w:rsidRPr="00A74C83">
        <w:rPr>
          <w:lang w:eastAsia="zh-CN"/>
        </w:rPr>
        <w:t>La « fiche entreprise » modifiée, le cas échéant ;</w:t>
      </w:r>
    </w:p>
    <w:p w14:paraId="7573F78A" w14:textId="77777777" w:rsidR="00DB19F5" w:rsidRPr="00A74C83" w:rsidRDefault="00DB19F5" w:rsidP="00DE47C1">
      <w:pPr>
        <w:pStyle w:val="Puces"/>
        <w:rPr>
          <w:lang w:eastAsia="zh-CN"/>
        </w:rPr>
      </w:pPr>
      <w:r w:rsidRPr="00A74C83">
        <w:rPr>
          <w:lang w:eastAsia="zh-CN"/>
        </w:rPr>
        <w:t>La convention de stage tripartite ;</w:t>
      </w:r>
    </w:p>
    <w:p w14:paraId="7CEC691B" w14:textId="77777777" w:rsidR="00DB19F5" w:rsidRPr="00A74C83" w:rsidRDefault="00DB19F5" w:rsidP="00DE47C1">
      <w:pPr>
        <w:pStyle w:val="Puces"/>
        <w:rPr>
          <w:lang w:eastAsia="zh-CN"/>
        </w:rPr>
      </w:pPr>
      <w:r w:rsidRPr="00A74C83">
        <w:rPr>
          <w:lang w:eastAsia="zh-CN"/>
        </w:rPr>
        <w:t>L’attestation de présence du jeune bénéficiaire ;</w:t>
      </w:r>
    </w:p>
    <w:p w14:paraId="14893A4E" w14:textId="77777777" w:rsidR="00DB19F5" w:rsidRPr="00A74C83" w:rsidRDefault="00DB19F5" w:rsidP="00DE47C1">
      <w:pPr>
        <w:pStyle w:val="Puces"/>
        <w:rPr>
          <w:lang w:eastAsia="zh-CN"/>
        </w:rPr>
      </w:pPr>
      <w:r w:rsidRPr="00A74C83">
        <w:rPr>
          <w:lang w:eastAsia="zh-CN"/>
        </w:rPr>
        <w:t>Le bilan croisé.</w:t>
      </w:r>
    </w:p>
    <w:p w14:paraId="6F8E81CC" w14:textId="1264D6E6" w:rsidR="00DB19F5" w:rsidRPr="00A74C83" w:rsidRDefault="00DB19F5" w:rsidP="00DB19F5">
      <w:pPr>
        <w:rPr>
          <w:lang w:eastAsia="zh-CN"/>
        </w:rPr>
      </w:pPr>
      <w:r w:rsidRPr="00A74C83">
        <w:rPr>
          <w:lang w:eastAsia="zh-CN"/>
        </w:rPr>
        <w:t xml:space="preserve">Toute transmission est réalisée dans les dix jours ouvrés suivant la demande par </w:t>
      </w:r>
      <w:r w:rsidR="00CA0021" w:rsidRPr="00A74C83">
        <w:rPr>
          <w:lang w:eastAsia="zh-CN"/>
        </w:rPr>
        <w:t>INRAE</w:t>
      </w:r>
      <w:r w:rsidRPr="00A74C83">
        <w:rPr>
          <w:lang w:eastAsia="zh-CN"/>
        </w:rPr>
        <w:t xml:space="preserve"> ou la MLDS.</w:t>
      </w:r>
    </w:p>
    <w:p w14:paraId="4916698B" w14:textId="77777777" w:rsidR="00DB19F5" w:rsidRPr="00A74C83" w:rsidRDefault="00DB19F5" w:rsidP="00DB19F5">
      <w:pPr>
        <w:rPr>
          <w:lang w:eastAsia="zh-CN"/>
        </w:rPr>
      </w:pPr>
      <w:r w:rsidRPr="00A74C83">
        <w:rPr>
          <w:lang w:eastAsia="zh-CN"/>
        </w:rPr>
        <w:t>Pendant et à l’issue du parcours, le titulaire s’engage à faciliter les contacts des partenaires de l’opération avec la personne bénéficiaire du dispositif de clause sociale, et à transmettre les documents nécessaires à l’évaluation du dispositif (</w:t>
      </w:r>
      <w:r w:rsidRPr="00A74C83">
        <w:rPr>
          <w:i/>
          <w:iCs/>
          <w:lang w:eastAsia="zh-CN"/>
        </w:rPr>
        <w:t>Cf. ci-avant</w:t>
      </w:r>
      <w:r w:rsidRPr="00A74C83">
        <w:rPr>
          <w:lang w:eastAsia="zh-CN"/>
        </w:rPr>
        <w:t>).</w:t>
      </w:r>
    </w:p>
    <w:p w14:paraId="7BDBCBD7" w14:textId="30B2E672" w:rsidR="00DB19F5" w:rsidRPr="00A74C83" w:rsidRDefault="00DB19F5" w:rsidP="00DB19F5">
      <w:pPr>
        <w:rPr>
          <w:b/>
          <w:lang w:eastAsia="zh-CN"/>
        </w:rPr>
      </w:pPr>
      <w:r w:rsidRPr="00A74C83">
        <w:rPr>
          <w:b/>
          <w:lang w:eastAsia="zh-CN"/>
        </w:rPr>
        <w:t xml:space="preserve">S’il rencontre des difficultés pour faire face à son engagement, le titulaire doit informer </w:t>
      </w:r>
      <w:r w:rsidR="00CA0021" w:rsidRPr="00A74C83">
        <w:rPr>
          <w:b/>
          <w:lang w:eastAsia="zh-CN"/>
        </w:rPr>
        <w:t>INRAE</w:t>
      </w:r>
      <w:r w:rsidRPr="00A74C83">
        <w:rPr>
          <w:b/>
          <w:lang w:eastAsia="zh-CN"/>
        </w:rPr>
        <w:t xml:space="preserve"> et la MLDS. Dans ce cas, </w:t>
      </w:r>
      <w:r w:rsidR="00CA0021" w:rsidRPr="00A74C83">
        <w:rPr>
          <w:b/>
          <w:lang w:eastAsia="zh-CN"/>
        </w:rPr>
        <w:t>INRAE</w:t>
      </w:r>
      <w:r w:rsidR="00D10951" w:rsidRPr="00A74C83">
        <w:rPr>
          <w:b/>
          <w:lang w:eastAsia="zh-CN"/>
        </w:rPr>
        <w:t xml:space="preserve"> </w:t>
      </w:r>
      <w:r w:rsidRPr="00A74C83">
        <w:rPr>
          <w:b/>
          <w:lang w:eastAsia="zh-CN"/>
        </w:rPr>
        <w:t>et la MLDS étudient avec le titulaire les moyens à mettre en œuvre pour parvenir à la réalisation des objectifs fixés</w:t>
      </w:r>
      <w:r w:rsidR="00CA0021" w:rsidRPr="00A74C83">
        <w:rPr>
          <w:b/>
          <w:lang w:eastAsia="zh-CN"/>
        </w:rPr>
        <w:t xml:space="preserve"> ou</w:t>
      </w:r>
      <w:r w:rsidR="00D10951" w:rsidRPr="00A74C83">
        <w:rPr>
          <w:b/>
          <w:lang w:eastAsia="zh-CN"/>
        </w:rPr>
        <w:t xml:space="preserve"> prononcent</w:t>
      </w:r>
      <w:r w:rsidR="00CA0021" w:rsidRPr="00A74C83">
        <w:rPr>
          <w:b/>
          <w:lang w:eastAsia="zh-CN"/>
        </w:rPr>
        <w:t xml:space="preserve"> l’abandon du dispositif</w:t>
      </w:r>
      <w:r w:rsidRPr="00A74C83">
        <w:rPr>
          <w:b/>
          <w:lang w:eastAsia="zh-CN"/>
        </w:rPr>
        <w:t>.</w:t>
      </w:r>
    </w:p>
    <w:p w14:paraId="3A27E8D9" w14:textId="77777777" w:rsidR="00DB19F5" w:rsidRPr="00A74C83" w:rsidRDefault="00DB19F5" w:rsidP="00DB19F5">
      <w:pPr>
        <w:pStyle w:val="Article"/>
      </w:pPr>
      <w:bookmarkStart w:id="37" w:name="_Toc85720057"/>
      <w:bookmarkStart w:id="38" w:name="_Toc193296215"/>
      <w:r w:rsidRPr="00A74C83">
        <w:t>Article 11 : Dispositions en cas de sous-traitance déclarée en cours d’exécution du marché</w:t>
      </w:r>
      <w:bookmarkEnd w:id="37"/>
      <w:bookmarkEnd w:id="38"/>
      <w:r w:rsidRPr="00A74C83">
        <w:tab/>
      </w:r>
    </w:p>
    <w:p w14:paraId="281C9C7C" w14:textId="77777777" w:rsidR="00DB19F5" w:rsidRPr="00A74C83" w:rsidRDefault="00DB19F5" w:rsidP="00DB19F5">
      <w:r w:rsidRPr="00A74C83">
        <w:t xml:space="preserve">Le Titulaire peut sous-traiter l’exécution des prestations de service du marché sous réserve du respect des dispositions de la loi du 31 décembre 1975 modifiée, relative à la sous-traitance. </w:t>
      </w:r>
    </w:p>
    <w:p w14:paraId="6CABF7BE" w14:textId="58FFC730" w:rsidR="00DB19F5" w:rsidRPr="00A74C83" w:rsidRDefault="00DB19F5" w:rsidP="00DB19F5">
      <w:r w:rsidRPr="00A74C83">
        <w:t xml:space="preserve">Le Titulaire s’engage notamment à présenter à </w:t>
      </w:r>
      <w:r w:rsidR="00673CC5" w:rsidRPr="00A74C83">
        <w:t>INRAE</w:t>
      </w:r>
      <w:r w:rsidRPr="00A74C83">
        <w:t xml:space="preserve">, les entreprises auxquelles il envisage de confier la réalisation de certaines parties du marché. Le représentant du pouvoir adjudicateur, le </w:t>
      </w:r>
      <w:r w:rsidR="00CA0021" w:rsidRPr="00A74C83">
        <w:t>service des achats de la DIFA d’INRAE</w:t>
      </w:r>
      <w:r w:rsidRPr="00A74C83">
        <w:t>, en cas d’accord, devra accepter le sous-traitant et agréer les conditions de paiement qui lui sont faites par le Titulaire dans l’acte de sous-traitance. Le sous-traitant est payé directement par INRAE sur indications du Titulaire conformément aux dispositions de la loi du 31 décembre 1975 modifiée.</w:t>
      </w:r>
    </w:p>
    <w:p w14:paraId="1C4C24CB" w14:textId="77777777" w:rsidR="00DB19F5" w:rsidRPr="00A74C83" w:rsidRDefault="00DB19F5" w:rsidP="00DB19F5">
      <w:r w:rsidRPr="00A74C83">
        <w:t>Le Titulaire transmet à INRAE, les actes de sous-traitance qui le lient à ses sous-traitants.</w:t>
      </w:r>
    </w:p>
    <w:p w14:paraId="302C4176" w14:textId="77777777" w:rsidR="00DB19F5" w:rsidRPr="00A74C83" w:rsidRDefault="00DB19F5" w:rsidP="00DB19F5">
      <w:r w:rsidRPr="00A74C83">
        <w:t>Le Titulaire demeure seul responsable de l’exécution et du bon déroulement des prestations objet du marché. En aucun cas, il ne peut éluder ou diminuer sa propre responsabilité, au titre du marché, en invoquant le rôle qu’aurait pu tenir ou la faute qu’aurait pu commettre l’un de ses sous-traitants, cotraitants, préposés, fournisseurs ou représentants dans les faits qui lui seraient opposés par INRAE.</w:t>
      </w:r>
    </w:p>
    <w:p w14:paraId="2CD80ACF" w14:textId="77777777" w:rsidR="00DB19F5" w:rsidRPr="00A74C83" w:rsidRDefault="00DB19F5" w:rsidP="00DB19F5">
      <w:pPr>
        <w:pStyle w:val="Article"/>
      </w:pPr>
      <w:bookmarkStart w:id="39" w:name="_Toc85720058"/>
      <w:bookmarkStart w:id="40" w:name="_Toc193296216"/>
      <w:r w:rsidRPr="00A74C83">
        <w:t>Article 12 : Prix</w:t>
      </w:r>
      <w:bookmarkEnd w:id="39"/>
      <w:bookmarkEnd w:id="40"/>
      <w:r w:rsidRPr="00A74C83">
        <w:tab/>
      </w:r>
    </w:p>
    <w:p w14:paraId="772370DA" w14:textId="77777777" w:rsidR="00DB19F5" w:rsidRPr="00A74C83" w:rsidRDefault="00DB19F5" w:rsidP="00DB19F5">
      <w:pPr>
        <w:pStyle w:val="Sousarticle"/>
      </w:pPr>
      <w:bookmarkStart w:id="41" w:name="_Toc85720059"/>
      <w:bookmarkStart w:id="42" w:name="_Toc193296217"/>
      <w:r w:rsidRPr="00A74C83">
        <w:t>Article 12.1 : Prix du marché</w:t>
      </w:r>
      <w:bookmarkEnd w:id="41"/>
      <w:bookmarkEnd w:id="42"/>
      <w:r w:rsidRPr="00A74C83">
        <w:tab/>
      </w:r>
    </w:p>
    <w:p w14:paraId="25AD4A3E" w14:textId="77777777" w:rsidR="00DB19F5" w:rsidRPr="00A74C83" w:rsidRDefault="00DB19F5" w:rsidP="00DB19F5">
      <w:r w:rsidRPr="00A74C83">
        <w:t xml:space="preserve">Les prix du marché sont définis par le bordereau des prix du marché. Ils sont réputés comprendre, outre les prestations dont ils sont l’objet, tous les frais annexes ainsi que toutes les réunions. Il ne pourra être demandé aucun supplément de rémunération à ce titre. </w:t>
      </w:r>
    </w:p>
    <w:p w14:paraId="13445DA2" w14:textId="678DCFA7" w:rsidR="0009202A" w:rsidRPr="00A74C83" w:rsidRDefault="00DB19F5" w:rsidP="00DB19F5">
      <w:r w:rsidRPr="00A74C83">
        <w:t>Dans le cadre de l’exécution de l’accord-cadre, le Titulaire peut faire bénéficier INRAE de prix inférieurs à ceux figurant au bordereau de prix en cours de validité. Le cas échéant, les prix inférieurs proposés sont précisés dans le devis annexé à la commande.</w:t>
      </w:r>
    </w:p>
    <w:p w14:paraId="0852C9F2" w14:textId="77777777" w:rsidR="00DB19F5" w:rsidRPr="00A74C83" w:rsidRDefault="00DB19F5" w:rsidP="00DB19F5">
      <w:pPr>
        <w:pStyle w:val="Sousarticle"/>
      </w:pPr>
      <w:bookmarkStart w:id="43" w:name="_Toc85720060"/>
      <w:bookmarkStart w:id="44" w:name="_Toc193296218"/>
      <w:r w:rsidRPr="00A74C83">
        <w:lastRenderedPageBreak/>
        <w:t>Article 12.2 : Mise à jour du bordereau et révision des prix</w:t>
      </w:r>
      <w:bookmarkEnd w:id="43"/>
      <w:bookmarkEnd w:id="44"/>
      <w:r w:rsidRPr="00A74C83">
        <w:tab/>
      </w:r>
    </w:p>
    <w:p w14:paraId="6B19EFF3" w14:textId="77777777" w:rsidR="00DB19F5" w:rsidRPr="00A74C83" w:rsidRDefault="00DB19F5" w:rsidP="00DB19F5">
      <w:bookmarkStart w:id="45" w:name="_Toc85720061"/>
      <w:r w:rsidRPr="00A74C83">
        <w:t>Par dérogation à l’article 10.1.1 du CCAG TIC, les prix de l’accord-cadre sont révisables annuellement à la date d’anniversaire de la notification de l’accord-cadre.</w:t>
      </w:r>
    </w:p>
    <w:p w14:paraId="5D172F77" w14:textId="77777777" w:rsidR="00DB19F5" w:rsidRPr="00A74C83" w:rsidRDefault="00DB19F5" w:rsidP="00DB19F5">
      <w:r w:rsidRPr="00A74C83">
        <w:t>Lorsque le Titulaire ou INRAE souhaite réviser les prix de l’accord-cadre, il communique le BPU révisé au plus tard un mois avant la date anniversaire de l’accord-cadre. Ce BPU révisé doit être validé par INRAE pour être applicable aux commandes ultérieures.</w:t>
      </w:r>
    </w:p>
    <w:p w14:paraId="5D84E18A" w14:textId="4E85EF07" w:rsidR="00DB19F5" w:rsidRPr="00A74C83" w:rsidRDefault="00DB19F5" w:rsidP="00DB19F5">
      <w:r w:rsidRPr="00A74C83">
        <w:t xml:space="preserve">La révision des prix se calcule sur demande expresse du titulaire ou d’INRAE et à </w:t>
      </w:r>
      <w:r w:rsidR="003A25CA" w:rsidRPr="00A74C83">
        <w:t xml:space="preserve">la </w:t>
      </w:r>
      <w:r w:rsidRPr="00A74C83">
        <w:t xml:space="preserve">date </w:t>
      </w:r>
      <w:r w:rsidR="003A25CA" w:rsidRPr="00A74C83">
        <w:t>de transmission prévue ci-dessus</w:t>
      </w:r>
      <w:r w:rsidRPr="00A74C83">
        <w:t xml:space="preserve"> selon la formule suivante et dans la limite de </w:t>
      </w:r>
      <w:r w:rsidR="007426F4" w:rsidRPr="00A74C83">
        <w:t>2</w:t>
      </w:r>
      <w:r w:rsidRPr="00A74C83">
        <w:t>% d’augmentation :</w:t>
      </w:r>
    </w:p>
    <w:p w14:paraId="4DCD47E5" w14:textId="262CE38F" w:rsidR="00DB19F5" w:rsidRPr="00A74C83" w:rsidRDefault="00DB19F5" w:rsidP="00DB19F5">
      <w:pPr>
        <w:jc w:val="center"/>
        <w:rPr>
          <w:b/>
        </w:rPr>
      </w:pPr>
      <w:r w:rsidRPr="00A74C83">
        <w:rPr>
          <w:b/>
        </w:rPr>
        <w:t>P =</w:t>
      </w:r>
      <w:r w:rsidR="007426F4" w:rsidRPr="00A74C83">
        <w:rPr>
          <w:b/>
        </w:rPr>
        <w:t xml:space="preserve"> 0,3Po + [0,7</w:t>
      </w:r>
      <w:r w:rsidRPr="00A74C83">
        <w:rPr>
          <w:b/>
        </w:rPr>
        <w:t>Po x (SYNTEC/</w:t>
      </w:r>
      <w:proofErr w:type="spellStart"/>
      <w:r w:rsidRPr="00A74C83">
        <w:rPr>
          <w:b/>
        </w:rPr>
        <w:t>SYNTECo</w:t>
      </w:r>
      <w:proofErr w:type="spellEnd"/>
      <w:r w:rsidRPr="00A74C83">
        <w:rPr>
          <w:b/>
        </w:rPr>
        <w:t>)</w:t>
      </w:r>
      <w:r w:rsidR="007426F4" w:rsidRPr="00A74C83">
        <w:rPr>
          <w:b/>
        </w:rPr>
        <w:t>]</w:t>
      </w:r>
    </w:p>
    <w:p w14:paraId="574BF116" w14:textId="77777777" w:rsidR="00DB19F5" w:rsidRPr="00A74C83" w:rsidRDefault="00DB19F5" w:rsidP="00DB19F5">
      <w:proofErr w:type="gramStart"/>
      <w:r w:rsidRPr="00A74C83">
        <w:t>dans</w:t>
      </w:r>
      <w:proofErr w:type="gramEnd"/>
      <w:r w:rsidRPr="00A74C83">
        <w:t xml:space="preserve"> laquelle, </w:t>
      </w:r>
    </w:p>
    <w:p w14:paraId="176CAB1E" w14:textId="77777777" w:rsidR="00DB19F5" w:rsidRPr="00A74C83" w:rsidRDefault="00DB19F5" w:rsidP="00DB19F5">
      <w:r w:rsidRPr="00A74C83">
        <w:t xml:space="preserve">P est le prix révisé arrondi au centième, </w:t>
      </w:r>
    </w:p>
    <w:p w14:paraId="3EED545F" w14:textId="77777777" w:rsidR="00DB19F5" w:rsidRPr="00A74C83" w:rsidRDefault="00DB19F5" w:rsidP="00DB19F5">
      <w:r w:rsidRPr="00A74C83">
        <w:t xml:space="preserve">Po est le prix à la notification de l’accord-cadre, </w:t>
      </w:r>
    </w:p>
    <w:p w14:paraId="31CA9C60" w14:textId="77777777" w:rsidR="00DB19F5" w:rsidRPr="00A74C83" w:rsidRDefault="00DB19F5" w:rsidP="00DB19F5">
      <w:r w:rsidRPr="00A74C83">
        <w:t>SYNTEC est l’indice publié à la date de la demande de révision,</w:t>
      </w:r>
    </w:p>
    <w:p w14:paraId="47937837" w14:textId="77777777" w:rsidR="00DE47C1" w:rsidRPr="00A74C83" w:rsidRDefault="00DB19F5" w:rsidP="00DE47C1">
      <w:proofErr w:type="spellStart"/>
      <w:r w:rsidRPr="00A74C83">
        <w:t>SYNTECo</w:t>
      </w:r>
      <w:proofErr w:type="spellEnd"/>
      <w:r w:rsidRPr="00A74C83">
        <w:t xml:space="preserve"> est l’indice du mois de notification </w:t>
      </w:r>
      <w:r w:rsidR="003A25CA" w:rsidRPr="00A74C83">
        <w:t>du marché</w:t>
      </w:r>
      <w:r w:rsidR="00DE47C1" w:rsidRPr="00A74C83">
        <w:t>.</w:t>
      </w:r>
    </w:p>
    <w:p w14:paraId="660D3F23" w14:textId="200DAC30" w:rsidR="00DB19F5" w:rsidRPr="00A74C83" w:rsidRDefault="00DB19F5" w:rsidP="00DE47C1">
      <w:pPr>
        <w:pStyle w:val="Article"/>
      </w:pPr>
      <w:bookmarkStart w:id="46" w:name="_Toc193296219"/>
      <w:r w:rsidRPr="00A74C83">
        <w:t>Article 15 : Bons de commande</w:t>
      </w:r>
      <w:bookmarkEnd w:id="45"/>
      <w:bookmarkEnd w:id="46"/>
      <w:r w:rsidRPr="00A74C83">
        <w:tab/>
      </w:r>
    </w:p>
    <w:p w14:paraId="253C00CD" w14:textId="363987D8" w:rsidR="00DB19F5" w:rsidRPr="00A74C83" w:rsidRDefault="00DB19F5" w:rsidP="00DB19F5">
      <w:r w:rsidRPr="00A74C83">
        <w:t xml:space="preserve">L’exécution du marché se fait par l’émission par </w:t>
      </w:r>
      <w:r w:rsidR="00673CC5" w:rsidRPr="00A74C83">
        <w:t>INRAE</w:t>
      </w:r>
      <w:r w:rsidRPr="00A74C83">
        <w:t xml:space="preserve"> de bons de commande couvrant ses besoins au fur et à mesure de leur apparition. Le bon de commande émis pour chaque besoin exprimé par INRAE pendant l’exécution du marché et repose sur les prix du bordereau des prix du marché sauf application de prix inférieurs tel que le permet le présent CCAP. </w:t>
      </w:r>
    </w:p>
    <w:p w14:paraId="09F77F35" w14:textId="77777777" w:rsidR="00DB19F5" w:rsidRPr="00A74C83" w:rsidRDefault="00DB19F5" w:rsidP="00DE47C1">
      <w:pPr>
        <w:pStyle w:val="Puces"/>
      </w:pPr>
      <w:r w:rsidRPr="00A74C83">
        <w:t xml:space="preserve">Les bons de commande comprennent notamment :  </w:t>
      </w:r>
    </w:p>
    <w:p w14:paraId="76D7D9B6" w14:textId="77777777" w:rsidR="00DB19F5" w:rsidRPr="00A74C83" w:rsidRDefault="00DB19F5" w:rsidP="00DE47C1">
      <w:pPr>
        <w:pStyle w:val="Puces"/>
      </w:pPr>
      <w:r w:rsidRPr="00A74C83">
        <w:t>Le numéro du bon de commande ;</w:t>
      </w:r>
    </w:p>
    <w:p w14:paraId="51C80391" w14:textId="77777777" w:rsidR="00DB19F5" w:rsidRPr="00A74C83" w:rsidRDefault="00DB19F5" w:rsidP="00DE47C1">
      <w:pPr>
        <w:pStyle w:val="Puces"/>
      </w:pPr>
      <w:r w:rsidRPr="00A74C83">
        <w:t>La date d’émission du bon de commande ;</w:t>
      </w:r>
    </w:p>
    <w:p w14:paraId="013DB39C" w14:textId="77777777" w:rsidR="00DB19F5" w:rsidRPr="00A74C83" w:rsidRDefault="00DB19F5" w:rsidP="00DE47C1">
      <w:pPr>
        <w:pStyle w:val="Puces"/>
      </w:pPr>
      <w:r w:rsidRPr="00A74C83">
        <w:t>Le numéro du présent marché ;</w:t>
      </w:r>
    </w:p>
    <w:p w14:paraId="681157B5" w14:textId="77777777" w:rsidR="00DB19F5" w:rsidRPr="00A74C83" w:rsidRDefault="00DB19F5" w:rsidP="00DE47C1">
      <w:pPr>
        <w:pStyle w:val="Puces"/>
      </w:pPr>
      <w:r w:rsidRPr="00A74C83">
        <w:t>La désignation et l’adresse de l’émetteur du bon de commande ;</w:t>
      </w:r>
    </w:p>
    <w:p w14:paraId="7C5E968A" w14:textId="77777777" w:rsidR="00DB19F5" w:rsidRPr="00A74C83" w:rsidRDefault="00DB19F5" w:rsidP="00DE47C1">
      <w:pPr>
        <w:pStyle w:val="Puces"/>
      </w:pPr>
      <w:r w:rsidRPr="00A74C83">
        <w:t>Le nom et l’adresse du titulaire ;</w:t>
      </w:r>
    </w:p>
    <w:p w14:paraId="53C21987" w14:textId="77777777" w:rsidR="00DB19F5" w:rsidRPr="00A74C83" w:rsidRDefault="00DB19F5" w:rsidP="00DE47C1">
      <w:pPr>
        <w:pStyle w:val="Puces"/>
      </w:pPr>
      <w:r w:rsidRPr="00A74C83">
        <w:t>La désignation des prestations commandées ;</w:t>
      </w:r>
    </w:p>
    <w:p w14:paraId="585A3160" w14:textId="77777777" w:rsidR="00DB19F5" w:rsidRPr="00A74C83" w:rsidRDefault="00DB19F5" w:rsidP="00DE47C1">
      <w:pPr>
        <w:pStyle w:val="Puces"/>
      </w:pPr>
      <w:r w:rsidRPr="00A74C83">
        <w:t>Le cas échéant, le délai de réalisation des prestations commandées à compter de l’émission du bon de commande par INRAE ou à compter de la date de début d’exécution figurant dans le bon de commande ;</w:t>
      </w:r>
    </w:p>
    <w:p w14:paraId="172507D8" w14:textId="77777777" w:rsidR="00DB19F5" w:rsidRPr="00A74C83" w:rsidRDefault="00DB19F5" w:rsidP="00DE47C1">
      <w:pPr>
        <w:pStyle w:val="Puces"/>
      </w:pPr>
      <w:r w:rsidRPr="00A74C83">
        <w:t>Le prix des prestations ;</w:t>
      </w:r>
    </w:p>
    <w:p w14:paraId="02AAA664" w14:textId="42323A86" w:rsidR="00DB19F5" w:rsidRPr="00A74C83" w:rsidRDefault="00DB19F5" w:rsidP="00DE47C1">
      <w:pPr>
        <w:pStyle w:val="Puces"/>
      </w:pPr>
      <w:r w:rsidRPr="00A74C83">
        <w:t>Le cas échéant, les conditions et le lieu d’exécution des prestations ;</w:t>
      </w:r>
    </w:p>
    <w:p w14:paraId="67BDF14A" w14:textId="77777777" w:rsidR="00DB19F5" w:rsidRPr="00A74C83" w:rsidRDefault="00DB19F5" w:rsidP="00DE47C1">
      <w:pPr>
        <w:pStyle w:val="Puces"/>
      </w:pPr>
      <w:r w:rsidRPr="00A74C83">
        <w:t>Le cas échéant, les modalités spécifiques de vérification des prestations.</w:t>
      </w:r>
    </w:p>
    <w:p w14:paraId="7CDE8F1B" w14:textId="2332C557" w:rsidR="00DB19F5" w:rsidRPr="00A74C83" w:rsidRDefault="00DB19F5" w:rsidP="00DB19F5">
      <w:r w:rsidRPr="00A74C83">
        <w:t xml:space="preserve">Les bons de commande peuvent être émis jusqu’au dernier jour d’exécution </w:t>
      </w:r>
      <w:r w:rsidR="003A25CA" w:rsidRPr="00A74C83">
        <w:t>du marché</w:t>
      </w:r>
      <w:r w:rsidRPr="00A74C83">
        <w:t xml:space="preserve"> et s’exécuter plus tard </w:t>
      </w:r>
      <w:r w:rsidR="00FB598B" w:rsidRPr="00A74C83">
        <w:t>quatre</w:t>
      </w:r>
      <w:r w:rsidRPr="00A74C83">
        <w:t xml:space="preserve"> mois après le terme </w:t>
      </w:r>
      <w:r w:rsidR="003A25CA" w:rsidRPr="00A74C83">
        <w:t>de celui-ci</w:t>
      </w:r>
      <w:r w:rsidRPr="00A74C83">
        <w:t xml:space="preserve">. </w:t>
      </w:r>
    </w:p>
    <w:p w14:paraId="0124ECE2" w14:textId="5148A555" w:rsidR="00DB19F5" w:rsidRPr="00A74C83" w:rsidRDefault="00DB19F5" w:rsidP="00DB19F5">
      <w:r w:rsidRPr="00A74C83">
        <w:t>Les bons de commande sont notifiés au titulaire par courrier électronique. Par dérogation à l’article 3.7.2 du CCAG-</w:t>
      </w:r>
      <w:r w:rsidR="007426F4" w:rsidRPr="00A74C83">
        <w:t>FCS</w:t>
      </w:r>
      <w:r w:rsidRPr="00A74C83">
        <w:t>, le titulaire dispose de 5 jours ouvrés pour notifier ses éventuelles observations sur le bon de commande reçu. Passé ce délai, le bon de commande est réputé reçu sans observations.</w:t>
      </w:r>
    </w:p>
    <w:p w14:paraId="00A04723" w14:textId="77777777" w:rsidR="00DB19F5" w:rsidRPr="00A74C83" w:rsidRDefault="00DB19F5" w:rsidP="00DB19F5">
      <w:pPr>
        <w:pStyle w:val="Article"/>
      </w:pPr>
      <w:bookmarkStart w:id="47" w:name="_Toc85720062"/>
      <w:bookmarkStart w:id="48" w:name="_Toc193296220"/>
      <w:r w:rsidRPr="00A74C83">
        <w:t>Article 16 : Vérification et validation des prestations</w:t>
      </w:r>
      <w:bookmarkEnd w:id="47"/>
      <w:bookmarkEnd w:id="48"/>
      <w:r w:rsidRPr="00A74C83">
        <w:tab/>
      </w:r>
    </w:p>
    <w:p w14:paraId="1FD5C390" w14:textId="75AB4705" w:rsidR="00DB19F5" w:rsidRPr="00A74C83" w:rsidRDefault="00DB19F5" w:rsidP="00DB19F5">
      <w:r w:rsidRPr="00A74C83">
        <w:t xml:space="preserve">Les opérations de vérification et validation sont conduites par </w:t>
      </w:r>
      <w:r w:rsidR="00673CC5" w:rsidRPr="00A74C83">
        <w:t>INRAE</w:t>
      </w:r>
      <w:r w:rsidRPr="00A74C83">
        <w:t>.</w:t>
      </w:r>
      <w:bookmarkStart w:id="49" w:name="_Toc85720063"/>
      <w:r w:rsidR="003A25CA" w:rsidRPr="00A74C83">
        <w:t xml:space="preserve"> Les PV et la signature de ces derniers peuvent être transmis par mail ou autre solution </w:t>
      </w:r>
      <w:r w:rsidR="009D1BF0" w:rsidRPr="00A74C83">
        <w:t>dématérialisée. Le scan du PV signé est suffisant pour engager les parties.</w:t>
      </w:r>
      <w:r w:rsidR="00EB2258" w:rsidRPr="00A74C83">
        <w:t xml:space="preserve"> </w:t>
      </w:r>
      <w:bookmarkStart w:id="50" w:name="_Hlk143506693"/>
      <w:r w:rsidR="00EB2258" w:rsidRPr="00A74C83">
        <w:t>La saisie du « service fait » dans l’outil de gestion financière suffit à attester du service fait vis-à-vis du comptable et à déclencher le paiement du montant de prestations associées.</w:t>
      </w:r>
      <w:bookmarkEnd w:id="50"/>
    </w:p>
    <w:p w14:paraId="66BC32FA" w14:textId="77777777" w:rsidR="00DB19F5" w:rsidRPr="00A74C83" w:rsidRDefault="00DB19F5" w:rsidP="00DB19F5">
      <w:pPr>
        <w:pStyle w:val="Sousarticle"/>
      </w:pPr>
      <w:bookmarkStart w:id="51" w:name="_Toc193296221"/>
      <w:r w:rsidRPr="00A74C83">
        <w:lastRenderedPageBreak/>
        <w:t>Article 16.1 : Validation et acceptation des livrables</w:t>
      </w:r>
      <w:bookmarkEnd w:id="49"/>
      <w:bookmarkEnd w:id="51"/>
      <w:r w:rsidRPr="00A74C83">
        <w:tab/>
      </w:r>
    </w:p>
    <w:p w14:paraId="5CFC9332" w14:textId="08DA7457" w:rsidR="00DB19F5" w:rsidRPr="00A74C83" w:rsidRDefault="00673CC5" w:rsidP="00DB19F5">
      <w:r w:rsidRPr="00A74C83">
        <w:t>INRAE</w:t>
      </w:r>
      <w:r w:rsidR="00DB19F5" w:rsidRPr="00A74C83">
        <w:t xml:space="preserve"> met en œuvre des opérations de vérification des prestations telles que prévues au chapitre 5 du CCAG-</w:t>
      </w:r>
      <w:r w:rsidR="00783543" w:rsidRPr="00A74C83">
        <w:t>FCS</w:t>
      </w:r>
      <w:r w:rsidR="00DB19F5" w:rsidRPr="00A74C83">
        <w:t xml:space="preserve">. Les opérations de vérification quantitatives et qualitatives simples </w:t>
      </w:r>
      <w:r w:rsidR="00783543" w:rsidRPr="00A74C83">
        <w:t xml:space="preserve">conformes à l’article 27.1 du CCAG-FCS </w:t>
      </w:r>
      <w:r w:rsidR="00DB19F5" w:rsidRPr="00A74C83">
        <w:t>sont mises en œuvre pour la plupart des prestations, sauf exception précisée dans le bon de commande.</w:t>
      </w:r>
    </w:p>
    <w:p w14:paraId="22CC87B2" w14:textId="596A449E" w:rsidR="00DB19F5" w:rsidRPr="00A74C83" w:rsidRDefault="00783543" w:rsidP="00DB19F5">
      <w:r w:rsidRPr="00A74C83">
        <w:t>Par dérogation à l’article 28 du CCAG-FCS, l</w:t>
      </w:r>
      <w:r w:rsidR="00DB19F5" w:rsidRPr="00A74C83">
        <w:t xml:space="preserve">e délai maximum de vérification simple des prestations est, sauf indication spécifique dans le bon de commande, de 10 jours ouvrés à compter de la </w:t>
      </w:r>
      <w:r w:rsidRPr="00A74C83">
        <w:t>réalisation de la prestation ou livraison du livrable</w:t>
      </w:r>
      <w:r w:rsidR="00DB19F5" w:rsidRPr="00A74C83">
        <w:t>.</w:t>
      </w:r>
    </w:p>
    <w:p w14:paraId="1B7E7841" w14:textId="127AD69F" w:rsidR="00DB19F5" w:rsidRPr="00A74C83" w:rsidRDefault="00DB19F5" w:rsidP="00DB19F5">
      <w:r w:rsidRPr="00A74C83">
        <w:t xml:space="preserve">Lors de l’émission de chaque bon de commande, </w:t>
      </w:r>
      <w:r w:rsidR="00673CC5" w:rsidRPr="00A74C83">
        <w:t xml:space="preserve">INRAE </w:t>
      </w:r>
      <w:r w:rsidRPr="00A74C83">
        <w:t xml:space="preserve">décidera et informera le Titulaire de la nécessité ou non de procéder à des </w:t>
      </w:r>
      <w:r w:rsidR="00783543" w:rsidRPr="00A74C83">
        <w:t>vérifications spécifiques plus complexes</w:t>
      </w:r>
      <w:r w:rsidRPr="00A74C83">
        <w:t>.</w:t>
      </w:r>
    </w:p>
    <w:p w14:paraId="5DD81F1E" w14:textId="192DBB8A" w:rsidR="00DB19F5" w:rsidRPr="00A74C83" w:rsidRDefault="00783543" w:rsidP="00DB19F5">
      <w:r w:rsidRPr="00A74C83">
        <w:t>Dans ce cas</w:t>
      </w:r>
      <w:r w:rsidR="00DB19F5" w:rsidRPr="00A74C83">
        <w:t xml:space="preserve">, la durée de </w:t>
      </w:r>
      <w:r w:rsidRPr="00A74C83">
        <w:t>vérifications</w:t>
      </w:r>
      <w:r w:rsidR="00DB19F5" w:rsidRPr="00A74C83">
        <w:t xml:space="preserve"> pourra déroger au</w:t>
      </w:r>
      <w:r w:rsidRPr="00A74C83">
        <w:t xml:space="preserve"> présent</w:t>
      </w:r>
      <w:r w:rsidR="00DB19F5" w:rsidRPr="00A74C83">
        <w:t xml:space="preserve"> article afin d’être spécifiquement adaptée à la prestation commandée. Les délais sont alors précisés dans le bon de commande ou ses annexes. </w:t>
      </w:r>
    </w:p>
    <w:p w14:paraId="472EA301" w14:textId="206067B2" w:rsidR="00DB19F5" w:rsidRPr="00A74C83" w:rsidRDefault="00DB19F5" w:rsidP="00DB19F5">
      <w:r w:rsidRPr="00A74C83">
        <w:t xml:space="preserve">Avant la notification de l’écrit (par courriel ou par plateforme de téléchargement en ligne) par lequel le Titulaire avise </w:t>
      </w:r>
      <w:r w:rsidR="00673CC5" w:rsidRPr="00A74C83">
        <w:t>INRAE</w:t>
      </w:r>
      <w:r w:rsidRPr="00A74C83">
        <w:t xml:space="preserve"> que les prestations sont prêtes à être vérifiées, le Titulaire est tenu de procéder à </w:t>
      </w:r>
      <w:r w:rsidR="00783543" w:rsidRPr="00A74C83">
        <w:t>ses opérations de vérification</w:t>
      </w:r>
      <w:r w:rsidRPr="00A74C83">
        <w:t xml:space="preserve"> interne. Il doit s’assurer de la conformité des </w:t>
      </w:r>
      <w:r w:rsidR="00783543" w:rsidRPr="00A74C83">
        <w:t>prestations fournies</w:t>
      </w:r>
      <w:r w:rsidRPr="00A74C83">
        <w:t>.</w:t>
      </w:r>
    </w:p>
    <w:p w14:paraId="44E56D03" w14:textId="77777777" w:rsidR="00300C42" w:rsidRPr="00A74C83" w:rsidRDefault="00300C42" w:rsidP="00300C42">
      <w:r w:rsidRPr="00A74C83">
        <w:t>Par dérogation à l’article 27.3 du CCAG-FCS, les opérations de vérification pourront être mises en œuvre en l’absence du Titulaire. Les PV et autres formats de décisions prises par INRAE sont susceptibles de faire l’objet d’une dématérialisation.</w:t>
      </w:r>
    </w:p>
    <w:p w14:paraId="3093EBB3" w14:textId="142C391C" w:rsidR="00300C42" w:rsidRPr="00A74C83" w:rsidRDefault="00300C42" w:rsidP="00300C42">
      <w:r w:rsidRPr="00A74C83">
        <w:t>L'acheteur prononce l'admission des prestations, sous réserve des vices cachés, si elles répondent aux stipulations du marché. Par dérogation à l’article 30 du CCAG-FCS, l'admission prend effet à la date de notification au titulaire de la décision d'admission ou en l'absence de décision, dans un délai de 5 jours ouvrés à compter de la fin du délai de vérification applicable à la prestation.</w:t>
      </w:r>
    </w:p>
    <w:p w14:paraId="2D76E2BE" w14:textId="77777777" w:rsidR="00300C42" w:rsidRPr="00A74C83" w:rsidRDefault="00300C42" w:rsidP="00DB19F5"/>
    <w:p w14:paraId="5F231FCB" w14:textId="77777777" w:rsidR="00DB19F5" w:rsidRPr="00A74C83" w:rsidRDefault="00DB19F5" w:rsidP="00DB19F5">
      <w:pPr>
        <w:pStyle w:val="Article"/>
      </w:pPr>
      <w:bookmarkStart w:id="52" w:name="_Toc85720066"/>
      <w:bookmarkStart w:id="53" w:name="_Toc193296222"/>
      <w:r w:rsidRPr="00A74C83">
        <w:t>Article 17 : Modalités de facturation et de paiement</w:t>
      </w:r>
      <w:bookmarkEnd w:id="52"/>
      <w:bookmarkEnd w:id="53"/>
      <w:r w:rsidRPr="00A74C83">
        <w:tab/>
      </w:r>
    </w:p>
    <w:p w14:paraId="6187A6C8" w14:textId="77777777" w:rsidR="00DB19F5" w:rsidRPr="00A74C83" w:rsidRDefault="00DB19F5" w:rsidP="00DB19F5">
      <w:pPr>
        <w:pStyle w:val="Sousarticle"/>
      </w:pPr>
      <w:bookmarkStart w:id="54" w:name="_Toc85720068"/>
      <w:bookmarkStart w:id="55" w:name="_Toc193296223"/>
      <w:r w:rsidRPr="00A74C83">
        <w:t>Article 17.1 : Présentation des factures</w:t>
      </w:r>
      <w:bookmarkEnd w:id="54"/>
      <w:bookmarkEnd w:id="55"/>
      <w:r w:rsidRPr="00A74C83">
        <w:tab/>
      </w:r>
    </w:p>
    <w:p w14:paraId="2C16200C" w14:textId="77777777" w:rsidR="00DB19F5" w:rsidRPr="00A74C83" w:rsidRDefault="00DB19F5" w:rsidP="00DB19F5">
      <w:r w:rsidRPr="00A74C83">
        <w:t xml:space="preserve">Les factures seront établies selon les règles prévues par la comptabilité publique. </w:t>
      </w:r>
    </w:p>
    <w:p w14:paraId="67D83A95" w14:textId="77777777" w:rsidR="00DB19F5" w:rsidRPr="00A74C83" w:rsidRDefault="00DB19F5" w:rsidP="00DB19F5">
      <w:r w:rsidRPr="00A74C83">
        <w:t>Conformément à la loi n°2014-1 du 3 janvier 2014 sur la simplification de la vie des entreprises et au décret n°2016-1478 du 2 novembre 2016 relatif au développement de la facturation électronique, le Titulaire ainsi que, le cas échéant, ses cotraitants et ses sous-traitants concernés, doivent transmettre leurs demandes de paiement sur le portail mutualisé de l’Etat Chorus Pro.</w:t>
      </w:r>
    </w:p>
    <w:p w14:paraId="6D4C583E" w14:textId="77777777" w:rsidR="00DB19F5" w:rsidRPr="00A74C83" w:rsidRDefault="00DB19F5" w:rsidP="00DB19F5">
      <w:r w:rsidRPr="00A74C83">
        <w:t xml:space="preserve">L’accès au portail Chorus Pro se fait par l’adresse suivante : </w:t>
      </w:r>
      <w:hyperlink r:id="rId22" w:tooltip="https://chorus-pro.gouv.fr" w:history="1">
        <w:r w:rsidRPr="00A74C83">
          <w:rPr>
            <w:color w:val="0563C1"/>
            <w:u w:val="single"/>
          </w:rPr>
          <w:t>https://chorus-pro.gouv.fr</w:t>
        </w:r>
      </w:hyperlink>
      <w:r w:rsidRPr="00A74C83">
        <w:t xml:space="preserve">. </w:t>
      </w:r>
    </w:p>
    <w:p w14:paraId="24E234DE" w14:textId="77777777" w:rsidR="00DB19F5" w:rsidRPr="00A74C83" w:rsidRDefault="00DB19F5" w:rsidP="00DB19F5">
      <w:r w:rsidRPr="00A74C83">
        <w:t>Les factures sont établies en un original selon les règles prévues par la comptabilité publique.</w:t>
      </w:r>
    </w:p>
    <w:p w14:paraId="1512E352" w14:textId="77777777" w:rsidR="00DB19F5" w:rsidRPr="00A74C83" w:rsidRDefault="00DB19F5" w:rsidP="00DB19F5">
      <w:r w:rsidRPr="00A74C83">
        <w:t xml:space="preserve">Elles comprendront outre les mentions légales, les renseignements suivants : </w:t>
      </w:r>
    </w:p>
    <w:p w14:paraId="10A77CE3" w14:textId="77777777" w:rsidR="00DB19F5" w:rsidRPr="00A74C83" w:rsidRDefault="00DB19F5" w:rsidP="008A7680">
      <w:pPr>
        <w:pStyle w:val="Puces"/>
      </w:pPr>
      <w:r w:rsidRPr="00A74C83">
        <w:t>Les nom et adresse du créancier ;</w:t>
      </w:r>
    </w:p>
    <w:p w14:paraId="046EB782" w14:textId="77777777" w:rsidR="00DB19F5" w:rsidRPr="00A74C83" w:rsidRDefault="00DB19F5" w:rsidP="008A7680">
      <w:pPr>
        <w:pStyle w:val="Puces"/>
      </w:pPr>
      <w:r w:rsidRPr="00A74C83">
        <w:t>Le numéro SIRET du service financier concerné ;</w:t>
      </w:r>
    </w:p>
    <w:p w14:paraId="26829BB1" w14:textId="6B4A377E" w:rsidR="00DB19F5" w:rsidRPr="00A74C83" w:rsidRDefault="00DB19F5" w:rsidP="008A7680">
      <w:pPr>
        <w:pStyle w:val="Puces"/>
      </w:pPr>
      <w:r w:rsidRPr="00A74C83">
        <w:t xml:space="preserve">Le numéro </w:t>
      </w:r>
      <w:r w:rsidR="009D1BF0" w:rsidRPr="00A74C83">
        <w:t>du marché</w:t>
      </w:r>
      <w:r w:rsidRPr="00A74C83">
        <w:t xml:space="preserve"> ;</w:t>
      </w:r>
    </w:p>
    <w:p w14:paraId="7B9BA83E" w14:textId="77777777" w:rsidR="00DB19F5" w:rsidRPr="00A74C83" w:rsidRDefault="00DB19F5" w:rsidP="008A7680">
      <w:pPr>
        <w:pStyle w:val="Puces"/>
      </w:pPr>
      <w:r w:rsidRPr="00A74C83">
        <w:t>Le numéro du ou des bons de commande, le cas échéant, précisé par ligne de facture ;</w:t>
      </w:r>
    </w:p>
    <w:p w14:paraId="1D9255A6" w14:textId="77777777" w:rsidR="00DB19F5" w:rsidRPr="00A74C83" w:rsidRDefault="00DB19F5" w:rsidP="008A7680">
      <w:pPr>
        <w:pStyle w:val="Puces"/>
      </w:pPr>
      <w:r w:rsidRPr="00A74C83">
        <w:t>Le numéro du compte bancaire ou postal tel qu’il est précisé au marché ;</w:t>
      </w:r>
    </w:p>
    <w:p w14:paraId="11EC965A" w14:textId="77777777" w:rsidR="00DB19F5" w:rsidRPr="00A74C83" w:rsidRDefault="00DB19F5" w:rsidP="008A7680">
      <w:pPr>
        <w:pStyle w:val="Puces"/>
      </w:pPr>
      <w:r w:rsidRPr="00A74C83">
        <w:t>Les prestations exécutées et leur décomposition en unités d’œuvre ;</w:t>
      </w:r>
    </w:p>
    <w:p w14:paraId="3C50B464" w14:textId="77777777" w:rsidR="00DB19F5" w:rsidRPr="00A74C83" w:rsidRDefault="00DB19F5" w:rsidP="008A7680">
      <w:pPr>
        <w:pStyle w:val="Puces"/>
      </w:pPr>
      <w:r w:rsidRPr="00A74C83">
        <w:t>Le montant hors taxes des prestations telles que figurant sur le bordereau des prix en vigueur à la commande ;</w:t>
      </w:r>
    </w:p>
    <w:p w14:paraId="7F2534EB" w14:textId="77777777" w:rsidR="00DB19F5" w:rsidRPr="00A74C83" w:rsidRDefault="00DB19F5" w:rsidP="008A7680">
      <w:pPr>
        <w:pStyle w:val="Puces"/>
      </w:pPr>
      <w:r w:rsidRPr="00A74C83">
        <w:t>Le taux et le montant de la TVA ;</w:t>
      </w:r>
    </w:p>
    <w:p w14:paraId="516C1E58" w14:textId="77777777" w:rsidR="00DB19F5" w:rsidRPr="00A74C83" w:rsidRDefault="00DB19F5" w:rsidP="00CA0021">
      <w:pPr>
        <w:pStyle w:val="Puces"/>
      </w:pPr>
      <w:r w:rsidRPr="00A74C83">
        <w:t>La date de facturation,</w:t>
      </w:r>
    </w:p>
    <w:p w14:paraId="75EC083E" w14:textId="297F4EFE" w:rsidR="00DB19F5" w:rsidRPr="00A74C83" w:rsidRDefault="00DB19F5" w:rsidP="00DE47C1">
      <w:pPr>
        <w:pStyle w:val="Puces"/>
        <w:numPr>
          <w:ilvl w:val="0"/>
          <w:numId w:val="0"/>
        </w:numPr>
      </w:pPr>
      <w:r w:rsidRPr="00A74C83">
        <w:lastRenderedPageBreak/>
        <w:t>La facture peut comporter des pièces justificatives en cas de paiement d’acompte et de facturation partielle</w:t>
      </w:r>
      <w:r w:rsidR="00DE47C1" w:rsidRPr="00A74C83">
        <w:t>.</w:t>
      </w:r>
    </w:p>
    <w:p w14:paraId="4CB26714" w14:textId="77777777" w:rsidR="004121A6" w:rsidRPr="00A74C83" w:rsidRDefault="00DB19F5" w:rsidP="00DB19F5">
      <w:r w:rsidRPr="00A74C83">
        <w:t xml:space="preserve">Conformément aux dispositions de l’article 4.1 du décret n°2016-1478 du 2 novembre 2016 relatif au développement de la facturation électronique, l’utilisation du portail de facturation est exclusive de tout autre mode de transmission. Le titulaire respecte les conditions de facturation </w:t>
      </w:r>
      <w:r w:rsidR="0009202A" w:rsidRPr="00A74C83">
        <w:t xml:space="preserve">suivantes :  </w:t>
      </w:r>
    </w:p>
    <w:p w14:paraId="11E16914" w14:textId="53FC35AF" w:rsidR="004121A6" w:rsidRPr="00A74C83" w:rsidRDefault="004121A6" w:rsidP="00DB19F5">
      <w:r w:rsidRPr="00A74C83">
        <w:rPr>
          <w:noProof/>
        </w:rPr>
        <w:drawing>
          <wp:inline distT="0" distB="0" distL="0" distR="0" wp14:anchorId="0DA45A1C" wp14:editId="3B596E02">
            <wp:extent cx="5631473" cy="8134350"/>
            <wp:effectExtent l="0" t="0" r="762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655822" cy="8169521"/>
                    </a:xfrm>
                    <a:prstGeom prst="rect">
                      <a:avLst/>
                    </a:prstGeom>
                  </pic:spPr>
                </pic:pic>
              </a:graphicData>
            </a:graphic>
          </wp:inline>
        </w:drawing>
      </w:r>
    </w:p>
    <w:p w14:paraId="0FD4E52E" w14:textId="161C2A22" w:rsidR="004121A6" w:rsidRPr="00A74C83" w:rsidRDefault="004121A6" w:rsidP="00DB19F5">
      <w:r w:rsidRPr="00A74C83">
        <w:rPr>
          <w:noProof/>
        </w:rPr>
        <w:lastRenderedPageBreak/>
        <w:drawing>
          <wp:inline distT="0" distB="0" distL="0" distR="0" wp14:anchorId="51890A74" wp14:editId="6F61F574">
            <wp:extent cx="6060098" cy="875347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6073448" cy="8772758"/>
                    </a:xfrm>
                    <a:prstGeom prst="rect">
                      <a:avLst/>
                    </a:prstGeom>
                  </pic:spPr>
                </pic:pic>
              </a:graphicData>
            </a:graphic>
          </wp:inline>
        </w:drawing>
      </w:r>
    </w:p>
    <w:p w14:paraId="11CE1771" w14:textId="0F88D80B" w:rsidR="00DB19F5" w:rsidRPr="00A74C83" w:rsidRDefault="00DB19F5" w:rsidP="00DB19F5">
      <w:r w:rsidRPr="00A74C83">
        <w:lastRenderedPageBreak/>
        <w:t>Le paiement sera effectué au compte bancaire indiqué par le Titulaire dans le cadre de sa réponse au présent marché.</w:t>
      </w:r>
      <w:bookmarkStart w:id="56" w:name="_Toc85720069"/>
    </w:p>
    <w:p w14:paraId="2A65FB94" w14:textId="77777777" w:rsidR="00DB19F5" w:rsidRPr="00A74C83" w:rsidRDefault="00DB19F5" w:rsidP="00DB19F5">
      <w:pPr>
        <w:pStyle w:val="Sousarticle"/>
      </w:pPr>
      <w:bookmarkStart w:id="57" w:name="_Toc193296224"/>
      <w:r w:rsidRPr="00A74C83">
        <w:t>Article 17.2 : Envoi des factures, ordonnateur et comptable assignataires</w:t>
      </w:r>
      <w:bookmarkEnd w:id="56"/>
      <w:bookmarkEnd w:id="57"/>
      <w:r w:rsidRPr="00A74C83">
        <w:tab/>
      </w:r>
    </w:p>
    <w:p w14:paraId="25713914" w14:textId="1C6C630C" w:rsidR="00DB19F5" w:rsidRPr="00A74C83" w:rsidRDefault="00DB19F5" w:rsidP="00DB19F5">
      <w:r w:rsidRPr="00A74C83">
        <w:t>Les factures sont libellées à l’adresse du Service Budgétaire, Financier et Comptable correspondant à la commande. Les coordonnées du service sont indiquées sur le bon de commande.</w:t>
      </w:r>
    </w:p>
    <w:p w14:paraId="03A785B7" w14:textId="77777777" w:rsidR="00DB19F5" w:rsidRPr="00A74C83" w:rsidRDefault="00DB19F5" w:rsidP="00DB19F5">
      <w:r w:rsidRPr="00A74C83">
        <w:t>L’ordonnateur chargé d’émettre le titre de paiement est indiqué sur le bon de commande.</w:t>
      </w:r>
    </w:p>
    <w:p w14:paraId="4CC181F7" w14:textId="77777777" w:rsidR="00DB19F5" w:rsidRPr="00A74C83" w:rsidRDefault="00DB19F5" w:rsidP="00DB19F5">
      <w:r w:rsidRPr="00A74C83">
        <w:t>Le comptable assignataire de la dépense est l’Agent Comptable indiqué sur le bon de commande.</w:t>
      </w:r>
    </w:p>
    <w:p w14:paraId="36A3BB52" w14:textId="77777777" w:rsidR="00DB19F5" w:rsidRPr="00A74C83" w:rsidRDefault="00DB19F5" w:rsidP="00DB19F5">
      <w:pPr>
        <w:pStyle w:val="Sousarticle"/>
      </w:pPr>
      <w:bookmarkStart w:id="58" w:name="_Toc85720070"/>
      <w:bookmarkStart w:id="59" w:name="_Toc193296225"/>
      <w:r w:rsidRPr="00A74C83">
        <w:t>Article 17.3 : Conditions de paiement</w:t>
      </w:r>
      <w:bookmarkEnd w:id="58"/>
      <w:bookmarkEnd w:id="59"/>
      <w:r w:rsidRPr="00A74C83">
        <w:tab/>
      </w:r>
    </w:p>
    <w:p w14:paraId="1073127C" w14:textId="2C41E59D" w:rsidR="00DB19F5" w:rsidRPr="00A74C83" w:rsidRDefault="00DB19F5" w:rsidP="004121A6">
      <w:r w:rsidRPr="00A74C83">
        <w:t xml:space="preserve">Le paiement des prestations se fait </w:t>
      </w:r>
      <w:r w:rsidR="009D1BF0" w:rsidRPr="00A74C83">
        <w:t>à</w:t>
      </w:r>
      <w:r w:rsidRPr="00A74C83">
        <w:t xml:space="preserve"> terme échu sur présentation d’une facture par le Titulaire. </w:t>
      </w:r>
    </w:p>
    <w:p w14:paraId="2998C7BC" w14:textId="0D8CA734" w:rsidR="00DB19F5" w:rsidRPr="00A74C83" w:rsidRDefault="00DB19F5" w:rsidP="00DB19F5">
      <w:r w:rsidRPr="00A74C83">
        <w:t xml:space="preserve">La facturation des prestations à prix forfaitaires peut se faire de manière </w:t>
      </w:r>
      <w:r w:rsidR="00014302" w:rsidRPr="00A74C83">
        <w:t xml:space="preserve">trimestrielle, </w:t>
      </w:r>
      <w:r w:rsidRPr="00A74C83">
        <w:t>semestrielle ou annuelle</w:t>
      </w:r>
      <w:r w:rsidR="009D1BF0" w:rsidRPr="00A74C83">
        <w:t xml:space="preserve"> et/ou peut </w:t>
      </w:r>
      <w:r w:rsidR="004121A6" w:rsidRPr="00A74C83">
        <w:t xml:space="preserve">être </w:t>
      </w:r>
      <w:r w:rsidR="009D1BF0" w:rsidRPr="00A74C83">
        <w:t>calcul</w:t>
      </w:r>
      <w:r w:rsidR="004121A6" w:rsidRPr="00A74C83">
        <w:t>ée</w:t>
      </w:r>
      <w:r w:rsidR="009D1BF0" w:rsidRPr="00A74C83">
        <w:t xml:space="preserve"> </w:t>
      </w:r>
      <w:r w:rsidR="004121A6" w:rsidRPr="00A74C83">
        <w:t>au</w:t>
      </w:r>
      <w:r w:rsidR="009D1BF0" w:rsidRPr="00A74C83">
        <w:t xml:space="preserve"> prix prorata </w:t>
      </w:r>
      <w:proofErr w:type="spellStart"/>
      <w:r w:rsidR="009D1BF0" w:rsidRPr="00A74C83">
        <w:t>temporis</w:t>
      </w:r>
      <w:proofErr w:type="spellEnd"/>
      <w:r w:rsidR="009D1BF0" w:rsidRPr="00A74C83">
        <w:t xml:space="preserve"> des prestations</w:t>
      </w:r>
      <w:r w:rsidRPr="00A74C83">
        <w:t>.</w:t>
      </w:r>
    </w:p>
    <w:p w14:paraId="653342F9" w14:textId="10FBA0E3" w:rsidR="00DB19F5" w:rsidRPr="00A74C83" w:rsidRDefault="00DB19F5" w:rsidP="00DB19F5">
      <w:r w:rsidRPr="00A74C83">
        <w:t>La facturation des autres prestations se fait après service fait</w:t>
      </w:r>
      <w:r w:rsidR="00014302" w:rsidRPr="00A74C83">
        <w:t xml:space="preserve"> ou selon l’échéancier prévu à l’article suivant.</w:t>
      </w:r>
    </w:p>
    <w:p w14:paraId="7A9D35D3" w14:textId="2057DAA4" w:rsidR="00DB19F5" w:rsidRPr="00A74C83" w:rsidRDefault="00DB19F5" w:rsidP="00DB19F5">
      <w:r w:rsidRPr="00A74C83">
        <w:t xml:space="preserve">Le paiement du Titulaire sera diminué le cas échéant du montant des pénalités prévues au présent document. </w:t>
      </w:r>
    </w:p>
    <w:p w14:paraId="7C26EB04" w14:textId="09BF781E" w:rsidR="00DB19F5" w:rsidRPr="00A74C83" w:rsidRDefault="00DB19F5" w:rsidP="00DB19F5">
      <w:r w:rsidRPr="00A74C83">
        <w:t>Le financement s'effectue sur le budget d</w:t>
      </w:r>
      <w:r w:rsidR="008F46F9" w:rsidRPr="00A74C83">
        <w:t>’INRAE.</w:t>
      </w:r>
    </w:p>
    <w:p w14:paraId="7C12F2F5" w14:textId="402FF7D2" w:rsidR="00DB19F5" w:rsidRPr="00A74C83" w:rsidRDefault="00DB19F5" w:rsidP="00DB19F5">
      <w:r w:rsidRPr="00A74C83">
        <w:t>Le paiement des prestations peut faire l’objet d’une réfaction, conformément à l’article 3</w:t>
      </w:r>
      <w:r w:rsidR="004121A6" w:rsidRPr="00A74C83">
        <w:t>0.3</w:t>
      </w:r>
      <w:r w:rsidRPr="00A74C83">
        <w:t xml:space="preserve"> du CCAG-</w:t>
      </w:r>
      <w:r w:rsidR="004121A6" w:rsidRPr="00A74C83">
        <w:t>FCS</w:t>
      </w:r>
      <w:r w:rsidRPr="00A74C83">
        <w:t>.</w:t>
      </w:r>
    </w:p>
    <w:p w14:paraId="7DFFA09A" w14:textId="77777777" w:rsidR="00DB19F5" w:rsidRPr="00A74C83" w:rsidRDefault="00DB19F5" w:rsidP="00DB19F5">
      <w:r w:rsidRPr="00A74C83">
        <w:t>En application des dispositions du titre IV de la loi n° 2013-100 du 28 janvier 2013, le retard de paiement fait courir, de plein droit, des intérêts moratoires et donne droit au paiement d’une indemnité forfaitaire pour frais de recouvrement. Les modalités de calcul des intérêts et de l’indemnité sont fixées par le décret n°2013-269 du 29 mars 2013.</w:t>
      </w:r>
    </w:p>
    <w:p w14:paraId="52C14109" w14:textId="0FCB89DD" w:rsidR="00DB19F5" w:rsidRPr="00A74C83" w:rsidRDefault="00DB19F5" w:rsidP="00DB19F5">
      <w:pPr>
        <w:pStyle w:val="Sousarticle"/>
      </w:pPr>
      <w:bookmarkStart w:id="60" w:name="_Toc193296226"/>
      <w:r w:rsidRPr="00A74C83">
        <w:t>Article 17.4 : Echéancier des paiements</w:t>
      </w:r>
      <w:bookmarkEnd w:id="60"/>
      <w:r w:rsidR="008F46F9" w:rsidRPr="00A74C83">
        <w:tab/>
      </w:r>
    </w:p>
    <w:p w14:paraId="0B282F65" w14:textId="3CAC32F9" w:rsidR="00DB19F5" w:rsidRPr="00A74C83" w:rsidRDefault="00DB19F5" w:rsidP="004121A6">
      <w:r w:rsidRPr="00A74C83">
        <w:t xml:space="preserve">Si </w:t>
      </w:r>
      <w:r w:rsidR="008F46F9" w:rsidRPr="00A74C83">
        <w:t>INRAE</w:t>
      </w:r>
      <w:r w:rsidRPr="00A74C83">
        <w:t xml:space="preserve"> a indiqué dans le bon de commande des délais </w:t>
      </w:r>
      <w:r w:rsidR="004121A6" w:rsidRPr="00A74C83">
        <w:t>de vérification spécifiques</w:t>
      </w:r>
      <w:r w:rsidRPr="00A74C83">
        <w:t xml:space="preserve">, le paiement se fera selon l’échéancier </w:t>
      </w:r>
      <w:r w:rsidR="004121A6" w:rsidRPr="00A74C83">
        <w:t>éventuellement associé au devis et au bon de commande concerné.</w:t>
      </w:r>
    </w:p>
    <w:p w14:paraId="1FAEEF77" w14:textId="4DB1BE13" w:rsidR="00DB19F5" w:rsidRPr="00A74C83" w:rsidRDefault="00DB19F5" w:rsidP="00DB19F5">
      <w:r w:rsidRPr="00A74C83">
        <w:t xml:space="preserve">Pour toutes les prestations à bons de commandes </w:t>
      </w:r>
      <w:r w:rsidR="004121A6" w:rsidRPr="00A74C83">
        <w:t>non-forfaitaires</w:t>
      </w:r>
      <w:r w:rsidRPr="00A74C83">
        <w:t xml:space="preserve"> et qui sont d’une durée d’exécution supérieure à 3 mois (1 mois pour les PME), le paiement d’un acompte trimestriel (mensuel pour les PME), sur remise d’un procès-verbal d’avancement des travaux validé par </w:t>
      </w:r>
      <w:r w:rsidR="008F46F9" w:rsidRPr="00A74C83">
        <w:t>INRAE</w:t>
      </w:r>
      <w:r w:rsidRPr="00A74C83">
        <w:t>, peut être demandé par le Titulaire en application de l’article R.2191-22 du code de la commande publique.</w:t>
      </w:r>
    </w:p>
    <w:p w14:paraId="15255D6F" w14:textId="77777777" w:rsidR="00DB19F5" w:rsidRPr="00A74C83" w:rsidRDefault="00DB19F5" w:rsidP="00DB19F5">
      <w:pPr>
        <w:pStyle w:val="Sousarticle"/>
      </w:pPr>
      <w:bookmarkStart w:id="61" w:name="_Toc85720071"/>
      <w:bookmarkStart w:id="62" w:name="_Toc193296227"/>
      <w:r w:rsidRPr="00A74C83">
        <w:t>Article 17.5 : Paiement des sous-traitants et des cotraitants</w:t>
      </w:r>
      <w:bookmarkEnd w:id="61"/>
      <w:bookmarkEnd w:id="62"/>
      <w:r w:rsidRPr="00A74C83">
        <w:tab/>
      </w:r>
    </w:p>
    <w:p w14:paraId="557E1D73" w14:textId="77777777" w:rsidR="00DB19F5" w:rsidRPr="00A74C83" w:rsidRDefault="00DB19F5" w:rsidP="00DB19F5">
      <w:pPr>
        <w:pStyle w:val="Soussousarticle"/>
      </w:pPr>
      <w:bookmarkStart w:id="63" w:name="_Toc85720072"/>
      <w:bookmarkStart w:id="64" w:name="_Toc193296228"/>
      <w:r w:rsidRPr="00A74C83">
        <w:t>Article 17.5.1 : Paiement des sous-traitants</w:t>
      </w:r>
      <w:bookmarkEnd w:id="63"/>
      <w:bookmarkEnd w:id="64"/>
      <w:r w:rsidRPr="00A74C83">
        <w:tab/>
      </w:r>
    </w:p>
    <w:p w14:paraId="623CB278" w14:textId="0F25F78F" w:rsidR="00DB19F5" w:rsidRPr="00A74C83" w:rsidRDefault="00DB19F5" w:rsidP="00DB19F5">
      <w:r w:rsidRPr="00A74C83">
        <w:t>Les prestations exécutées par les sous-traitants, dont les conditions de paiement ont été agréées par le service achat</w:t>
      </w:r>
      <w:r w:rsidR="008F46F9" w:rsidRPr="00A74C83">
        <w:t xml:space="preserve"> d’INRAE</w:t>
      </w:r>
      <w:r w:rsidRPr="00A74C83">
        <w:t>, sont payées dans les conditions financières prévues par le Code de la commande publique ou par un acte spécial.</w:t>
      </w:r>
    </w:p>
    <w:p w14:paraId="4D97A2CC" w14:textId="14062118" w:rsidR="00DB19F5" w:rsidRPr="00A74C83" w:rsidRDefault="00DB19F5" w:rsidP="00DB19F5">
      <w:r w:rsidRPr="00A74C83">
        <w:t xml:space="preserve">À ce titre, le sous-traitant dispose d’un droit à paiement direct dès lors que le montant de la </w:t>
      </w:r>
      <w:r w:rsidR="006634E9" w:rsidRPr="00A74C83">
        <w:t xml:space="preserve">prestation </w:t>
      </w:r>
      <w:r w:rsidRPr="00A74C83">
        <w:t>est supérieur à 600 € TTC. Le Titulaire veille, à déclarer et faire agréer le ou les sous-traitants retenus pendant toute ou partie de la durée du marché.</w:t>
      </w:r>
    </w:p>
    <w:p w14:paraId="4D4D59F4" w14:textId="77777777" w:rsidR="00DB19F5" w:rsidRPr="00A74C83" w:rsidRDefault="00DB19F5" w:rsidP="00DB19F5">
      <w:pPr>
        <w:pStyle w:val="Soussousarticle"/>
      </w:pPr>
      <w:bookmarkStart w:id="65" w:name="_Toc85720073"/>
      <w:bookmarkStart w:id="66" w:name="_Toc193296229"/>
      <w:r w:rsidRPr="00A74C83">
        <w:t>Article 17.5.2 : Paiement des cotraitants</w:t>
      </w:r>
      <w:bookmarkEnd w:id="65"/>
      <w:bookmarkEnd w:id="66"/>
      <w:r w:rsidRPr="00A74C83">
        <w:tab/>
      </w:r>
    </w:p>
    <w:p w14:paraId="2B80CA6C" w14:textId="7B33E260" w:rsidR="00DB19F5" w:rsidRPr="00A74C83" w:rsidRDefault="00DB19F5" w:rsidP="00DB19F5">
      <w:r w:rsidRPr="00A74C83">
        <w:t xml:space="preserve">En cas de </w:t>
      </w:r>
      <w:r w:rsidR="006634E9" w:rsidRPr="00A74C83">
        <w:t xml:space="preserve">titulaire </w:t>
      </w:r>
      <w:r w:rsidRPr="00A74C83">
        <w:t>groupement conjoint, chaque membre du groupement perçoit directement les sommes se rapportant à l'exécution de ses propres prestations.</w:t>
      </w:r>
    </w:p>
    <w:p w14:paraId="06E2507A" w14:textId="32C37DB5" w:rsidR="00DB19F5" w:rsidRPr="00A74C83" w:rsidRDefault="00DB19F5" w:rsidP="00DB19F5">
      <w:r w:rsidRPr="00A74C83">
        <w:t xml:space="preserve">En cas de </w:t>
      </w:r>
      <w:r w:rsidR="006634E9" w:rsidRPr="00A74C83">
        <w:t xml:space="preserve">titulaire </w:t>
      </w:r>
      <w:r w:rsidRPr="00A74C83">
        <w:t>groupement solidaire, le paiement est effectué sur un compte unique, géré par le mandataire du groupement. Si le marché prévoit une répartition, le paiement est effectué sur le compte propre à chaque membre du groupement, par dérogation à l'article 12.1 du CCAG</w:t>
      </w:r>
      <w:r w:rsidR="00E07CF4" w:rsidRPr="00A74C83">
        <w:t>-FCS</w:t>
      </w:r>
      <w:r w:rsidRPr="00A74C83">
        <w:t>.</w:t>
      </w:r>
    </w:p>
    <w:p w14:paraId="3336177C" w14:textId="0338E5AC" w:rsidR="00DB19F5" w:rsidRPr="00A74C83" w:rsidRDefault="00DB19F5" w:rsidP="00DB19F5">
      <w:r w:rsidRPr="00A74C83">
        <w:lastRenderedPageBreak/>
        <w:t>Par dérogation à l’article 12.1 du CCAG</w:t>
      </w:r>
      <w:r w:rsidR="00E07CF4" w:rsidRPr="00A74C83">
        <w:t>-FCS</w:t>
      </w:r>
      <w:r w:rsidRPr="00A74C83">
        <w:t>, les co-traitants peuvent présenter les demandes de paiement correspondant aux prestations qu’ils ont effectué. Ils peuvent également transmettre leurs propres réclamations.</w:t>
      </w:r>
    </w:p>
    <w:p w14:paraId="3D2FCE9B" w14:textId="77777777" w:rsidR="00DB19F5" w:rsidRPr="00A74C83" w:rsidRDefault="00DB19F5" w:rsidP="00DB19F5">
      <w:pPr>
        <w:pStyle w:val="Article"/>
      </w:pPr>
      <w:bookmarkStart w:id="67" w:name="_Toc85720074"/>
      <w:bookmarkStart w:id="68" w:name="_Toc193296230"/>
      <w:r w:rsidRPr="00A74C83">
        <w:t>Article 18 : Avance</w:t>
      </w:r>
      <w:bookmarkEnd w:id="67"/>
      <w:bookmarkEnd w:id="68"/>
      <w:r w:rsidRPr="00A74C83">
        <w:tab/>
      </w:r>
    </w:p>
    <w:p w14:paraId="6E15F2FD" w14:textId="65C903E9" w:rsidR="00DB19F5" w:rsidRPr="00A74C83" w:rsidRDefault="00DB19F5" w:rsidP="00DB19F5">
      <w:r w:rsidRPr="00A74C83">
        <w:t>Par application de l’option B de l’article 11.1 du CCAG</w:t>
      </w:r>
      <w:r w:rsidR="00E07CF4" w:rsidRPr="00A74C83">
        <w:t>-FCS</w:t>
      </w:r>
      <w:r w:rsidRPr="00A74C83">
        <w:t xml:space="preserve">, le régime des avances applicable au marché est celui des accords-cadres exécutés à bons de commande visés aux articles R2191-16 à 19 du code de la commande publique. L’avance accordée au Titulaire est de 5 % (10% lorsque le Titulaire est une PME) du montant du bon de commande si la durée prévue pour son exécution est supérieure à deux mois et son montant supérieur à 50 000 €HT. </w:t>
      </w:r>
    </w:p>
    <w:p w14:paraId="5B17B637" w14:textId="77777777" w:rsidR="00DB19F5" w:rsidRPr="00A74C83" w:rsidRDefault="00DB19F5" w:rsidP="00DB19F5">
      <w:r w:rsidRPr="00A74C83">
        <w:t>Dans le cas d’une commande de prestation dont la durée d’exécution est supérieure à 12 mois, l'avance est égale à 5 % (10% pour une PME) d'une somme égale à douze fois le montant du bon de commande divisé par la durée prévue pour l'exécution de celui-ci exprimée en mois. Le remboursement de l’avance, effectué par précompte sur les sommes dues ultérieurement au Titulaire, commence lorsque le montant des prestations exécutées au titre du marché atteint ou dépasse 65 % du montant du bon de commande. Le remboursement doit être terminé lorsque ce pourcentage atteint 80 %.</w:t>
      </w:r>
    </w:p>
    <w:p w14:paraId="37B641CF" w14:textId="77777777" w:rsidR="00DB19F5" w:rsidRPr="00A74C83" w:rsidRDefault="00DB19F5" w:rsidP="00DB19F5">
      <w:pPr>
        <w:pStyle w:val="Article"/>
      </w:pPr>
      <w:bookmarkStart w:id="69" w:name="_Toc85720075"/>
      <w:bookmarkStart w:id="70" w:name="_Toc193296231"/>
      <w:r w:rsidRPr="00A74C83">
        <w:t>Article 19 : Pénalités</w:t>
      </w:r>
      <w:bookmarkEnd w:id="69"/>
      <w:bookmarkEnd w:id="70"/>
      <w:r w:rsidRPr="00A74C83">
        <w:tab/>
      </w:r>
    </w:p>
    <w:p w14:paraId="66077644" w14:textId="23D415D6" w:rsidR="00DB19F5" w:rsidRPr="00A74C83" w:rsidRDefault="006634E9" w:rsidP="00DB19F5">
      <w:r w:rsidRPr="00A74C83">
        <w:t>INRAE se réserve le droit d’appliquer les pénalités prévues par le présent article qui déroge à l’article 14 du CCAG-</w:t>
      </w:r>
      <w:r w:rsidR="00511A28" w:rsidRPr="00A74C83">
        <w:t>FCS</w:t>
      </w:r>
      <w:r w:rsidRPr="00A74C83">
        <w:t>.</w:t>
      </w:r>
    </w:p>
    <w:p w14:paraId="47510743" w14:textId="77777777" w:rsidR="00DB19F5" w:rsidRPr="00A74C83" w:rsidRDefault="00DB19F5" w:rsidP="00DB19F5">
      <w:pPr>
        <w:pStyle w:val="Sousarticle"/>
      </w:pPr>
      <w:bookmarkStart w:id="71" w:name="_Toc85720076"/>
      <w:bookmarkStart w:id="72" w:name="_Toc193296232"/>
      <w:r w:rsidRPr="00A74C83">
        <w:t>Article 19.1 : Indisponibilité, retard ou mauvaise exécution du service</w:t>
      </w:r>
      <w:bookmarkEnd w:id="71"/>
      <w:bookmarkEnd w:id="72"/>
      <w:r w:rsidRPr="00A74C83">
        <w:tab/>
      </w:r>
    </w:p>
    <w:p w14:paraId="15CED70C" w14:textId="46F9ED76" w:rsidR="00014302" w:rsidRPr="00A74C83" w:rsidRDefault="00014302" w:rsidP="00014302">
      <w:r w:rsidRPr="00A74C83">
        <w:t>INRAE se réserve la possibilité d’appliquer des pénalités en cas d’indisponibilité, de retard ou mauvaise exécution des prestations</w:t>
      </w:r>
      <w:r w:rsidR="00ED5732" w:rsidRPr="00A74C83">
        <w:t xml:space="preserve"> telles que prévues par le CCTP du marché, l’offre du titulaire ou le détail du bon de commande, du devis associé ou de ses annexes</w:t>
      </w:r>
      <w:r w:rsidRPr="00A74C83">
        <w:t>.</w:t>
      </w:r>
    </w:p>
    <w:p w14:paraId="523C231F" w14:textId="77777777" w:rsidR="00014302" w:rsidRPr="00A74C83" w:rsidRDefault="00014302" w:rsidP="00014302">
      <w:r w:rsidRPr="00A74C83">
        <w:t>Le Titulaire peut se voir appliquer les pénalités suivantes :</w:t>
      </w:r>
    </w:p>
    <w:p w14:paraId="1F7C3C4A" w14:textId="00D33D54" w:rsidR="00014302" w:rsidRPr="00A74C83" w:rsidRDefault="00014302" w:rsidP="00014302">
      <w:pPr>
        <w:pStyle w:val="Paragraphedeliste"/>
        <w:numPr>
          <w:ilvl w:val="0"/>
          <w:numId w:val="29"/>
        </w:numPr>
        <w:rPr>
          <w:rFonts w:eastAsiaTheme="minorHAnsi"/>
          <w:sz w:val="18"/>
          <w:szCs w:val="18"/>
        </w:rPr>
      </w:pPr>
      <w:r w:rsidRPr="00A74C83">
        <w:rPr>
          <w:rFonts w:eastAsiaTheme="minorHAnsi"/>
          <w:sz w:val="18"/>
          <w:szCs w:val="18"/>
        </w:rPr>
        <w:t xml:space="preserve">1000 € </w:t>
      </w:r>
      <w:r w:rsidR="0019110D" w:rsidRPr="00A74C83">
        <w:rPr>
          <w:rFonts w:eastAsiaTheme="minorHAnsi"/>
          <w:sz w:val="18"/>
          <w:szCs w:val="18"/>
        </w:rPr>
        <w:t>par jour ouvré de formation ou prestation associée non-tenu par le titulaire</w:t>
      </w:r>
      <w:r w:rsidRPr="00A74C83">
        <w:rPr>
          <w:rFonts w:eastAsiaTheme="minorHAnsi"/>
          <w:sz w:val="18"/>
          <w:szCs w:val="18"/>
        </w:rPr>
        <w:t xml:space="preserve"> ;</w:t>
      </w:r>
    </w:p>
    <w:p w14:paraId="61CBC76D" w14:textId="06566BA5" w:rsidR="0019110D" w:rsidRPr="00A74C83" w:rsidRDefault="0019110D" w:rsidP="00014302">
      <w:pPr>
        <w:pStyle w:val="Paragraphedeliste"/>
        <w:numPr>
          <w:ilvl w:val="0"/>
          <w:numId w:val="29"/>
        </w:numPr>
        <w:rPr>
          <w:rFonts w:eastAsiaTheme="minorHAnsi"/>
          <w:sz w:val="18"/>
          <w:szCs w:val="18"/>
        </w:rPr>
      </w:pPr>
      <w:r w:rsidRPr="00A74C83">
        <w:rPr>
          <w:rFonts w:eastAsiaTheme="minorHAnsi"/>
          <w:sz w:val="18"/>
          <w:szCs w:val="18"/>
        </w:rPr>
        <w:t>500 € par jour ouvré en cas de remplacement non-anticipé d’intervenant ou de formateur ;</w:t>
      </w:r>
    </w:p>
    <w:p w14:paraId="3C6C47B2" w14:textId="6D5F6C86" w:rsidR="0019110D" w:rsidRPr="00A74C83" w:rsidRDefault="0019110D" w:rsidP="00014302">
      <w:pPr>
        <w:pStyle w:val="Paragraphedeliste"/>
        <w:numPr>
          <w:ilvl w:val="0"/>
          <w:numId w:val="29"/>
        </w:numPr>
        <w:rPr>
          <w:rFonts w:eastAsiaTheme="minorHAnsi"/>
          <w:sz w:val="18"/>
          <w:szCs w:val="18"/>
        </w:rPr>
      </w:pPr>
      <w:r w:rsidRPr="00A74C83">
        <w:rPr>
          <w:rFonts w:eastAsiaTheme="minorHAnsi"/>
          <w:sz w:val="18"/>
          <w:szCs w:val="18"/>
        </w:rPr>
        <w:t>500 € par jour ouvré de retard dans la remise d’un livrable ;</w:t>
      </w:r>
    </w:p>
    <w:p w14:paraId="24C0C71E" w14:textId="0174728B" w:rsidR="0019110D" w:rsidRPr="00A74C83" w:rsidRDefault="0019110D" w:rsidP="00014302">
      <w:pPr>
        <w:pStyle w:val="Paragraphedeliste"/>
        <w:numPr>
          <w:ilvl w:val="0"/>
          <w:numId w:val="29"/>
        </w:numPr>
        <w:rPr>
          <w:rFonts w:eastAsiaTheme="minorHAnsi"/>
          <w:sz w:val="18"/>
          <w:szCs w:val="18"/>
        </w:rPr>
      </w:pPr>
      <w:r w:rsidRPr="00A74C83">
        <w:rPr>
          <w:rFonts w:eastAsiaTheme="minorHAnsi"/>
          <w:sz w:val="18"/>
          <w:szCs w:val="18"/>
        </w:rPr>
        <w:t xml:space="preserve">100 € par heure ouvrée de retard dans l’exécution des prestations sachant que toute heure entamée est </w:t>
      </w:r>
      <w:proofErr w:type="spellStart"/>
      <w:r w:rsidRPr="00A74C83">
        <w:rPr>
          <w:rFonts w:eastAsiaTheme="minorHAnsi"/>
          <w:sz w:val="18"/>
          <w:szCs w:val="18"/>
        </w:rPr>
        <w:t>dûe</w:t>
      </w:r>
      <w:proofErr w:type="spellEnd"/>
      <w:r w:rsidRPr="00A74C83">
        <w:rPr>
          <w:rFonts w:eastAsiaTheme="minorHAnsi"/>
          <w:sz w:val="18"/>
          <w:szCs w:val="18"/>
        </w:rPr>
        <w:t>,</w:t>
      </w:r>
    </w:p>
    <w:p w14:paraId="659B8E70" w14:textId="087791E4" w:rsidR="00014302" w:rsidRPr="00A74C83" w:rsidRDefault="0019110D" w:rsidP="001C7C75">
      <w:pPr>
        <w:pStyle w:val="Paragraphedeliste"/>
        <w:numPr>
          <w:ilvl w:val="0"/>
          <w:numId w:val="29"/>
        </w:numPr>
        <w:rPr>
          <w:sz w:val="18"/>
          <w:szCs w:val="18"/>
        </w:rPr>
      </w:pPr>
      <w:proofErr w:type="gramStart"/>
      <w:r w:rsidRPr="00A74C83">
        <w:rPr>
          <w:rFonts w:eastAsiaTheme="minorHAnsi"/>
          <w:sz w:val="18"/>
          <w:szCs w:val="18"/>
        </w:rPr>
        <w:t>une</w:t>
      </w:r>
      <w:proofErr w:type="gramEnd"/>
      <w:r w:rsidRPr="00A74C83">
        <w:rPr>
          <w:rFonts w:eastAsiaTheme="minorHAnsi"/>
          <w:sz w:val="18"/>
          <w:szCs w:val="18"/>
        </w:rPr>
        <w:t xml:space="preserve"> pénalités pour tout autre défaut /</w:t>
      </w:r>
      <w:r w:rsidR="00014302" w:rsidRPr="00A74C83">
        <w:rPr>
          <w:rFonts w:eastAsiaTheme="minorHAnsi"/>
          <w:sz w:val="18"/>
          <w:szCs w:val="18"/>
        </w:rPr>
        <w:t xml:space="preserve"> mauvaise exécution des prestations</w:t>
      </w:r>
      <w:r w:rsidRPr="00A74C83">
        <w:rPr>
          <w:rFonts w:eastAsiaTheme="minorHAnsi"/>
          <w:sz w:val="18"/>
          <w:szCs w:val="18"/>
        </w:rPr>
        <w:t xml:space="preserve"> est </w:t>
      </w:r>
      <w:proofErr w:type="spellStart"/>
      <w:r w:rsidRPr="00A74C83">
        <w:rPr>
          <w:rFonts w:eastAsiaTheme="minorHAnsi"/>
          <w:sz w:val="18"/>
          <w:szCs w:val="18"/>
        </w:rPr>
        <w:t>dûe</w:t>
      </w:r>
      <w:proofErr w:type="spellEnd"/>
      <w:r w:rsidRPr="00A74C83">
        <w:rPr>
          <w:rFonts w:eastAsiaTheme="minorHAnsi"/>
          <w:sz w:val="18"/>
          <w:szCs w:val="18"/>
        </w:rPr>
        <w:t xml:space="preserve"> à hauteur de :</w:t>
      </w:r>
    </w:p>
    <w:p w14:paraId="26BB2F74" w14:textId="2554F6B7" w:rsidR="0019110D" w:rsidRPr="00A74C83" w:rsidRDefault="0019110D" w:rsidP="0019110D">
      <w:pPr>
        <w:pStyle w:val="Paragraphedeliste"/>
        <w:ind w:left="2977"/>
        <w:rPr>
          <w:sz w:val="18"/>
          <w:szCs w:val="18"/>
        </w:rPr>
      </w:pPr>
      <w:r w:rsidRPr="00A74C83">
        <w:rPr>
          <w:sz w:val="18"/>
          <w:szCs w:val="18"/>
        </w:rPr>
        <w:t xml:space="preserve">P = </w:t>
      </w:r>
      <w:proofErr w:type="spellStart"/>
      <w:r w:rsidRPr="00A74C83">
        <w:rPr>
          <w:sz w:val="18"/>
          <w:szCs w:val="18"/>
        </w:rPr>
        <w:t>VxR</w:t>
      </w:r>
      <w:proofErr w:type="spellEnd"/>
      <w:r w:rsidRPr="00A74C83">
        <w:rPr>
          <w:sz w:val="18"/>
          <w:szCs w:val="18"/>
        </w:rPr>
        <w:t>/100</w:t>
      </w:r>
    </w:p>
    <w:p w14:paraId="47898539" w14:textId="32FA592A" w:rsidR="0019110D" w:rsidRPr="00A74C83" w:rsidRDefault="0019110D" w:rsidP="0019110D">
      <w:pPr>
        <w:pStyle w:val="Paragraphedeliste"/>
        <w:ind w:left="284"/>
        <w:rPr>
          <w:sz w:val="18"/>
          <w:szCs w:val="18"/>
        </w:rPr>
      </w:pPr>
      <w:proofErr w:type="gramStart"/>
      <w:r w:rsidRPr="00A74C83">
        <w:rPr>
          <w:sz w:val="18"/>
          <w:szCs w:val="18"/>
        </w:rPr>
        <w:t>dans</w:t>
      </w:r>
      <w:proofErr w:type="gramEnd"/>
      <w:r w:rsidRPr="00A74C83">
        <w:rPr>
          <w:sz w:val="18"/>
          <w:szCs w:val="18"/>
        </w:rPr>
        <w:t xml:space="preserve"> laquelle P= montant de la pénalité, V= valeur de la prestation impactée, R= heure ou jour ouvré de retard en fonction du délai de réalisation de la prestation concernée.</w:t>
      </w:r>
    </w:p>
    <w:p w14:paraId="38C80D4A" w14:textId="77777777" w:rsidR="0019110D" w:rsidRPr="00A74C83" w:rsidRDefault="0019110D" w:rsidP="0019110D">
      <w:pPr>
        <w:pStyle w:val="Paragraphedeliste"/>
        <w:rPr>
          <w:sz w:val="18"/>
          <w:szCs w:val="18"/>
        </w:rPr>
      </w:pPr>
    </w:p>
    <w:p w14:paraId="1C0D3E67" w14:textId="62E3DC97" w:rsidR="00DB19F5" w:rsidRPr="00A74C83" w:rsidRDefault="00014302" w:rsidP="00EB639E">
      <w:r w:rsidRPr="00A74C83">
        <w:t xml:space="preserve">Les pénalités </w:t>
      </w:r>
      <w:r w:rsidR="00375AC6" w:rsidRPr="00A74C83">
        <w:t>listées ci-avant peuvent être</w:t>
      </w:r>
      <w:r w:rsidRPr="00A74C83">
        <w:t xml:space="preserve"> cumulatives.</w:t>
      </w:r>
      <w:r w:rsidR="00EB639E" w:rsidRPr="00A74C83">
        <w:t xml:space="preserve"> </w:t>
      </w:r>
    </w:p>
    <w:p w14:paraId="29D856A7" w14:textId="77777777" w:rsidR="00DB19F5" w:rsidRPr="00A74C83" w:rsidRDefault="00DB19F5" w:rsidP="00DB19F5">
      <w:pPr>
        <w:pStyle w:val="Sousarticle"/>
      </w:pPr>
      <w:bookmarkStart w:id="73" w:name="_Toc193296233"/>
      <w:bookmarkStart w:id="74" w:name="_Toc85720077"/>
      <w:r w:rsidRPr="00A74C83">
        <w:t>Article 19.2 : Pénalités pour non-respect de la clause sociale</w:t>
      </w:r>
      <w:bookmarkEnd w:id="73"/>
      <w:r w:rsidRPr="00A74C83">
        <w:tab/>
      </w:r>
    </w:p>
    <w:p w14:paraId="3A63AD9D" w14:textId="2BA3ACD7" w:rsidR="008F46F9" w:rsidRPr="00A74C83" w:rsidRDefault="00DB19F5" w:rsidP="00DB19F5">
      <w:r w:rsidRPr="00A74C83">
        <w:t>Le titulaire encourt sans mise en demeure préalable dans le cadre de l’application de la clause sociale prévue dans le présent cahier des clauses administratives particulières,</w:t>
      </w:r>
      <w:r w:rsidR="008F46F9" w:rsidRPr="00A74C83">
        <w:t xml:space="preserve"> les pénalités suivantes : </w:t>
      </w:r>
    </w:p>
    <w:p w14:paraId="4F8E2029" w14:textId="28EE547E" w:rsidR="00DB19F5" w:rsidRPr="00A74C83" w:rsidRDefault="008F46F9" w:rsidP="00DB19F5">
      <w:r w:rsidRPr="00A74C83">
        <w:t>U</w:t>
      </w:r>
      <w:r w:rsidR="00DB19F5" w:rsidRPr="00A74C83">
        <w:t>ne pénalité relative au nombre d’heures prévues par le marché et non réalisées :</w:t>
      </w:r>
    </w:p>
    <w:p w14:paraId="1A74B537" w14:textId="77777777" w:rsidR="00DB19F5" w:rsidRPr="00A74C83" w:rsidRDefault="00DB19F5" w:rsidP="008F46F9">
      <w:pPr>
        <w:jc w:val="center"/>
        <w:rPr>
          <w:b/>
        </w:rPr>
      </w:pPr>
      <w:r w:rsidRPr="00A74C83">
        <w:rPr>
          <w:b/>
        </w:rPr>
        <w:t>P = H x 5€</w:t>
      </w:r>
    </w:p>
    <w:p w14:paraId="0A58BD2D" w14:textId="77777777" w:rsidR="00DB19F5" w:rsidRPr="00A74C83" w:rsidRDefault="00DB19F5" w:rsidP="00DB19F5">
      <w:r w:rsidRPr="00A74C83">
        <w:t>P : montant de la pénalité,</w:t>
      </w:r>
    </w:p>
    <w:p w14:paraId="095E11B0" w14:textId="77777777" w:rsidR="00DB19F5" w:rsidRPr="00A74C83" w:rsidRDefault="00DB19F5" w:rsidP="00DB19F5">
      <w:r w:rsidRPr="00A74C83">
        <w:t>H : nombre d’heures non réalisées</w:t>
      </w:r>
    </w:p>
    <w:p w14:paraId="78D93219" w14:textId="77777777" w:rsidR="00DB19F5" w:rsidRPr="00A74C83" w:rsidRDefault="00DB19F5" w:rsidP="00DB19F5"/>
    <w:p w14:paraId="3F63ECE2" w14:textId="54C811FF" w:rsidR="00DB19F5" w:rsidRPr="00A74C83" w:rsidRDefault="00375AC6" w:rsidP="00DB19F5">
      <w:r w:rsidRPr="00A74C83">
        <w:t>1</w:t>
      </w:r>
      <w:r w:rsidR="00DB19F5" w:rsidRPr="00A74C83">
        <w:t>00 € si l’interlocuteur désigné par le titulaire dans la « fiche entreprise (cadre de réponse) » pour appliquer la clause sociale est absent lors de la réunion spécifique à la mise en œuvre de la clause sociale ;</w:t>
      </w:r>
    </w:p>
    <w:p w14:paraId="7783610E" w14:textId="77777777" w:rsidR="00DB19F5" w:rsidRPr="00A74C83" w:rsidRDefault="00DB19F5" w:rsidP="00DB19F5">
      <w:r w:rsidRPr="00A74C83">
        <w:lastRenderedPageBreak/>
        <w:t>50 € par jour ouvré de retard en cas de non transmission des justificatifs, attestations ou bilans demandés par l’acheteur ou la MLDS dans le cadre de l’évaluation du dispositif social mis en œuvre par le titulaire.</w:t>
      </w:r>
    </w:p>
    <w:p w14:paraId="062F56D1" w14:textId="77777777" w:rsidR="00DB19F5" w:rsidRPr="00A74C83" w:rsidRDefault="00DB19F5" w:rsidP="00DB19F5">
      <w:pPr>
        <w:pStyle w:val="Sousarticle"/>
      </w:pPr>
      <w:bookmarkStart w:id="75" w:name="_Toc193296234"/>
      <w:r w:rsidRPr="00A74C83">
        <w:t>Article 19.3 : Plafond des pénalités</w:t>
      </w:r>
      <w:bookmarkEnd w:id="74"/>
      <w:bookmarkEnd w:id="75"/>
      <w:r w:rsidRPr="00A74C83">
        <w:tab/>
      </w:r>
    </w:p>
    <w:p w14:paraId="612245CC" w14:textId="3509CF38" w:rsidR="00DB19F5" w:rsidRPr="00A74C83" w:rsidRDefault="00DB19F5" w:rsidP="00DB19F5">
      <w:r w:rsidRPr="00A74C83">
        <w:t>Le montant des pénalités appliquées est plafonné à 30 % du</w:t>
      </w:r>
      <w:r w:rsidR="00375AC6" w:rsidRPr="00A74C83">
        <w:t xml:space="preserve"> montant estimatif du marché</w:t>
      </w:r>
      <w:r w:rsidRPr="00A74C83">
        <w:t>.</w:t>
      </w:r>
      <w:r w:rsidR="00B41C15" w:rsidRPr="00A74C83">
        <w:t xml:space="preserve"> </w:t>
      </w:r>
    </w:p>
    <w:p w14:paraId="7ADC93F3" w14:textId="77777777" w:rsidR="00DB19F5" w:rsidRPr="00A74C83" w:rsidRDefault="00DB19F5" w:rsidP="00DB19F5">
      <w:pPr>
        <w:pStyle w:val="Article"/>
      </w:pPr>
      <w:bookmarkStart w:id="76" w:name="_Toc85720078"/>
      <w:bookmarkStart w:id="77" w:name="_Toc193296235"/>
      <w:r w:rsidRPr="00A74C83">
        <w:t>Article 20 : Propriété intellectuelle</w:t>
      </w:r>
      <w:bookmarkEnd w:id="76"/>
      <w:bookmarkEnd w:id="77"/>
      <w:r w:rsidRPr="00A74C83">
        <w:tab/>
      </w:r>
    </w:p>
    <w:p w14:paraId="7B24C03E" w14:textId="612DCD6B" w:rsidR="00DB19F5" w:rsidRPr="00A74C83" w:rsidRDefault="00DB19F5" w:rsidP="00DB19F5">
      <w:r w:rsidRPr="00A74C83">
        <w:t>Le chapitre 7 du CCAG-</w:t>
      </w:r>
      <w:r w:rsidR="00375AC6" w:rsidRPr="00A74C83">
        <w:t>FCS</w:t>
      </w:r>
      <w:r w:rsidRPr="00A74C83">
        <w:t xml:space="preserve"> est appliqué pour le présent marché</w:t>
      </w:r>
      <w:r w:rsidR="00375AC6" w:rsidRPr="00A74C83">
        <w:t xml:space="preserve"> et notamment son article 37.2.1 prévoyant une cession non-exclusive de la propriété des résultats.</w:t>
      </w:r>
    </w:p>
    <w:p w14:paraId="4BF00B2D" w14:textId="77777777" w:rsidR="00DB19F5" w:rsidRPr="00A74C83" w:rsidRDefault="00DB19F5" w:rsidP="00DB19F5">
      <w:pPr>
        <w:pStyle w:val="Sousarticle"/>
      </w:pPr>
      <w:bookmarkStart w:id="78" w:name="_Toc85720079"/>
      <w:bookmarkStart w:id="79" w:name="_Toc193296236"/>
      <w:r w:rsidRPr="00A74C83">
        <w:t>Article 20.1 : Dispositions générales relatives à l’utilisation des résultats</w:t>
      </w:r>
      <w:bookmarkEnd w:id="78"/>
      <w:bookmarkEnd w:id="79"/>
      <w:r w:rsidRPr="00A74C83">
        <w:tab/>
      </w:r>
    </w:p>
    <w:p w14:paraId="52E9928A" w14:textId="78ABC2BC" w:rsidR="00DB19F5" w:rsidRPr="00A74C83" w:rsidRDefault="008F46F9" w:rsidP="00DB19F5">
      <w:r w:rsidRPr="00A74C83">
        <w:t>INRAE</w:t>
      </w:r>
      <w:r w:rsidR="00DB19F5" w:rsidRPr="00A74C83">
        <w:t xml:space="preserve"> peut librement utiliser les résultats, même partiels, des prestations dans les limites fixées au présent article. Il peut communiquer à des tiers les résultats des prestations nées du marché, notamment les </w:t>
      </w:r>
      <w:r w:rsidR="00375AC6" w:rsidRPr="00A74C83">
        <w:t>livrables,</w:t>
      </w:r>
      <w:r w:rsidR="00DB19F5" w:rsidRPr="00A74C83">
        <w:t xml:space="preserve"> documents et renseignements de toute nature provenant de l’exécution du marché.</w:t>
      </w:r>
    </w:p>
    <w:p w14:paraId="65A7A620" w14:textId="300A8170" w:rsidR="00DB19F5" w:rsidRPr="00A74C83" w:rsidRDefault="00DB19F5" w:rsidP="00DB19F5">
      <w:r w:rsidRPr="00A74C83">
        <w:t xml:space="preserve">Le Titulaire est tenu de communiquer à </w:t>
      </w:r>
      <w:r w:rsidR="008F46F9" w:rsidRPr="00A74C83">
        <w:t>INRAE</w:t>
      </w:r>
      <w:r w:rsidRPr="00A74C83">
        <w:t xml:space="preserve">, les connaissances acquises dans l’exécution du marché. Cette transmission conditionne la validation et la réception des prestations. </w:t>
      </w:r>
      <w:r w:rsidR="008F46F9" w:rsidRPr="00A74C83">
        <w:t>INRAE</w:t>
      </w:r>
      <w:r w:rsidRPr="00A74C83">
        <w:t xml:space="preserve"> s’engage à considérer les méthodes et le savoir-faire du Titulaire comme confidentiels, sauf lorsque ces méthodes et savoir-faire sont compris dans l’objet du marché. Les titres protégeant les inventions nées, mises au point ou utilisées à l’occasion de l’exécution du marché ne peuvent être opposés à </w:t>
      </w:r>
      <w:r w:rsidR="008F46F9" w:rsidRPr="00A74C83">
        <w:t>INRAE</w:t>
      </w:r>
      <w:r w:rsidRPr="00A74C83">
        <w:t xml:space="preserve"> pour limiter l’utilisation des résultats des prestations.</w:t>
      </w:r>
    </w:p>
    <w:p w14:paraId="6B9D0C56" w14:textId="77777777" w:rsidR="00DB19F5" w:rsidRPr="00A74C83" w:rsidRDefault="00DB19F5" w:rsidP="00DB19F5">
      <w:r w:rsidRPr="00A74C83">
        <w:t>Le Titulaire fait son affaire d’obtenir des auteurs, des cessionnaires des droits patrimoniaux, des éditeurs de logiciels standards et spécifiques, toutes les licences permettant la parfaite exécution des prestations prévues au marché.</w:t>
      </w:r>
    </w:p>
    <w:p w14:paraId="1485B7FD" w14:textId="0F6AFDE3" w:rsidR="00DB19F5" w:rsidRPr="00A74C83" w:rsidRDefault="00DB19F5" w:rsidP="00DB19F5">
      <w:pPr>
        <w:pStyle w:val="Sousarticle"/>
      </w:pPr>
      <w:bookmarkStart w:id="80" w:name="_Toc85720081"/>
      <w:bookmarkStart w:id="81" w:name="_Toc193296237"/>
      <w:r w:rsidRPr="00A74C83">
        <w:t>Article 20.</w:t>
      </w:r>
      <w:r w:rsidR="008F46F9" w:rsidRPr="00A74C83">
        <w:t>2</w:t>
      </w:r>
      <w:r w:rsidRPr="00A74C83">
        <w:t> : Propriété matérielle</w:t>
      </w:r>
      <w:bookmarkEnd w:id="80"/>
      <w:bookmarkEnd w:id="81"/>
      <w:r w:rsidRPr="00A74C83">
        <w:tab/>
      </w:r>
    </w:p>
    <w:p w14:paraId="68F02D24" w14:textId="0BD3944B" w:rsidR="00DB19F5" w:rsidRPr="00A74C83" w:rsidRDefault="00DB19F5" w:rsidP="00DB19F5">
      <w:r w:rsidRPr="00A74C83">
        <w:t xml:space="preserve">Le transfert de propriété des matériels livrés au titre de ce marché est effectif à la date de mise en ordre de marche des </w:t>
      </w:r>
      <w:r w:rsidR="006634E9" w:rsidRPr="00A74C83">
        <w:t xml:space="preserve">matériels et éventuelles </w:t>
      </w:r>
      <w:r w:rsidRPr="00A74C83">
        <w:t>prestations</w:t>
      </w:r>
      <w:r w:rsidR="006634E9" w:rsidRPr="00A74C83">
        <w:t xml:space="preserve"> associées</w:t>
      </w:r>
      <w:r w:rsidRPr="00A74C83">
        <w:t>.</w:t>
      </w:r>
    </w:p>
    <w:p w14:paraId="61009BD0" w14:textId="0F3E069D" w:rsidR="00DB19F5" w:rsidRPr="00A74C83" w:rsidRDefault="00DB19F5" w:rsidP="00DB19F5">
      <w:pPr>
        <w:pStyle w:val="Sousarticle"/>
      </w:pPr>
      <w:bookmarkStart w:id="82" w:name="_Toc85720082"/>
      <w:bookmarkStart w:id="83" w:name="_Toc193296238"/>
      <w:r w:rsidRPr="00A74C83">
        <w:t>Article 20.</w:t>
      </w:r>
      <w:r w:rsidR="008F46F9" w:rsidRPr="00A74C83">
        <w:t>3</w:t>
      </w:r>
      <w:r w:rsidRPr="00A74C83">
        <w:t xml:space="preserve"> : </w:t>
      </w:r>
      <w:r w:rsidR="00DE47C1" w:rsidRPr="00A74C83">
        <w:t>L</w:t>
      </w:r>
      <w:r w:rsidRPr="00A74C83">
        <w:t>ivrables réalisés au titre du marché</w:t>
      </w:r>
      <w:bookmarkEnd w:id="82"/>
      <w:bookmarkEnd w:id="83"/>
      <w:r w:rsidRPr="00A74C83">
        <w:tab/>
      </w:r>
    </w:p>
    <w:p w14:paraId="6F665D51" w14:textId="4338C352" w:rsidR="00DB19F5" w:rsidRPr="00A74C83" w:rsidRDefault="006A0247" w:rsidP="00DB19F5">
      <w:r w:rsidRPr="00A74C83">
        <w:t xml:space="preserve">INRAE </w:t>
      </w:r>
      <w:r w:rsidR="00DB19F5" w:rsidRPr="00A74C83">
        <w:t xml:space="preserve">peut utiliser librement les résultats des prestations, les </w:t>
      </w:r>
      <w:r w:rsidR="00375AC6" w:rsidRPr="00A74C83">
        <w:t>livrables</w:t>
      </w:r>
      <w:r w:rsidR="00DB19F5" w:rsidRPr="00A74C83">
        <w:t xml:space="preserve"> réalisés pour ses besoins spécifiques éventuels, la documentation </w:t>
      </w:r>
      <w:r w:rsidR="00375AC6" w:rsidRPr="00A74C83">
        <w:t>associée aux</w:t>
      </w:r>
      <w:r w:rsidR="00DB19F5" w:rsidRPr="00A74C83">
        <w:t xml:space="preserve"> prestations ainsi que les supports de formation, que ces besoins lui soient propres ou qu’ils soient ceux inhérents à ses partenaires présents ou futurs.</w:t>
      </w:r>
    </w:p>
    <w:p w14:paraId="4516D5B3" w14:textId="54DF40FF" w:rsidR="00DB19F5" w:rsidRPr="00A74C83" w:rsidRDefault="00DB19F5" w:rsidP="00DB19F5">
      <w:r w:rsidRPr="00A74C83">
        <w:t xml:space="preserve">Le Titulaire cède à </w:t>
      </w:r>
      <w:r w:rsidR="006A0247" w:rsidRPr="00A74C83">
        <w:t>INRAE</w:t>
      </w:r>
      <w:r w:rsidRPr="00A74C83">
        <w:t xml:space="preserve">, à titre exclusif, définitif et irrévocable, la pleine et entière propriété de tous les droits définis ci-après, attachés aux </w:t>
      </w:r>
      <w:r w:rsidR="00A928E0" w:rsidRPr="00A74C83">
        <w:t>livrables et à la documentation</w:t>
      </w:r>
      <w:r w:rsidRPr="00A74C83">
        <w:t xml:space="preserve"> qui s’y attache, ainsi qu'aux </w:t>
      </w:r>
      <w:r w:rsidR="00A928E0" w:rsidRPr="00A74C83">
        <w:t xml:space="preserve">éventuels </w:t>
      </w:r>
      <w:r w:rsidRPr="00A74C83">
        <w:t xml:space="preserve">développements spécifiques sous forme de codes sources et codes exécutables, et à toute documentation s’y rapportant, réalisés, développés, exploités au titre du marché. </w:t>
      </w:r>
      <w:r w:rsidR="006A0247" w:rsidRPr="00A74C83">
        <w:t>INRAE</w:t>
      </w:r>
      <w:r w:rsidRPr="00A74C83">
        <w:t xml:space="preserve"> a notamment le droit de réaliser, de développer ou de faire développer à l’issue du marché, d’autres applications spécifiques et toutes autres prestations à partir des </w:t>
      </w:r>
      <w:r w:rsidR="00A928E0" w:rsidRPr="00A74C83">
        <w:t>livrables</w:t>
      </w:r>
      <w:r w:rsidRPr="00A74C83">
        <w:t>, analyses, logiciels et développements spécifiques produits dans le cadre de ce marché pour ses besoins propres.</w:t>
      </w:r>
    </w:p>
    <w:p w14:paraId="181115D0" w14:textId="2C21AFBE" w:rsidR="00DB19F5" w:rsidRPr="00A74C83" w:rsidRDefault="00DB19F5" w:rsidP="00DB19F5">
      <w:r w:rsidRPr="00A74C83">
        <w:t xml:space="preserve">Le Titulaire cède notamment </w:t>
      </w:r>
      <w:r w:rsidR="006A0247" w:rsidRPr="00A74C83">
        <w:t>à INRAE</w:t>
      </w:r>
      <w:r w:rsidRPr="00A74C83">
        <w:t xml:space="preserve">, pour toute la durée des droits concernés et pour la France, les droits suivants sur les </w:t>
      </w:r>
      <w:r w:rsidR="00A928E0" w:rsidRPr="00A74C83">
        <w:t xml:space="preserve">livrables, les </w:t>
      </w:r>
      <w:r w:rsidRPr="00A74C83">
        <w:t xml:space="preserve">développements spécifiques, </w:t>
      </w:r>
      <w:r w:rsidR="00A928E0" w:rsidRPr="00A74C83">
        <w:t>les</w:t>
      </w:r>
      <w:r w:rsidRPr="00A74C83">
        <w:t xml:space="preserve"> études et</w:t>
      </w:r>
      <w:r w:rsidR="00A928E0" w:rsidRPr="00A74C83">
        <w:t xml:space="preserve"> </w:t>
      </w:r>
      <w:proofErr w:type="gramStart"/>
      <w:r w:rsidR="00A928E0" w:rsidRPr="00A74C83">
        <w:t>la</w:t>
      </w:r>
      <w:r w:rsidRPr="00A74C83">
        <w:t xml:space="preserve"> documentations</w:t>
      </w:r>
      <w:proofErr w:type="gramEnd"/>
      <w:r w:rsidRPr="00A74C83">
        <w:t xml:space="preserve"> s’y rattachant :</w:t>
      </w:r>
    </w:p>
    <w:p w14:paraId="627E819C" w14:textId="77777777" w:rsidR="00DB19F5" w:rsidRPr="00A74C83" w:rsidRDefault="00DB19F5" w:rsidP="00B41C15">
      <w:pPr>
        <w:pStyle w:val="Puces"/>
      </w:pPr>
      <w:r w:rsidRPr="00A74C83">
        <w:t>Le droit de reproduction par tous procédés et sur tous supports connus et inconnus à ce jour ;</w:t>
      </w:r>
    </w:p>
    <w:p w14:paraId="2A3F2E97" w14:textId="4DC93079" w:rsidR="00DB19F5" w:rsidRPr="00A74C83" w:rsidRDefault="00DB19F5" w:rsidP="00B41C15">
      <w:pPr>
        <w:pStyle w:val="Puces"/>
      </w:pPr>
      <w:r w:rsidRPr="00A74C83">
        <w:t>Le droit de diffusion auprès de tout utilisateur, par tous procédés et sur tous supports connus ou inconnus à ce jour ;</w:t>
      </w:r>
    </w:p>
    <w:p w14:paraId="54EB266E" w14:textId="291E07EC" w:rsidR="00DB19F5" w:rsidRPr="00A74C83" w:rsidRDefault="00DB19F5" w:rsidP="00B41C15">
      <w:pPr>
        <w:pStyle w:val="Puces"/>
      </w:pPr>
      <w:r w:rsidRPr="00A74C83">
        <w:t xml:space="preserve">Le droit de mise à disposition, onéreuse ou gratuite, totale ou partielle, des résultats des prestations par </w:t>
      </w:r>
      <w:r w:rsidR="006A0247" w:rsidRPr="00A74C83">
        <w:t>INRAE</w:t>
      </w:r>
      <w:r w:rsidRPr="00A74C83">
        <w:t xml:space="preserve"> à tout utilisateur ;</w:t>
      </w:r>
    </w:p>
    <w:p w14:paraId="5C2E200D" w14:textId="77777777" w:rsidR="00DB19F5" w:rsidRPr="00A74C83" w:rsidRDefault="00DB19F5" w:rsidP="00B41C15">
      <w:pPr>
        <w:pStyle w:val="Puces"/>
      </w:pPr>
      <w:r w:rsidRPr="00A74C83">
        <w:t>Le droit de correction ou de modification ;</w:t>
      </w:r>
    </w:p>
    <w:p w14:paraId="7090879C" w14:textId="77777777" w:rsidR="00DB19F5" w:rsidRPr="00A74C83" w:rsidRDefault="00DB19F5" w:rsidP="00B41C15">
      <w:pPr>
        <w:pStyle w:val="Puces"/>
      </w:pPr>
      <w:r w:rsidRPr="00A74C83">
        <w:t>Le droit de maintenance et de suivi ;</w:t>
      </w:r>
    </w:p>
    <w:p w14:paraId="73AF534B" w14:textId="77777777" w:rsidR="00DB19F5" w:rsidRPr="00A74C83" w:rsidRDefault="00DB19F5" w:rsidP="00B41C15">
      <w:pPr>
        <w:pStyle w:val="Puces"/>
      </w:pPr>
      <w:r w:rsidRPr="00A74C83">
        <w:t>Le droit de traduction en toutes langues et tous langages ;</w:t>
      </w:r>
    </w:p>
    <w:p w14:paraId="281B6C8B" w14:textId="77777777" w:rsidR="00DB19F5" w:rsidRPr="00A74C83" w:rsidRDefault="00DB19F5" w:rsidP="00B41C15">
      <w:pPr>
        <w:pStyle w:val="Puces"/>
      </w:pPr>
      <w:r w:rsidRPr="00A74C83">
        <w:lastRenderedPageBreak/>
        <w:t>Le droit d’adaptation sur tous supports connus ou inconnus à ce jour, et à tous environnements et tous équipements ;</w:t>
      </w:r>
    </w:p>
    <w:p w14:paraId="3F1FD38F" w14:textId="2647C2D4" w:rsidR="00DB19F5" w:rsidRPr="00A74C83" w:rsidRDefault="00DB19F5" w:rsidP="00B41C15">
      <w:pPr>
        <w:pStyle w:val="Puces"/>
      </w:pPr>
      <w:r w:rsidRPr="00A74C83">
        <w:t xml:space="preserve">Le droit d’interfaçage ou d’intégration de tout ou partie des programmes composants les logiciels et applications spécifiques avec tout autre logiciel ou progiciel ou application, au bénéfice </w:t>
      </w:r>
      <w:r w:rsidR="006A0247" w:rsidRPr="00A74C83">
        <w:t>d’INRAE</w:t>
      </w:r>
      <w:r w:rsidRPr="00A74C83">
        <w:t>, ou de tout utilisateur par elle désigné.</w:t>
      </w:r>
    </w:p>
    <w:p w14:paraId="4303DE3B" w14:textId="77777777" w:rsidR="00DB19F5" w:rsidRPr="00A74C83" w:rsidRDefault="00DB19F5" w:rsidP="00DB19F5"/>
    <w:p w14:paraId="067149A4" w14:textId="77777777" w:rsidR="00DB19F5" w:rsidRPr="00A74C83" w:rsidRDefault="00DB19F5" w:rsidP="00DB19F5">
      <w:r w:rsidRPr="00A74C83">
        <w:t>Les prix du bordereau des prix comprennent la cession de ces droits qui ne pourront faire l’objet d’une rémunération complémentaire.</w:t>
      </w:r>
    </w:p>
    <w:p w14:paraId="4322C1A4" w14:textId="77777777" w:rsidR="00DB19F5" w:rsidRPr="00A74C83" w:rsidRDefault="00DB19F5" w:rsidP="00DB19F5">
      <w:pPr>
        <w:pStyle w:val="Sousarticle"/>
      </w:pPr>
      <w:bookmarkStart w:id="84" w:name="_Toc85720083"/>
      <w:bookmarkStart w:id="85" w:name="_Toc193296239"/>
      <w:r w:rsidRPr="00A74C83">
        <w:t>Article 20.5 : Garantie de copyright des données, des programmes et des mentions d’origine</w:t>
      </w:r>
      <w:bookmarkEnd w:id="84"/>
      <w:bookmarkEnd w:id="85"/>
      <w:r w:rsidRPr="00A74C83">
        <w:tab/>
      </w:r>
    </w:p>
    <w:p w14:paraId="276B78BC" w14:textId="0AD29D21" w:rsidR="00DB19F5" w:rsidRPr="00A74C83" w:rsidRDefault="00DB19F5" w:rsidP="00DB19F5">
      <w:r w:rsidRPr="00A74C83">
        <w:t xml:space="preserve">Les données transmises par </w:t>
      </w:r>
      <w:r w:rsidR="006A0247" w:rsidRPr="00A74C83">
        <w:t>INRAE</w:t>
      </w:r>
      <w:r w:rsidRPr="00A74C83">
        <w:t xml:space="preserve"> dans le cadre de l’exécution du présent marché demeurent leur propriété exclusive.</w:t>
      </w:r>
    </w:p>
    <w:p w14:paraId="61039B10" w14:textId="25B203A9" w:rsidR="00DB19F5" w:rsidRPr="00A74C83" w:rsidRDefault="00DB19F5" w:rsidP="00DB19F5">
      <w:r w:rsidRPr="00A74C83">
        <w:t>Le Titulaire garantit qu’il prend toute mesure utile pour préserver la propriété d</w:t>
      </w:r>
      <w:r w:rsidR="00DD1017" w:rsidRPr="00A74C83">
        <w:t>’INRAE</w:t>
      </w:r>
      <w:r w:rsidRPr="00A74C83">
        <w:t xml:space="preserve"> et de ses ayants droits sur les données qui lui sont transmises dans le cadre de l’exécution du présent marché. Il s’interdit de les utiliser, de les transmettre à des tiers, de les modifier, de les dupliquer ou de les conserver, au-delà et en dehors des prestations prévues au marché. Il ne peut ni les reproduire, ni les représenter, ni les diffuser à titre gratuit ou onéreux à des tiers sur quelque support connu ou inconnu que ce soit, en dehors des prestations entrant dans l’objet du présent marché.</w:t>
      </w:r>
    </w:p>
    <w:p w14:paraId="62609BB0" w14:textId="0EE98C08" w:rsidR="00DB19F5" w:rsidRPr="00A74C83" w:rsidRDefault="00DB19F5" w:rsidP="00DB19F5">
      <w:r w:rsidRPr="00A74C83">
        <w:t xml:space="preserve">Le Titulaire s’engage à restituer à </w:t>
      </w:r>
      <w:r w:rsidR="006A0247" w:rsidRPr="00A74C83">
        <w:t>INRAE</w:t>
      </w:r>
      <w:r w:rsidRPr="00A74C83">
        <w:t xml:space="preserve"> toutes les données, dossiers d’analyse, traitement de données, programmes, vidéogrammes, contenus sonores et/ou visuels, documents graphiques, films, enregistrements, fichiers, bases de données et tous autres documents sur quelque support connu ou inconnu à ce jour que ce soit, fournis par </w:t>
      </w:r>
      <w:r w:rsidR="006A0247" w:rsidRPr="00A74C83">
        <w:t>INRAE</w:t>
      </w:r>
      <w:r w:rsidRPr="00A74C83">
        <w:t xml:space="preserve"> et utilisés pour l’exécution du marché.</w:t>
      </w:r>
    </w:p>
    <w:p w14:paraId="2F4197D7" w14:textId="77777777" w:rsidR="00DB19F5" w:rsidRPr="00A74C83" w:rsidRDefault="00DB19F5" w:rsidP="00DB19F5">
      <w:pPr>
        <w:pStyle w:val="Sousarticle"/>
      </w:pPr>
      <w:bookmarkStart w:id="86" w:name="_Toc85720084"/>
      <w:bookmarkStart w:id="87" w:name="_Toc193296240"/>
      <w:r w:rsidRPr="00A74C83">
        <w:t>Article 20.6 : Garantie des droits</w:t>
      </w:r>
      <w:bookmarkEnd w:id="86"/>
      <w:bookmarkEnd w:id="87"/>
      <w:r w:rsidRPr="00A74C83">
        <w:tab/>
      </w:r>
    </w:p>
    <w:p w14:paraId="026AD1F9" w14:textId="72642D6A" w:rsidR="00DB19F5" w:rsidRPr="00A74C83" w:rsidRDefault="00DB19F5" w:rsidP="00DB19F5">
      <w:r w:rsidRPr="00A74C83">
        <w:t xml:space="preserve">Le Titulaire garantit </w:t>
      </w:r>
      <w:r w:rsidR="006A0247" w:rsidRPr="00A74C83">
        <w:t>INRAE</w:t>
      </w:r>
      <w:r w:rsidRPr="00A74C83">
        <w:t xml:space="preserve"> contre toutes les revendications des tiers relatives à la propriété intellectuelle et industrielle des matériels, des logiciels, applications, documentations et méthodes fournis le cas échéant au titre du marché.</w:t>
      </w:r>
    </w:p>
    <w:p w14:paraId="57060024" w14:textId="5CB2CF41" w:rsidR="00DB19F5" w:rsidRPr="00A74C83" w:rsidRDefault="00DB19F5" w:rsidP="00DB19F5">
      <w:r w:rsidRPr="00A74C83">
        <w:t xml:space="preserve">Si </w:t>
      </w:r>
      <w:r w:rsidR="006A0247" w:rsidRPr="00A74C83">
        <w:t>INRAE</w:t>
      </w:r>
      <w:r w:rsidRPr="00A74C83">
        <w:t xml:space="preserve"> </w:t>
      </w:r>
      <w:r w:rsidR="006A0247" w:rsidRPr="00A74C83">
        <w:t>est</w:t>
      </w:r>
      <w:r w:rsidRPr="00A74C83">
        <w:t xml:space="preserve"> saisi de revendications de tiers, ou est victime d’un trouble dans la jouissance des prestations entrant dans l’objet du présent marché, le Titulaire - sans préjudice des sanctions encourues - doit prendre immédiatement les mesures propres à les faire cesser.</w:t>
      </w:r>
    </w:p>
    <w:p w14:paraId="1C40583F" w14:textId="77777777" w:rsidR="00DB19F5" w:rsidRPr="00A74C83" w:rsidRDefault="00DB19F5" w:rsidP="00DB19F5">
      <w:r w:rsidRPr="00A74C83">
        <w:t>Le Titulaire du marché garantit qu’il s’engage à son choix, (i) à modifier ou à remplacer les éléments objets du litige, de manière qu’ils cessent de tomber sous le coup de la réclamation, tout en restant conformes aux spécifications du marché, (ii) à faire en sorte que le pouvoir adjudicateur puisse utiliser les éléments en litige sans limitation ni frais supplémentaires, ou, (iii) dans le cas où l’une de ces solutions ne peut être raisonnablement mise en œuvre, à rembourser au pouvoir adjudicateur les sommes payées au titre des éléments objet du litige et à l’indemniser du préjudice subi.</w:t>
      </w:r>
    </w:p>
    <w:p w14:paraId="6B863A55" w14:textId="77777777" w:rsidR="00DB19F5" w:rsidRPr="00A74C83" w:rsidRDefault="00DB19F5" w:rsidP="00DB19F5">
      <w:r w:rsidRPr="00A74C83">
        <w:t>Dans ces hypothèses, le Titulaire du marché prend à sa charge tous dommages et intérêts auxquels le pouvoir adjudicateur, en l’absence de faute qui lui serait directement imputable, serait condamné à raison d’un acte de contrefaçon, concurrence déloyale ou parasitisme du fait de l’exploitation des résultats et des connaissances antérieures du Titulaire du marché.</w:t>
      </w:r>
    </w:p>
    <w:p w14:paraId="1778B9BB" w14:textId="543562F5" w:rsidR="00DB19F5" w:rsidRPr="00A74C83" w:rsidRDefault="006A0247" w:rsidP="00DB19F5">
      <w:r w:rsidRPr="00A74C83">
        <w:t>INRAE</w:t>
      </w:r>
      <w:r w:rsidR="00DB19F5" w:rsidRPr="00A74C83">
        <w:t>, s’il fait l’objet d’une assignation fondée sur un droit de propriété intellectuelle ou industrielle portant sur un des éléments des prestations, s’engage pour sa part à :</w:t>
      </w:r>
    </w:p>
    <w:p w14:paraId="0D79EF50" w14:textId="77777777" w:rsidR="00DB19F5" w:rsidRPr="00A74C83" w:rsidRDefault="00DB19F5" w:rsidP="00DB19F5">
      <w:r w:rsidRPr="00A74C83">
        <w:t>Aviser le Titulaire, dans un délai maximum de 8 jours, de l’assignation qu’il aurait reçue ;</w:t>
      </w:r>
    </w:p>
    <w:p w14:paraId="19DE8244" w14:textId="77777777" w:rsidR="00DB19F5" w:rsidRPr="00A74C83" w:rsidRDefault="00DB19F5" w:rsidP="00DB19F5">
      <w:r w:rsidRPr="00A74C83">
        <w:t>L’appeler en cause en qualité de garant et à souffrir qu’il soulève les moyens utiles à sa défense, sans que cette procédure puisse être alléguée par le Titulaire pour des délais supplémentaires d’exécution, ou des demandes de paiement supplémentaire ;</w:t>
      </w:r>
    </w:p>
    <w:p w14:paraId="08383902" w14:textId="3A143CC2" w:rsidR="00DB19F5" w:rsidRPr="00A74C83" w:rsidRDefault="00DB19F5" w:rsidP="00DB19F5">
      <w:r w:rsidRPr="00A74C83">
        <w:t xml:space="preserve">Accepter qu’il négocie, si bon lui semble, le désistement du demandeur, étant précisé qu’il n’en résultera aucune dépense supplémentaire à la charge </w:t>
      </w:r>
      <w:r w:rsidR="006A0247" w:rsidRPr="00A74C83">
        <w:t>d’INRAE</w:t>
      </w:r>
      <w:r w:rsidRPr="00A74C83">
        <w:t>, ni délai supplémentaire d’exécution des prestations.</w:t>
      </w:r>
    </w:p>
    <w:p w14:paraId="6FEFAE15" w14:textId="77777777" w:rsidR="00DB19F5" w:rsidRPr="00A74C83" w:rsidRDefault="00DB19F5" w:rsidP="00DB19F5">
      <w:pPr>
        <w:pStyle w:val="Article"/>
      </w:pPr>
      <w:bookmarkStart w:id="88" w:name="_Toc85720085"/>
      <w:bookmarkStart w:id="89" w:name="_Toc193296241"/>
      <w:r w:rsidRPr="00A74C83">
        <w:lastRenderedPageBreak/>
        <w:t>Article 21 : Conditions de résiliation</w:t>
      </w:r>
      <w:bookmarkEnd w:id="88"/>
      <w:bookmarkEnd w:id="89"/>
      <w:r w:rsidRPr="00A74C83">
        <w:tab/>
      </w:r>
    </w:p>
    <w:p w14:paraId="58F649D9" w14:textId="77777777" w:rsidR="00DB19F5" w:rsidRPr="00A74C83" w:rsidRDefault="00DB19F5" w:rsidP="00DB19F5">
      <w:r w:rsidRPr="00A74C83">
        <w:t>Les conditions de résiliation applicables au présent marché seront celles des articles 47 à 54 du CCAG-TIC.</w:t>
      </w:r>
    </w:p>
    <w:p w14:paraId="7B7BEB29" w14:textId="77777777" w:rsidR="00DB19F5" w:rsidRPr="00A74C83" w:rsidRDefault="00DB19F5" w:rsidP="00DB19F5">
      <w:pPr>
        <w:pStyle w:val="Sousarticle"/>
      </w:pPr>
      <w:bookmarkStart w:id="90" w:name="_Toc85720086"/>
      <w:bookmarkStart w:id="91" w:name="_Toc193296242"/>
      <w:r w:rsidRPr="00A74C83">
        <w:t>Article 21.1 : Résiliation du fait du pouvoir adjudicateur</w:t>
      </w:r>
      <w:bookmarkEnd w:id="90"/>
      <w:bookmarkEnd w:id="91"/>
      <w:r w:rsidRPr="00A74C83">
        <w:tab/>
      </w:r>
    </w:p>
    <w:p w14:paraId="5BF98239" w14:textId="65D03934" w:rsidR="00DB19F5" w:rsidRPr="00A74C83" w:rsidRDefault="006A0247" w:rsidP="00DB19F5">
      <w:r w:rsidRPr="00A74C83">
        <w:t>INRAE</w:t>
      </w:r>
      <w:r w:rsidR="00DB19F5" w:rsidRPr="00A74C83">
        <w:t xml:space="preserve"> pourra, pour quelque raison que ce soit, résilier le marché, avant son échéance, dans les conditions prévues </w:t>
      </w:r>
      <w:r w:rsidR="00A928E0" w:rsidRPr="00A74C83">
        <w:t>au chapitre 7 du CCAG-FCS</w:t>
      </w:r>
      <w:r w:rsidR="00DB19F5" w:rsidRPr="00A74C83">
        <w:t xml:space="preserve">. </w:t>
      </w:r>
    </w:p>
    <w:p w14:paraId="0E05A824" w14:textId="77777777" w:rsidR="00DB19F5" w:rsidRPr="00A74C83" w:rsidRDefault="00DB19F5" w:rsidP="00DB19F5">
      <w:r w:rsidRPr="00A74C83">
        <w:t xml:space="preserve">Dans ce cas, le représentant du pouvoir adjudicateur doit en avertir le Titulaire par lettre recommandée avec accusé de réception postale ou dispositif électronique équivalent mentionnant la date d’effet de la résiliation. </w:t>
      </w:r>
    </w:p>
    <w:p w14:paraId="0A1021FB" w14:textId="77777777" w:rsidR="00DB19F5" w:rsidRPr="00A74C83" w:rsidRDefault="00DB19F5" w:rsidP="00DB19F5">
      <w:r w:rsidRPr="00A74C83">
        <w:t>Le Titulaire est tenu à l’ensemble des obligations contractuelles jusqu’à la date d’effet de la résiliation mentionnée dans la lettre.</w:t>
      </w:r>
    </w:p>
    <w:p w14:paraId="27F456CD" w14:textId="77777777" w:rsidR="00DB19F5" w:rsidRPr="00A74C83" w:rsidRDefault="00DB19F5" w:rsidP="00DB19F5">
      <w:pPr>
        <w:pStyle w:val="Sousarticle"/>
      </w:pPr>
      <w:bookmarkStart w:id="92" w:name="_Toc85720087"/>
      <w:bookmarkStart w:id="93" w:name="_Toc193296243"/>
      <w:r w:rsidRPr="00A74C83">
        <w:t>Article 21.2 : Résiliation aux torts du titulaire</w:t>
      </w:r>
      <w:bookmarkEnd w:id="92"/>
      <w:bookmarkEnd w:id="93"/>
      <w:r w:rsidRPr="00A74C83">
        <w:tab/>
      </w:r>
    </w:p>
    <w:p w14:paraId="63B2CE49" w14:textId="77777777" w:rsidR="00DB19F5" w:rsidRPr="00A74C83" w:rsidRDefault="00DB19F5" w:rsidP="00DB19F5">
      <w:r w:rsidRPr="00A74C83">
        <w:t xml:space="preserve">Le pouvoir adjudicateur peut résilier le marché aux torts du Titulaire dans les conditions fixées à l’article 50 du CCAG-TIC. </w:t>
      </w:r>
    </w:p>
    <w:p w14:paraId="5DA0C23A" w14:textId="4BACA7C7" w:rsidR="00DB19F5" w:rsidRPr="00A74C83" w:rsidRDefault="00DB19F5" w:rsidP="00DB19F5">
      <w:r w:rsidRPr="00A74C83">
        <w:t xml:space="preserve">Par ailleurs la résiliation aux torts du Titulaire sera également prononcée, sans mise en demeure préalable par dérogation à l’article </w:t>
      </w:r>
      <w:r w:rsidR="008C3DD0" w:rsidRPr="00A74C83">
        <w:t>41 du CCAG-FCS</w:t>
      </w:r>
      <w:r w:rsidRPr="00A74C83">
        <w:t xml:space="preserve">, </w:t>
      </w:r>
      <w:r w:rsidR="008C3DD0" w:rsidRPr="00A74C83">
        <w:t xml:space="preserve">notamment </w:t>
      </w:r>
      <w:r w:rsidRPr="00A74C83">
        <w:t>lorsque celui-ci ne respecte pas les dispositions du présent document relatives à la sécurité des données hébergées, ou, se trouve dans l’incapacité de fournir, sous 4 heures ouvrées suivant la demande du pouvoir adjudicateur, le lieu effectif où se situent les données le cas échéant transférées. Cette résiliation s’effectue sans préjudice des autres actions, notamment pénales, qui seraient engagées dans ce cas à l’encontre du Titulaire.</w:t>
      </w:r>
    </w:p>
    <w:p w14:paraId="7B4800A3" w14:textId="0328D89B" w:rsidR="00DB19F5" w:rsidRPr="00A74C83" w:rsidRDefault="00DB19F5" w:rsidP="00DB19F5">
      <w:r w:rsidRPr="00A74C83">
        <w:t xml:space="preserve">De même, le pouvoir adjudicateur peut résilier le marché aux torts du Titulaire pour mauvaise exécution des prestations, après mise en demeure préalable, si l’application répétée des pénalités prévues dans le présent document n’apporte </w:t>
      </w:r>
      <w:r w:rsidR="008C3DD0" w:rsidRPr="00A74C83">
        <w:t>pas</w:t>
      </w:r>
      <w:r w:rsidRPr="00A74C83">
        <w:t xml:space="preserve"> </w:t>
      </w:r>
      <w:r w:rsidR="008C3DD0" w:rsidRPr="00A74C83">
        <w:t>d’</w:t>
      </w:r>
      <w:r w:rsidRPr="00A74C83">
        <w:t>amélioration significative.</w:t>
      </w:r>
    </w:p>
    <w:p w14:paraId="144D57B1" w14:textId="77777777" w:rsidR="00DB19F5" w:rsidRPr="00A74C83" w:rsidRDefault="00DB19F5" w:rsidP="00DB19F5">
      <w:pPr>
        <w:pStyle w:val="Article"/>
      </w:pPr>
      <w:bookmarkStart w:id="94" w:name="_Toc85720088"/>
      <w:bookmarkStart w:id="95" w:name="_Toc193296244"/>
      <w:r w:rsidRPr="00A74C83">
        <w:t>Article 22 : Responsabilité et assurance</w:t>
      </w:r>
      <w:bookmarkEnd w:id="94"/>
      <w:bookmarkEnd w:id="95"/>
      <w:r w:rsidRPr="00A74C83">
        <w:tab/>
      </w:r>
    </w:p>
    <w:p w14:paraId="7629D91F" w14:textId="77777777" w:rsidR="00DB19F5" w:rsidRPr="00A74C83" w:rsidRDefault="00DB19F5" w:rsidP="00DB19F5">
      <w:r w:rsidRPr="00A74C83">
        <w:t>Les dommages ou dégradations survenus aux lieux occupés et à leurs dépendances sont à la charge du Titulaire sauf pour celui-ci à apporter les éléments de nature à l’exonérer de sa responsabilité.</w:t>
      </w:r>
    </w:p>
    <w:p w14:paraId="3E7B6077" w14:textId="0E5DF153" w:rsidR="00DB19F5" w:rsidRPr="00A74C83" w:rsidRDefault="006A0247" w:rsidP="00DB19F5">
      <w:r w:rsidRPr="00A74C83">
        <w:t>INRAE</w:t>
      </w:r>
      <w:r w:rsidR="00DB19F5" w:rsidRPr="00A74C83">
        <w:t xml:space="preserve"> </w:t>
      </w:r>
      <w:r w:rsidRPr="00A74C83">
        <w:t>est</w:t>
      </w:r>
      <w:r w:rsidR="00DB19F5" w:rsidRPr="00A74C83">
        <w:t xml:space="preserve"> dégagé de toute responsabilité pour toute disparition ou détérioration de matériel, de mobilier ou de marchandise, situés dans les espaces mis à disposition au titre du présent marché dans le cadre de réunions de travail, ainsi que tout accident survenu au personnel employé par le Titulaire.</w:t>
      </w:r>
    </w:p>
    <w:p w14:paraId="1E3085C8" w14:textId="77777777" w:rsidR="00DB19F5" w:rsidRPr="00A74C83" w:rsidRDefault="00DB19F5" w:rsidP="00DB19F5">
      <w:r w:rsidRPr="00A74C83">
        <w:t>Ce dernier prendra toute disposition qu’il jugera nécessaire en matière de sécurité et de vol.</w:t>
      </w:r>
    </w:p>
    <w:p w14:paraId="4689073F" w14:textId="4759EF9A" w:rsidR="00DB19F5" w:rsidRPr="00A74C83" w:rsidRDefault="00DB19F5" w:rsidP="00DB19F5">
      <w:r w:rsidRPr="00A74C83">
        <w:t xml:space="preserve">Si le Titulaire manque à ses obligations, </w:t>
      </w:r>
      <w:r w:rsidR="006A0247" w:rsidRPr="00A74C83">
        <w:t>INRAE</w:t>
      </w:r>
      <w:r w:rsidRPr="00A74C83">
        <w:t xml:space="preserve"> sera en droit d’obtenir en cas de faute du Titulaire et dans les limites ci-après, la réparation de son préjudice.</w:t>
      </w:r>
    </w:p>
    <w:p w14:paraId="11E7E191" w14:textId="0E976133" w:rsidR="00DB19F5" w:rsidRPr="00A74C83" w:rsidRDefault="00DB19F5" w:rsidP="00DB19F5">
      <w:r w:rsidRPr="00A74C83">
        <w:t xml:space="preserve">L’indemnité totale due par le Titulaire </w:t>
      </w:r>
      <w:r w:rsidR="006A0247" w:rsidRPr="00A74C83">
        <w:t>à INRAE</w:t>
      </w:r>
      <w:r w:rsidRPr="00A74C83">
        <w:t xml:space="preserve"> en réparation de son préjudice ne pourra dépasser le montant du marché notifié cumulé au montant des bons de commandes exécutés et des avenants éventuels. </w:t>
      </w:r>
    </w:p>
    <w:p w14:paraId="07C53DD0" w14:textId="77777777" w:rsidR="00DB19F5" w:rsidRPr="00A74C83" w:rsidRDefault="00DB19F5" w:rsidP="00DB19F5">
      <w:r w:rsidRPr="00A74C83">
        <w:t>Les limites ci-dessus ne s’appliquent pas aux dommages corporels, ni aux dommages aux biens matériels (mobiliers ou immobiliers), dont le Titulaire sera responsable dans les conditions du droit commun, ni aux actions en contrefaçon.</w:t>
      </w:r>
    </w:p>
    <w:p w14:paraId="34E108A3" w14:textId="255BB420" w:rsidR="00DB19F5" w:rsidRPr="00A74C83" w:rsidRDefault="00DB19F5" w:rsidP="00DB19F5">
      <w:r w:rsidRPr="00A74C83">
        <w:t xml:space="preserve">Le Titulaire ne sera en aucun cas responsable des dommages indirects causés </w:t>
      </w:r>
      <w:r w:rsidR="006A0247" w:rsidRPr="00A74C83">
        <w:t>à INRAE</w:t>
      </w:r>
      <w:r w:rsidRPr="00A74C83">
        <w:t xml:space="preserve">. A cet effet, Il est convenu que toute action dirigée contre </w:t>
      </w:r>
      <w:r w:rsidR="006A0247" w:rsidRPr="00A74C83">
        <w:t>INRAE</w:t>
      </w:r>
      <w:r w:rsidRPr="00A74C83">
        <w:t xml:space="preserve"> par un tiers, à l’exception des actions en contrefaçon et des dommages corporels ou aux biens matériels mobiliers ou immobiliers, constituent des dommages indirects et, par conséquent, n’ouvrent pas droit à réparation. </w:t>
      </w:r>
    </w:p>
    <w:p w14:paraId="38153845" w14:textId="09F210DE" w:rsidR="00DB19F5" w:rsidRPr="00A74C83" w:rsidRDefault="00DB19F5" w:rsidP="00DB19F5">
      <w:r w:rsidRPr="00A74C83">
        <w:t>Dans un déla</w:t>
      </w:r>
      <w:r w:rsidR="008C3DD0" w:rsidRPr="00A74C83">
        <w:t xml:space="preserve">i </w:t>
      </w:r>
      <w:r w:rsidRPr="00A74C83">
        <w:t xml:space="preserve">de 15 jours à compter de la notification du présent marché, le Titulaire doit justifier qu’il est assuré, en responsabilité civile et professionnelle, souscrite auprès d’organismes notoirement solvables et agréés par l’État garantissant sa responsabilité à l’égard des tiers et </w:t>
      </w:r>
      <w:r w:rsidR="006A0247" w:rsidRPr="00A74C83">
        <w:t>d’INRAE</w:t>
      </w:r>
      <w:r w:rsidRPr="00A74C83">
        <w:t xml:space="preserve"> en cas d’accident ou de dommage causé durant l’exécution des prestations. Cette assurance doit couvrir la totalité de la période d’exécution du marché. Si la durée du marché est supérieure à la période couverte par l’assurance, le Titulaire veillera à transmettre à </w:t>
      </w:r>
      <w:r w:rsidR="006A0247" w:rsidRPr="00A74C83">
        <w:t>INRAE</w:t>
      </w:r>
      <w:r w:rsidRPr="00A74C83">
        <w:t xml:space="preserve"> une nouvelle attestation.</w:t>
      </w:r>
    </w:p>
    <w:p w14:paraId="211C8DDA" w14:textId="77777777" w:rsidR="00DB19F5" w:rsidRPr="00A74C83" w:rsidRDefault="00DB19F5" w:rsidP="00DB19F5">
      <w:pPr>
        <w:pStyle w:val="Article"/>
      </w:pPr>
      <w:bookmarkStart w:id="96" w:name="_Toc85720089"/>
      <w:bookmarkStart w:id="97" w:name="_Toc193296245"/>
      <w:r w:rsidRPr="00A74C83">
        <w:lastRenderedPageBreak/>
        <w:t>Article 23 : Modifications du marché</w:t>
      </w:r>
      <w:bookmarkEnd w:id="96"/>
      <w:bookmarkEnd w:id="97"/>
      <w:r w:rsidRPr="00A74C83">
        <w:tab/>
      </w:r>
    </w:p>
    <w:p w14:paraId="5F7AB56A" w14:textId="4A7FBDD7" w:rsidR="00DB19F5" w:rsidRPr="00A74C83" w:rsidRDefault="00DB19F5" w:rsidP="00DB19F5">
      <w:pPr>
        <w:pStyle w:val="Sousarticle"/>
      </w:pPr>
      <w:bookmarkStart w:id="98" w:name="_Toc85720090"/>
      <w:bookmarkStart w:id="99" w:name="_Toc193296246"/>
      <w:r w:rsidRPr="00A74C83">
        <w:t>Article 23.1 : Évolution de la législation</w:t>
      </w:r>
      <w:bookmarkEnd w:id="98"/>
      <w:r w:rsidR="00AC50CF" w:rsidRPr="00A74C83">
        <w:t xml:space="preserve"> et marché similaire</w:t>
      </w:r>
      <w:bookmarkEnd w:id="99"/>
      <w:r w:rsidRPr="00A74C83">
        <w:tab/>
      </w:r>
    </w:p>
    <w:p w14:paraId="018E9FD1" w14:textId="450C2645" w:rsidR="00DB19F5" w:rsidRPr="00A74C83" w:rsidRDefault="00DB19F5" w:rsidP="00DB19F5">
      <w:r w:rsidRPr="00A74C83">
        <w:t>Par dérogation aux articles 5.2 (Protection des données à caractère personnel), 6 (protection de la main d’œuvre) 7 (Protection de l’environnement) du CCAG-</w:t>
      </w:r>
      <w:r w:rsidR="008C3DD0" w:rsidRPr="00A74C83">
        <w:t>FCS</w:t>
      </w:r>
      <w:r w:rsidRPr="00A74C83">
        <w:t>, toute évolution législative en cours d’exécution du marché s’applique de plein droit au marché.</w:t>
      </w:r>
    </w:p>
    <w:p w14:paraId="3B535DCD" w14:textId="680B02A7" w:rsidR="00AC50CF" w:rsidRPr="00A74C83" w:rsidRDefault="00AC50CF" w:rsidP="00AC50CF">
      <w:r w:rsidRPr="00A74C83">
        <w:t>Par ailleurs, le présent marché est susceptible de faire l’objet d’un marché négocié ayant pour objet des prestations similaires. Le montant de ce marché similaire est couvert par le montant maximum du présent marché.</w:t>
      </w:r>
    </w:p>
    <w:p w14:paraId="54723D4F" w14:textId="77777777" w:rsidR="00DB19F5" w:rsidRPr="00A74C83" w:rsidRDefault="00DB19F5" w:rsidP="00DB19F5">
      <w:pPr>
        <w:pStyle w:val="Sousarticle"/>
      </w:pPr>
      <w:bookmarkStart w:id="100" w:name="_Toc85720091"/>
      <w:bookmarkStart w:id="101" w:name="_Toc193296247"/>
      <w:r w:rsidRPr="00A74C83">
        <w:t>Article 23.2 : Clause de réexamen</w:t>
      </w:r>
      <w:bookmarkEnd w:id="100"/>
      <w:bookmarkEnd w:id="101"/>
      <w:r w:rsidRPr="00A74C83">
        <w:tab/>
      </w:r>
    </w:p>
    <w:p w14:paraId="3DA6DEA2" w14:textId="7C9ED38E" w:rsidR="00DB19F5" w:rsidRPr="00A74C83" w:rsidRDefault="00DB19F5" w:rsidP="00DB19F5">
      <w:r w:rsidRPr="00A74C83">
        <w:t xml:space="preserve">Une modification conjointe du marché pourra, le cas échéant, être apportée en application de l’article </w:t>
      </w:r>
      <w:r w:rsidR="00EB639E" w:rsidRPr="00A74C83">
        <w:br/>
      </w:r>
      <w:r w:rsidRPr="00A74C83">
        <w:t>R.2194-1 du code de la commande publique :</w:t>
      </w:r>
    </w:p>
    <w:p w14:paraId="45B7CC03" w14:textId="77777777" w:rsidR="00DB19F5" w:rsidRPr="00A74C83" w:rsidRDefault="00DB19F5" w:rsidP="00332EC6">
      <w:pPr>
        <w:pStyle w:val="Paragraphedeliste"/>
        <w:numPr>
          <w:ilvl w:val="0"/>
          <w:numId w:val="30"/>
        </w:numPr>
        <w:rPr>
          <w:sz w:val="18"/>
          <w:szCs w:val="18"/>
        </w:rPr>
      </w:pPr>
      <w:r w:rsidRPr="00A74C83">
        <w:rPr>
          <w:sz w:val="18"/>
          <w:szCs w:val="18"/>
        </w:rPr>
        <w:t>Pour le cas où cette législation entraîne des prestations indispensables supplémentaires.</w:t>
      </w:r>
    </w:p>
    <w:p w14:paraId="371A5CCB" w14:textId="16A4E8C2" w:rsidR="00DB19F5" w:rsidRPr="00A74C83" w:rsidRDefault="00DB19F5" w:rsidP="00332EC6">
      <w:pPr>
        <w:pStyle w:val="Paragraphedeliste"/>
        <w:numPr>
          <w:ilvl w:val="0"/>
          <w:numId w:val="30"/>
        </w:numPr>
        <w:rPr>
          <w:sz w:val="18"/>
          <w:szCs w:val="18"/>
        </w:rPr>
      </w:pPr>
      <w:r w:rsidRPr="00A74C83">
        <w:rPr>
          <w:sz w:val="18"/>
          <w:szCs w:val="18"/>
        </w:rPr>
        <w:t>Pour le cas où une disposition de la dite nouvelle législation prévoit expressément le contraire.</w:t>
      </w:r>
    </w:p>
    <w:p w14:paraId="4F82269A" w14:textId="77777777" w:rsidR="00332EC6" w:rsidRPr="00A74C83" w:rsidRDefault="00332EC6" w:rsidP="00332EC6">
      <w:pPr>
        <w:pStyle w:val="Paragraphedeliste"/>
        <w:rPr>
          <w:sz w:val="18"/>
          <w:szCs w:val="18"/>
        </w:rPr>
      </w:pPr>
    </w:p>
    <w:p w14:paraId="09669916" w14:textId="7E37BF35" w:rsidR="00DB19F5" w:rsidRPr="00A74C83" w:rsidRDefault="00332EC6" w:rsidP="00DB19F5">
      <w:r w:rsidRPr="00A74C83">
        <w:t>Il est possible</w:t>
      </w:r>
      <w:r w:rsidR="00DB19F5" w:rsidRPr="00A74C83">
        <w:t xml:space="preserve"> d'introduire dans le </w:t>
      </w:r>
      <w:r w:rsidRPr="00A74C83">
        <w:t xml:space="preserve">BPU du </w:t>
      </w:r>
      <w:r w:rsidR="00DB19F5" w:rsidRPr="00A74C83">
        <w:t xml:space="preserve">marché de nouvelles prestations, soit en substitution, soit en complément de celles initialement attendues dans le cas où ces dernières n’auraient pas été prévues dans les prestations à bon de commande, notamment afin de prendre en compte les évolutions </w:t>
      </w:r>
      <w:r w:rsidR="008C3DD0" w:rsidRPr="00A74C83">
        <w:t>pédagogiques ou réglementaires applicables au secteur économique correspondant à l’objet du marché</w:t>
      </w:r>
      <w:r w:rsidR="00DB19F5" w:rsidRPr="00A74C83">
        <w:t>. L</w:t>
      </w:r>
      <w:r w:rsidRPr="00A74C83">
        <w:t>e cas échéant, c</w:t>
      </w:r>
      <w:r w:rsidR="00DB19F5" w:rsidRPr="00A74C83">
        <w:t xml:space="preserve">es modifications se feront sans qu’un avenant ne soit nécessaire. </w:t>
      </w:r>
    </w:p>
    <w:p w14:paraId="400BA374" w14:textId="77777777" w:rsidR="00DB19F5" w:rsidRPr="00A74C83" w:rsidRDefault="00DB19F5" w:rsidP="00DB19F5">
      <w:pPr>
        <w:pStyle w:val="Sousarticle"/>
      </w:pPr>
      <w:bookmarkStart w:id="102" w:name="_Toc85720092"/>
      <w:bookmarkStart w:id="103" w:name="_Toc193296248"/>
      <w:r w:rsidRPr="00A74C83">
        <w:t>Article 23.3 : Modification du groupement titulaire en cas de défaillance du mandataire</w:t>
      </w:r>
      <w:bookmarkEnd w:id="102"/>
      <w:bookmarkEnd w:id="103"/>
      <w:r w:rsidRPr="00A74C83">
        <w:tab/>
      </w:r>
    </w:p>
    <w:p w14:paraId="198A7767" w14:textId="70315592" w:rsidR="00DB19F5" w:rsidRPr="00A74C83" w:rsidRDefault="00DB19F5" w:rsidP="00DB19F5">
      <w:r w:rsidRPr="00A74C83">
        <w:t>Par dérogation à l’article 3.5 du CCAG-</w:t>
      </w:r>
      <w:r w:rsidR="008C3DD0" w:rsidRPr="00A74C83">
        <w:t>FCS</w:t>
      </w:r>
      <w:r w:rsidRPr="00A74C83">
        <w:t xml:space="preserve">, dans le cas particulier où le mandataire du groupement ne se conforme pas à ses obligations, </w:t>
      </w:r>
      <w:r w:rsidR="00DD1017" w:rsidRPr="00A74C83">
        <w:t>INRAE</w:t>
      </w:r>
      <w:r w:rsidRPr="00A74C83">
        <w:t xml:space="preserve"> le met en demeure d’y satisfaire. Si cette mise en demeure reste sans effet, le groupement invite les prestataires groupés à désigner, dans un délai de 15 jours, un autre mandataire parmi eux. Cette substitution fait l’objet d’un avenant précisant notamment la nouvelle organisation du groupement ainsi que la nouvelle répartition des prestations et de la rémunération afférente.</w:t>
      </w:r>
    </w:p>
    <w:p w14:paraId="70137139" w14:textId="77777777" w:rsidR="00DB19F5" w:rsidRPr="00A74C83" w:rsidRDefault="00DB19F5" w:rsidP="00DB19F5">
      <w:pPr>
        <w:pStyle w:val="Article"/>
      </w:pPr>
      <w:bookmarkStart w:id="104" w:name="_Toc85720093"/>
      <w:bookmarkStart w:id="105" w:name="_Toc193296249"/>
      <w:r w:rsidRPr="00A74C83">
        <w:t>Article 24 : Mode de communication entre les parties et développement durable</w:t>
      </w:r>
      <w:bookmarkEnd w:id="104"/>
      <w:bookmarkEnd w:id="105"/>
      <w:r w:rsidRPr="00A74C83">
        <w:tab/>
      </w:r>
    </w:p>
    <w:p w14:paraId="34EB8A80" w14:textId="4F5C9579" w:rsidR="00DB19F5" w:rsidRPr="00A74C83" w:rsidRDefault="00DB19F5" w:rsidP="00DB19F5">
      <w:r w:rsidRPr="00A74C83">
        <w:t>Par dérogation à l’article 3.8 du CCAG-</w:t>
      </w:r>
      <w:r w:rsidR="00742ACF" w:rsidRPr="00A74C83">
        <w:t>FCS</w:t>
      </w:r>
      <w:r w:rsidRPr="00A74C83">
        <w:t xml:space="preserve">, le mode opératoire de communication entre les parties au marché ne se fait pas par ordre de service.  </w:t>
      </w:r>
    </w:p>
    <w:p w14:paraId="4B2D0E77" w14:textId="4EDD2896" w:rsidR="00DB19F5" w:rsidRPr="00A74C83" w:rsidRDefault="00DB19F5" w:rsidP="00DB19F5">
      <w:r w:rsidRPr="00A74C83">
        <w:t xml:space="preserve">Les communications entre le Titulaire et </w:t>
      </w:r>
      <w:r w:rsidR="00DD1017" w:rsidRPr="00A74C83">
        <w:t>INRAE</w:t>
      </w:r>
      <w:r w:rsidRPr="00A74C83">
        <w:t xml:space="preserve"> faisant courir un délai se feront par courrier électronique (courriel) avec demande d’accusé réception</w:t>
      </w:r>
      <w:r w:rsidR="003E4DF0" w:rsidRPr="00A74C83">
        <w:t xml:space="preserve"> ou par le biais d’une plateforme </w:t>
      </w:r>
      <w:r w:rsidR="002F3821" w:rsidRPr="00A74C83">
        <w:t>permettant la dématérialisation des échanges</w:t>
      </w:r>
      <w:r w:rsidRPr="00A74C83">
        <w:t>.</w:t>
      </w:r>
    </w:p>
    <w:p w14:paraId="1A90CD64" w14:textId="77777777" w:rsidR="00DB19F5" w:rsidRPr="00A74C83" w:rsidRDefault="00DB19F5" w:rsidP="00DB19F5">
      <w:r w:rsidRPr="00A74C83">
        <w:t xml:space="preserve">Pour tout autre type de communication, les parties en choisissent librement le mode en privilégiant dans la mesure du possible le mode favorisant le respect de l’environnement, à savoir le mode électronique. </w:t>
      </w:r>
    </w:p>
    <w:p w14:paraId="402426DB" w14:textId="6089C5D7" w:rsidR="00DB19F5" w:rsidRPr="00A74C83" w:rsidRDefault="00DB19F5" w:rsidP="00DB19F5">
      <w:r w:rsidRPr="00A74C83">
        <w:t>De même, le Titulaire astreindra ses personnels, pour toute réunion physique ayant lieu dans le cadre de la mission, à se déplacer, dans la mesure du possible, au moyen des transports en commun</w:t>
      </w:r>
      <w:r w:rsidR="002F3821" w:rsidRPr="00A74C83">
        <w:t xml:space="preserve"> ou tout autre mode de transport à faible impact environnemental</w:t>
      </w:r>
      <w:r w:rsidRPr="00A74C83">
        <w:t>. Dans la mesure du possible la visioconférence sera privilégiée.</w:t>
      </w:r>
    </w:p>
    <w:p w14:paraId="45F37BDF" w14:textId="77777777" w:rsidR="00DB19F5" w:rsidRPr="00A74C83" w:rsidRDefault="00DB19F5" w:rsidP="00DB19F5">
      <w:pPr>
        <w:pStyle w:val="Article"/>
      </w:pPr>
      <w:bookmarkStart w:id="106" w:name="_Toc85720094"/>
      <w:bookmarkStart w:id="107" w:name="_Toc193296250"/>
      <w:r w:rsidRPr="00A74C83">
        <w:t xml:space="preserve">Article 25 : </w:t>
      </w:r>
      <w:bookmarkStart w:id="108" w:name="_Toc85720095"/>
      <w:bookmarkEnd w:id="106"/>
      <w:r w:rsidRPr="00A74C83">
        <w:t>Loi applicable, différends et litiges</w:t>
      </w:r>
      <w:bookmarkEnd w:id="107"/>
      <w:bookmarkEnd w:id="108"/>
      <w:r w:rsidRPr="00A74C83">
        <w:tab/>
      </w:r>
    </w:p>
    <w:p w14:paraId="28E3EB76" w14:textId="77777777" w:rsidR="00DB19F5" w:rsidRPr="00A74C83" w:rsidRDefault="00DB19F5" w:rsidP="00DB19F5">
      <w:r w:rsidRPr="00A74C83">
        <w:t>En cas de litige, la loi française est seule applicable. Les tribunaux français sont seuls compétents.</w:t>
      </w:r>
    </w:p>
    <w:p w14:paraId="4ACCD25A" w14:textId="77777777" w:rsidR="00DB19F5" w:rsidRPr="00A74C83" w:rsidRDefault="00DB19F5" w:rsidP="00DB19F5">
      <w:r w:rsidRPr="00A74C83">
        <w:t>Les correspondances relatives au marché sont rédigées en français.</w:t>
      </w:r>
    </w:p>
    <w:p w14:paraId="2EAEA149" w14:textId="77777777" w:rsidR="00DB19F5" w:rsidRPr="00A74C83" w:rsidRDefault="00DB19F5" w:rsidP="00DB19F5">
      <w:r w:rsidRPr="00A74C83">
        <w:t>Les parties s’efforcent de résoudre à l’amiable les contestations qui pourraient surgir de l’interprétation ou de l’exécution du présent marché.</w:t>
      </w:r>
    </w:p>
    <w:p w14:paraId="7C6E3825" w14:textId="77777777" w:rsidR="00DB19F5" w:rsidRPr="00A74C83" w:rsidRDefault="00DB19F5" w:rsidP="00DB19F5">
      <w:r w:rsidRPr="00A74C83">
        <w:t>En cas de différend né à l’occasion de l’exécution du présent marché, le tribunal administratif de Paris est seul compétent.</w:t>
      </w:r>
    </w:p>
    <w:p w14:paraId="2B6CE059" w14:textId="1189CF3D" w:rsidR="00DB19F5" w:rsidRPr="00A74C83" w:rsidRDefault="00DB19F5" w:rsidP="00DB19F5">
      <w:pPr>
        <w:pStyle w:val="Article"/>
      </w:pPr>
      <w:bookmarkStart w:id="109" w:name="_Toc85720096"/>
      <w:bookmarkStart w:id="110" w:name="_Toc193296251"/>
      <w:r w:rsidRPr="00A74C83">
        <w:lastRenderedPageBreak/>
        <w:t>Article 26 : Dérogations au CCAG-</w:t>
      </w:r>
      <w:bookmarkEnd w:id="109"/>
      <w:r w:rsidR="00742ACF" w:rsidRPr="00A74C83">
        <w:t>FCS</w:t>
      </w:r>
      <w:bookmarkEnd w:id="110"/>
      <w:r w:rsidRPr="00A74C83">
        <w:tab/>
      </w:r>
    </w:p>
    <w:p w14:paraId="0AE78862" w14:textId="77777777" w:rsidR="00DB19F5" w:rsidRPr="00A74C83" w:rsidRDefault="00DB19F5" w:rsidP="00DB19F5">
      <w:r w:rsidRPr="00A74C83">
        <w:t xml:space="preserve">Le présent marché déroge aux articles du CCAG-TIC suivants :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DB19F5" w:rsidRPr="00A74C83" w14:paraId="7B4E36CA" w14:textId="77777777" w:rsidTr="000A7BDC">
        <w:trPr>
          <w:trHeight w:val="262"/>
        </w:trPr>
        <w:tc>
          <w:tcPr>
            <w:tcW w:w="9067" w:type="dxa"/>
            <w:tcBorders>
              <w:top w:val="single" w:sz="4" w:space="0" w:color="auto"/>
              <w:left w:val="single" w:sz="4" w:space="0" w:color="auto"/>
              <w:bottom w:val="single" w:sz="4" w:space="0" w:color="auto"/>
              <w:right w:val="single" w:sz="4" w:space="0" w:color="auto"/>
            </w:tcBorders>
            <w:shd w:val="clear" w:color="auto" w:fill="03A3A6"/>
          </w:tcPr>
          <w:p w14:paraId="6F67C71B" w14:textId="77777777" w:rsidR="00DB19F5" w:rsidRPr="00A74C83" w:rsidRDefault="00DB19F5" w:rsidP="00DB19F5">
            <w:pPr>
              <w:spacing w:after="0"/>
              <w:rPr>
                <w:color w:val="FFFFFF"/>
              </w:rPr>
            </w:pPr>
            <w:r w:rsidRPr="00A74C83">
              <w:t>Dérogations au CCAG-TIC</w:t>
            </w:r>
          </w:p>
        </w:tc>
      </w:tr>
      <w:tr w:rsidR="00DB19F5" w:rsidRPr="00A74C83" w14:paraId="3C8E1831" w14:textId="77777777" w:rsidTr="000A7BDC">
        <w:trPr>
          <w:trHeight w:val="216"/>
        </w:trPr>
        <w:tc>
          <w:tcPr>
            <w:tcW w:w="9067" w:type="dxa"/>
            <w:shd w:val="clear" w:color="auto" w:fill="auto"/>
          </w:tcPr>
          <w:p w14:paraId="0298D773" w14:textId="23E8222F" w:rsidR="00DB19F5" w:rsidRPr="00A74C83" w:rsidRDefault="00DB19F5" w:rsidP="00DB19F5">
            <w:pPr>
              <w:spacing w:after="0"/>
            </w:pPr>
            <w:r w:rsidRPr="00A74C83">
              <w:t>Article 3.2 concernant le point de départ des délais contractuels exprimés en heures ;</w:t>
            </w:r>
          </w:p>
        </w:tc>
      </w:tr>
      <w:tr w:rsidR="00DB19F5" w:rsidRPr="00A74C83" w14:paraId="49949D93" w14:textId="77777777" w:rsidTr="000A7BDC">
        <w:trPr>
          <w:trHeight w:val="216"/>
        </w:trPr>
        <w:tc>
          <w:tcPr>
            <w:tcW w:w="9067" w:type="dxa"/>
            <w:shd w:val="clear" w:color="auto" w:fill="auto"/>
          </w:tcPr>
          <w:p w14:paraId="3242D93C" w14:textId="503AA6C1" w:rsidR="00DB19F5" w:rsidRPr="00A74C83" w:rsidRDefault="00DB19F5" w:rsidP="00DB19F5">
            <w:pPr>
              <w:spacing w:after="0"/>
            </w:pPr>
            <w:r w:rsidRPr="00A74C83">
              <w:t>Article 3.7 concernant les observations sur bon de commande ;</w:t>
            </w:r>
          </w:p>
        </w:tc>
      </w:tr>
      <w:tr w:rsidR="00DB19F5" w:rsidRPr="00A74C83" w14:paraId="46584BD5" w14:textId="77777777" w:rsidTr="000A7BDC">
        <w:trPr>
          <w:trHeight w:val="216"/>
        </w:trPr>
        <w:tc>
          <w:tcPr>
            <w:tcW w:w="9067" w:type="dxa"/>
            <w:shd w:val="clear" w:color="auto" w:fill="auto"/>
          </w:tcPr>
          <w:p w14:paraId="656DF4E1" w14:textId="77777777" w:rsidR="00DB19F5" w:rsidRPr="00A74C83" w:rsidRDefault="00DB19F5" w:rsidP="00DB19F5">
            <w:pPr>
              <w:spacing w:after="0"/>
            </w:pPr>
            <w:r w:rsidRPr="00A74C83">
              <w:t>Article 3.8 concernant le mode de communication des parties ;</w:t>
            </w:r>
          </w:p>
        </w:tc>
      </w:tr>
      <w:tr w:rsidR="00DB19F5" w:rsidRPr="00A74C83" w14:paraId="7DC1BB9A" w14:textId="77777777" w:rsidTr="000A7BDC">
        <w:trPr>
          <w:trHeight w:val="216"/>
        </w:trPr>
        <w:tc>
          <w:tcPr>
            <w:tcW w:w="9067" w:type="dxa"/>
            <w:shd w:val="clear" w:color="auto" w:fill="auto"/>
          </w:tcPr>
          <w:p w14:paraId="4461FA07" w14:textId="77777777" w:rsidR="00DB19F5" w:rsidRPr="00A74C83" w:rsidRDefault="00DB19F5" w:rsidP="00DB19F5">
            <w:pPr>
              <w:spacing w:after="0"/>
            </w:pPr>
            <w:r w:rsidRPr="00A74C83">
              <w:t>Article 4.1 concernant l’ordre des pièces contractuelles ;</w:t>
            </w:r>
          </w:p>
        </w:tc>
      </w:tr>
      <w:tr w:rsidR="00DB19F5" w:rsidRPr="00A74C83" w14:paraId="19007532" w14:textId="77777777" w:rsidTr="000A7BDC">
        <w:trPr>
          <w:trHeight w:val="216"/>
        </w:trPr>
        <w:tc>
          <w:tcPr>
            <w:tcW w:w="9067" w:type="dxa"/>
            <w:shd w:val="clear" w:color="auto" w:fill="auto"/>
          </w:tcPr>
          <w:p w14:paraId="0C46F3B7" w14:textId="2B7F5183" w:rsidR="00DB19F5" w:rsidRPr="00A74C83" w:rsidRDefault="00DB19F5" w:rsidP="00DB19F5">
            <w:pPr>
              <w:spacing w:after="0"/>
            </w:pPr>
            <w:r w:rsidRPr="00A74C83">
              <w:t>Articles 5.2, 6 et 7 concernant l’application d’une nouvelle législation ;</w:t>
            </w:r>
          </w:p>
        </w:tc>
      </w:tr>
      <w:tr w:rsidR="00DB19F5" w:rsidRPr="00A74C83" w14:paraId="3535DB77" w14:textId="77777777" w:rsidTr="000A7BDC">
        <w:trPr>
          <w:trHeight w:val="216"/>
        </w:trPr>
        <w:tc>
          <w:tcPr>
            <w:tcW w:w="9067" w:type="dxa"/>
            <w:shd w:val="clear" w:color="auto" w:fill="auto"/>
          </w:tcPr>
          <w:p w14:paraId="419CBE1B" w14:textId="766CF21E" w:rsidR="00DB19F5" w:rsidRPr="00A74C83" w:rsidRDefault="00DB19F5" w:rsidP="00DB19F5">
            <w:pPr>
              <w:spacing w:after="0"/>
            </w:pPr>
            <w:r w:rsidRPr="00A74C83">
              <w:t>Article 10 concernant la forme des prix, l’arrondi de la révision, le prix de règlement applicable et le prix initial</w:t>
            </w:r>
          </w:p>
        </w:tc>
      </w:tr>
      <w:tr w:rsidR="00DB19F5" w:rsidRPr="00A74C83" w14:paraId="6F94C7D3" w14:textId="77777777" w:rsidTr="000A7BDC">
        <w:trPr>
          <w:trHeight w:val="216"/>
        </w:trPr>
        <w:tc>
          <w:tcPr>
            <w:tcW w:w="9067" w:type="dxa"/>
            <w:shd w:val="clear" w:color="auto" w:fill="auto"/>
          </w:tcPr>
          <w:p w14:paraId="6E312CE9" w14:textId="7D410CD1" w:rsidR="00DB19F5" w:rsidRPr="00A74C83" w:rsidRDefault="00DB19F5" w:rsidP="00DB19F5">
            <w:pPr>
              <w:spacing w:after="0"/>
            </w:pPr>
            <w:r w:rsidRPr="00A74C83">
              <w:t>Article 11.5 sur la périodicité de facturation des prestations continues</w:t>
            </w:r>
          </w:p>
        </w:tc>
      </w:tr>
      <w:tr w:rsidR="00DB19F5" w:rsidRPr="00A74C83" w14:paraId="0336A378" w14:textId="77777777" w:rsidTr="000A7BDC">
        <w:trPr>
          <w:trHeight w:val="216"/>
        </w:trPr>
        <w:tc>
          <w:tcPr>
            <w:tcW w:w="9067" w:type="dxa"/>
            <w:shd w:val="clear" w:color="auto" w:fill="auto"/>
          </w:tcPr>
          <w:p w14:paraId="39C2DA1F" w14:textId="72B462DE" w:rsidR="00DB19F5" w:rsidRPr="00A74C83" w:rsidRDefault="00DB19F5" w:rsidP="00DB19F5">
            <w:pPr>
              <w:spacing w:after="0"/>
            </w:pPr>
            <w:r w:rsidRPr="00A74C83">
              <w:t>Article 12 concernant le paiement des cotraitants, leur facturation et leurs réclamations</w:t>
            </w:r>
          </w:p>
        </w:tc>
      </w:tr>
      <w:tr w:rsidR="00DB19F5" w:rsidRPr="00A74C83" w14:paraId="7ADC8430" w14:textId="77777777" w:rsidTr="000A7BDC">
        <w:trPr>
          <w:trHeight w:val="216"/>
        </w:trPr>
        <w:tc>
          <w:tcPr>
            <w:tcW w:w="9067" w:type="dxa"/>
            <w:shd w:val="clear" w:color="auto" w:fill="auto"/>
          </w:tcPr>
          <w:p w14:paraId="6229DBA7" w14:textId="2FBF292F" w:rsidR="00DB19F5" w:rsidRPr="00A74C83" w:rsidRDefault="00DB19F5" w:rsidP="00DB19F5">
            <w:pPr>
              <w:spacing w:after="0"/>
            </w:pPr>
            <w:r w:rsidRPr="00A74C83">
              <w:t xml:space="preserve">Article 13.2.4 concernant la date de fin des prestations en fin de </w:t>
            </w:r>
            <w:r w:rsidR="00742ACF" w:rsidRPr="00A74C83">
              <w:t xml:space="preserve">validité du </w:t>
            </w:r>
            <w:r w:rsidRPr="00A74C83">
              <w:t>marché</w:t>
            </w:r>
          </w:p>
        </w:tc>
      </w:tr>
      <w:tr w:rsidR="00DB19F5" w:rsidRPr="00A74C83" w14:paraId="2E95B624" w14:textId="77777777" w:rsidTr="000A7BDC">
        <w:trPr>
          <w:trHeight w:val="216"/>
        </w:trPr>
        <w:tc>
          <w:tcPr>
            <w:tcW w:w="9067" w:type="dxa"/>
            <w:shd w:val="clear" w:color="auto" w:fill="auto"/>
          </w:tcPr>
          <w:p w14:paraId="78C81334" w14:textId="77777777" w:rsidR="00DB19F5" w:rsidRPr="00A74C83" w:rsidRDefault="00DB19F5" w:rsidP="00DB19F5">
            <w:pPr>
              <w:spacing w:after="0"/>
            </w:pPr>
            <w:r w:rsidRPr="00A74C83">
              <w:t>Article 13.3 concernant la prolongation des délais d’exécution</w:t>
            </w:r>
          </w:p>
        </w:tc>
      </w:tr>
      <w:tr w:rsidR="00DB19F5" w:rsidRPr="00A74C83" w14:paraId="089E4FB0" w14:textId="77777777" w:rsidTr="000A7BDC">
        <w:trPr>
          <w:trHeight w:val="216"/>
        </w:trPr>
        <w:tc>
          <w:tcPr>
            <w:tcW w:w="9067" w:type="dxa"/>
            <w:shd w:val="clear" w:color="auto" w:fill="auto"/>
          </w:tcPr>
          <w:p w14:paraId="40794D7B" w14:textId="77777777" w:rsidR="00DB19F5" w:rsidRPr="00A74C83" w:rsidRDefault="00DB19F5" w:rsidP="00DB19F5">
            <w:pPr>
              <w:spacing w:after="0"/>
            </w:pPr>
            <w:r w:rsidRPr="00A74C83">
              <w:t>Article 14 concernant les pénalités ;</w:t>
            </w:r>
          </w:p>
        </w:tc>
      </w:tr>
      <w:tr w:rsidR="00DB19F5" w:rsidRPr="00A74C83" w14:paraId="5B6C1A6B" w14:textId="77777777" w:rsidTr="000A7BDC">
        <w:trPr>
          <w:trHeight w:val="216"/>
        </w:trPr>
        <w:tc>
          <w:tcPr>
            <w:tcW w:w="9067" w:type="dxa"/>
            <w:shd w:val="clear" w:color="auto" w:fill="auto"/>
          </w:tcPr>
          <w:p w14:paraId="3C63CAE9" w14:textId="1A06E57E" w:rsidR="00DB19F5" w:rsidRPr="00A74C83" w:rsidRDefault="00DB19F5" w:rsidP="00DB19F5">
            <w:pPr>
              <w:spacing w:after="0"/>
            </w:pPr>
            <w:r w:rsidRPr="00A74C83">
              <w:t>Article</w:t>
            </w:r>
            <w:r w:rsidR="00742ACF" w:rsidRPr="00A74C83">
              <w:t>s</w:t>
            </w:r>
            <w:r w:rsidRPr="00A74C83">
              <w:t xml:space="preserve"> 16 et 20 concernant le caractère obligatoire des pénalités</w:t>
            </w:r>
          </w:p>
        </w:tc>
      </w:tr>
      <w:tr w:rsidR="00DB19F5" w:rsidRPr="00A74C83" w14:paraId="5F06B17C" w14:textId="77777777" w:rsidTr="000A7BDC">
        <w:trPr>
          <w:trHeight w:val="216"/>
        </w:trPr>
        <w:tc>
          <w:tcPr>
            <w:tcW w:w="9067" w:type="dxa"/>
            <w:shd w:val="clear" w:color="auto" w:fill="auto"/>
          </w:tcPr>
          <w:p w14:paraId="08B691DE" w14:textId="1AD04149" w:rsidR="00DB19F5" w:rsidRPr="00A74C83" w:rsidRDefault="00DB19F5" w:rsidP="00DB19F5">
            <w:pPr>
              <w:spacing w:after="0"/>
            </w:pPr>
            <w:r w:rsidRPr="00A74C83">
              <w:t>Article 30 concernant la présence obligatoire du titulaire lors des vérifications</w:t>
            </w:r>
          </w:p>
        </w:tc>
      </w:tr>
      <w:tr w:rsidR="00DB19F5" w:rsidRPr="00A74C83" w14:paraId="403712F5" w14:textId="77777777" w:rsidTr="000A7BDC">
        <w:trPr>
          <w:trHeight w:val="216"/>
        </w:trPr>
        <w:tc>
          <w:tcPr>
            <w:tcW w:w="9067" w:type="dxa"/>
            <w:shd w:val="clear" w:color="auto" w:fill="auto"/>
          </w:tcPr>
          <w:p w14:paraId="1ED3D8F6" w14:textId="252EB6C5" w:rsidR="00DB19F5" w:rsidRPr="00A74C83" w:rsidRDefault="00DB19F5" w:rsidP="00DB19F5">
            <w:pPr>
              <w:spacing w:after="0"/>
            </w:pPr>
            <w:r w:rsidRPr="00A74C83">
              <w:t>Article 3</w:t>
            </w:r>
            <w:r w:rsidR="00225CC8" w:rsidRPr="00A74C83">
              <w:t>0</w:t>
            </w:r>
            <w:r w:rsidRPr="00A74C83">
              <w:t xml:space="preserve"> concernant le délai de remise des prestations mises au point</w:t>
            </w:r>
          </w:p>
        </w:tc>
      </w:tr>
      <w:tr w:rsidR="00DB19F5" w:rsidRPr="00A74C83" w14:paraId="488BBA44" w14:textId="77777777" w:rsidTr="000A7BDC">
        <w:trPr>
          <w:trHeight w:val="216"/>
        </w:trPr>
        <w:tc>
          <w:tcPr>
            <w:tcW w:w="9067" w:type="dxa"/>
            <w:shd w:val="clear" w:color="auto" w:fill="auto"/>
          </w:tcPr>
          <w:p w14:paraId="438B0D58" w14:textId="4A54E653" w:rsidR="00DB19F5" w:rsidRPr="00A74C83" w:rsidRDefault="00DB19F5" w:rsidP="00DB19F5">
            <w:pPr>
              <w:spacing w:after="0"/>
            </w:pPr>
            <w:r w:rsidRPr="00A74C83">
              <w:t xml:space="preserve">Article </w:t>
            </w:r>
            <w:r w:rsidR="00225CC8" w:rsidRPr="00A74C83">
              <w:t>41</w:t>
            </w:r>
            <w:r w:rsidRPr="00A74C83">
              <w:t xml:space="preserve"> concernant la résiliation pour faute du titulaire</w:t>
            </w:r>
          </w:p>
        </w:tc>
      </w:tr>
      <w:tr w:rsidR="00DB19F5" w:rsidRPr="00A74C83" w14:paraId="4B8FBAA1" w14:textId="77777777" w:rsidTr="000A7BDC">
        <w:trPr>
          <w:trHeight w:val="216"/>
        </w:trPr>
        <w:tc>
          <w:tcPr>
            <w:tcW w:w="9067" w:type="dxa"/>
            <w:shd w:val="clear" w:color="auto" w:fill="auto"/>
          </w:tcPr>
          <w:p w14:paraId="3DBB0A87" w14:textId="3E0C6ACD" w:rsidR="00DB19F5" w:rsidRPr="00A74C83" w:rsidRDefault="00DB19F5" w:rsidP="00DB19F5">
            <w:pPr>
              <w:spacing w:after="0"/>
            </w:pPr>
            <w:r w:rsidRPr="00A74C83">
              <w:t xml:space="preserve">Article </w:t>
            </w:r>
            <w:r w:rsidR="00225CC8" w:rsidRPr="00A74C83">
              <w:t>45.3</w:t>
            </w:r>
            <w:r w:rsidRPr="00A74C83">
              <w:t xml:space="preserve"> concernant la transmission du marché de substitution au titulaire défaillant</w:t>
            </w:r>
          </w:p>
        </w:tc>
      </w:tr>
      <w:tr w:rsidR="00DB19F5" w:rsidRPr="00A74C83" w14:paraId="2A0EACDB" w14:textId="77777777" w:rsidTr="000A7BDC">
        <w:trPr>
          <w:trHeight w:val="216"/>
        </w:trPr>
        <w:tc>
          <w:tcPr>
            <w:tcW w:w="9067" w:type="dxa"/>
            <w:shd w:val="clear" w:color="auto" w:fill="auto"/>
          </w:tcPr>
          <w:p w14:paraId="63F7874E" w14:textId="1EAA37BC" w:rsidR="00DB19F5" w:rsidRPr="00A74C83" w:rsidRDefault="00DB19F5" w:rsidP="00DB19F5">
            <w:pPr>
              <w:spacing w:after="0"/>
            </w:pPr>
            <w:r w:rsidRPr="00A74C83">
              <w:t xml:space="preserve">Article </w:t>
            </w:r>
            <w:r w:rsidR="00225CC8" w:rsidRPr="00A74C83">
              <w:t>46</w:t>
            </w:r>
            <w:r w:rsidRPr="00A74C83">
              <w:t xml:space="preserve"> concernant le recours à un comité consultatif de règlement à l’amiable</w:t>
            </w:r>
          </w:p>
        </w:tc>
      </w:tr>
    </w:tbl>
    <w:p w14:paraId="100A0828" w14:textId="77777777" w:rsidR="00DB19F5" w:rsidRPr="00A74C83" w:rsidRDefault="00DB19F5" w:rsidP="00DB19F5">
      <w:pPr>
        <w:sectPr w:rsidR="00DB19F5" w:rsidRPr="00A74C83" w:rsidSect="00300C42">
          <w:footerReference w:type="first" r:id="rId25"/>
          <w:pgSz w:w="11906" w:h="16838"/>
          <w:pgMar w:top="1466" w:right="1412" w:bottom="715" w:left="1310" w:header="720" w:footer="720" w:gutter="0"/>
          <w:cols w:space="720"/>
          <w:docGrid w:linePitch="360"/>
        </w:sectPr>
      </w:pPr>
    </w:p>
    <w:p w14:paraId="6BE79BA7" w14:textId="77777777" w:rsidR="00DB19F5" w:rsidRPr="00A74C83" w:rsidRDefault="00DB19F5" w:rsidP="000A7BDC">
      <w:pPr>
        <w:pStyle w:val="Article"/>
        <w:tabs>
          <w:tab w:val="clear" w:pos="9184"/>
          <w:tab w:val="right" w:pos="9072"/>
        </w:tabs>
      </w:pPr>
      <w:bookmarkStart w:id="111" w:name="_Toc193296252"/>
      <w:r w:rsidRPr="00A74C83">
        <w:lastRenderedPageBreak/>
        <w:t>Annexe 1 : Documents relatifs à la clause sociale – Action de formation sous statut scolaire au bénéfice de jeunes en situation de décrochage scolaire</w:t>
      </w:r>
      <w:bookmarkEnd w:id="111"/>
      <w:r w:rsidRPr="00A74C83">
        <w:tab/>
        <w:t xml:space="preserve"> </w:t>
      </w:r>
    </w:p>
    <w:p w14:paraId="2F4B4D8E" w14:textId="77777777" w:rsidR="00DB19F5" w:rsidRPr="00A74C83" w:rsidRDefault="00DB19F5" w:rsidP="000A7BDC">
      <w:pPr>
        <w:pStyle w:val="Sousarticle"/>
        <w:tabs>
          <w:tab w:val="clear" w:pos="9184"/>
          <w:tab w:val="right" w:pos="9072"/>
        </w:tabs>
      </w:pPr>
      <w:bookmarkStart w:id="112" w:name="_Toc193296253"/>
      <w:r w:rsidRPr="00A74C83">
        <w:t>Annexe 1.1 : Fiche entreprise relative à la clause sociale de lutte contre le décrochage scolaire (cadre de réponse)</w:t>
      </w:r>
      <w:bookmarkEnd w:id="112"/>
      <w:r w:rsidRPr="00A74C83">
        <w:tab/>
      </w:r>
    </w:p>
    <w:p w14:paraId="76EB0C09" w14:textId="77777777" w:rsidR="00DB19F5" w:rsidRPr="00A74C83" w:rsidRDefault="00DB19F5" w:rsidP="00DB19F5">
      <w:r w:rsidRPr="00A74C83">
        <w:t xml:space="preserve">L’annexe 1.1 est située dans le dossier de consultation aux entreprises, elle est nommée : </w:t>
      </w:r>
    </w:p>
    <w:p w14:paraId="3239B21A" w14:textId="5BDDAB4D" w:rsidR="00DB19F5" w:rsidRPr="00A74C83" w:rsidRDefault="5144D460" w:rsidP="00DB19F5">
      <w:proofErr w:type="spellStart"/>
      <w:r w:rsidRPr="00A74C83">
        <w:t>CCAP_Annexe</w:t>
      </w:r>
      <w:proofErr w:type="spellEnd"/>
      <w:r w:rsidRPr="00A74C83">
        <w:t xml:space="preserve"> 1-Fiche </w:t>
      </w:r>
      <w:proofErr w:type="spellStart"/>
      <w:r w:rsidRPr="00A74C83">
        <w:t>entreprise_Clause-sociale_Cadre</w:t>
      </w:r>
      <w:proofErr w:type="spellEnd"/>
      <w:r w:rsidRPr="00A74C83">
        <w:t xml:space="preserve"> de réponse</w:t>
      </w:r>
    </w:p>
    <w:p w14:paraId="6A725A99" w14:textId="77777777" w:rsidR="00DB19F5" w:rsidRPr="00A74C83" w:rsidRDefault="00DB19F5" w:rsidP="00DB19F5">
      <w:pPr>
        <w:pStyle w:val="Sousarticle"/>
      </w:pPr>
      <w:bookmarkStart w:id="113" w:name="_Toc193296254"/>
      <w:r w:rsidRPr="00A74C83">
        <w:t>Annexe 1.2 : Exemples de fiches entreprises complétées</w:t>
      </w:r>
      <w:bookmarkEnd w:id="113"/>
      <w:r w:rsidRPr="00A74C83">
        <w:tab/>
      </w:r>
    </w:p>
    <w:p w14:paraId="400A808A" w14:textId="614500F2" w:rsidR="00DB19F5" w:rsidRPr="00A74C83" w:rsidRDefault="5144D460" w:rsidP="00DB19F5">
      <w:r w:rsidRPr="00A74C83">
        <w:t xml:space="preserve">A toutes fins utiles, vous trouverez en annexe une aide avec des fiches entreprises déjà complétées, CCAP _Annexe 1.2-Exemples de fiche </w:t>
      </w:r>
      <w:proofErr w:type="spellStart"/>
      <w:r w:rsidRPr="00A74C83">
        <w:t>entreprise_Clause</w:t>
      </w:r>
      <w:proofErr w:type="spellEnd"/>
      <w:r w:rsidRPr="00A74C83">
        <w:t>-sociale</w:t>
      </w:r>
    </w:p>
    <w:p w14:paraId="6DF2099E" w14:textId="77777777" w:rsidR="00DB19F5" w:rsidRPr="00A74C83" w:rsidRDefault="00DB19F5" w:rsidP="00DB19F5">
      <w:pPr>
        <w:pStyle w:val="Sousarticle"/>
      </w:pPr>
      <w:bookmarkStart w:id="114" w:name="_Toc193296255"/>
      <w:r w:rsidRPr="00A74C83">
        <w:t>Annexe 1.3 : Bilan croisé</w:t>
      </w:r>
      <w:bookmarkEnd w:id="114"/>
      <w:r w:rsidRPr="00A74C83">
        <w:tab/>
      </w:r>
    </w:p>
    <w:p w14:paraId="7967EA48" w14:textId="239E1376" w:rsidR="00DB19F5" w:rsidRPr="00A74C83" w:rsidRDefault="00DB19F5" w:rsidP="00DB19F5">
      <w:r w:rsidRPr="00A74C83">
        <w:t>A la fin d’issue de la période le tuteur pédagogique et le référent « entreprise » réalisent un bilan croisé faisant état du résultat de la clause sociale et attestant de la bonne exécution de la clause sociale par le titulaire. Le cadre à remplir est situé en annexe.</w:t>
      </w:r>
      <w:bookmarkEnd w:id="1"/>
      <w:r w:rsidR="002F3821" w:rsidRPr="00A74C83">
        <w:t xml:space="preserve"> Il est nommé : </w:t>
      </w:r>
    </w:p>
    <w:p w14:paraId="025D575C" w14:textId="5BB9AC15" w:rsidR="002F3821" w:rsidRPr="00DB19F5" w:rsidRDefault="5144D460" w:rsidP="00DB19F5">
      <w:proofErr w:type="spellStart"/>
      <w:r w:rsidRPr="00A74C83">
        <w:t>CCAP_Annexe</w:t>
      </w:r>
      <w:proofErr w:type="spellEnd"/>
      <w:r w:rsidRPr="00A74C83">
        <w:t xml:space="preserve"> 1.3-Bilan croisé</w:t>
      </w:r>
    </w:p>
    <w:p w14:paraId="2293BDF9" w14:textId="77777777" w:rsidR="00DB19F5" w:rsidRPr="00DB19F5" w:rsidRDefault="00DB19F5" w:rsidP="00DB19F5"/>
    <w:p w14:paraId="18EBD000" w14:textId="16F1425A" w:rsidR="00500191" w:rsidRDefault="00500191" w:rsidP="00DB19F5"/>
    <w:sectPr w:rsidR="00500191">
      <w:pgSz w:w="11906" w:h="16838"/>
      <w:pgMar w:top="1466" w:right="1412" w:bottom="715" w:left="131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4EB4B6" w14:textId="77777777" w:rsidR="0075276F" w:rsidRDefault="0075276F" w:rsidP="00DB19F5">
      <w:pPr>
        <w:spacing w:after="0" w:line="240" w:lineRule="auto"/>
      </w:pPr>
      <w:r>
        <w:separator/>
      </w:r>
    </w:p>
  </w:endnote>
  <w:endnote w:type="continuationSeparator" w:id="0">
    <w:p w14:paraId="1FEF2F25" w14:textId="77777777" w:rsidR="0075276F" w:rsidRDefault="0075276F" w:rsidP="00DB19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A76032" w14:textId="77777777" w:rsidR="001C7C75" w:rsidRDefault="001C7C75" w:rsidP="00DB19F5">
    <w:r>
      <w:t xml:space="preserve"> </w:t>
    </w:r>
  </w:p>
  <w:p w14:paraId="75221F80" w14:textId="77777777" w:rsidR="001C7C75" w:rsidRDefault="001C7C75" w:rsidP="00DB19F5">
    <w:r>
      <w:t xml:space="preserve">2020_INRAE_SI IMMO_CCAP </w:t>
    </w:r>
    <w:r>
      <w:tab/>
      <w:t xml:space="preserve">Page </w:t>
    </w:r>
    <w:r>
      <w:fldChar w:fldCharType="begin"/>
    </w:r>
    <w:r>
      <w:instrText xml:space="preserve"> PAGE   \* MERGEFORMAT </w:instrText>
    </w:r>
    <w:r>
      <w:fldChar w:fldCharType="separate"/>
    </w:r>
    <w:r>
      <w:t>2</w:t>
    </w:r>
    <w:r>
      <w:fldChar w:fldCharType="end"/>
    </w:r>
    <w:r>
      <w:t xml:space="preserve"> sur </w:t>
    </w:r>
    <w:r w:rsidR="0075276F">
      <w:fldChar w:fldCharType="begin"/>
    </w:r>
    <w:r w:rsidR="0075276F">
      <w:instrText>NUMPAGES \* MERGEFORMAT</w:instrText>
    </w:r>
    <w:r w:rsidR="0075276F">
      <w:fldChar w:fldCharType="separate"/>
    </w:r>
    <w:r>
      <w:rPr>
        <w:noProof/>
      </w:rPr>
      <w:t>30</w:t>
    </w:r>
    <w:r w:rsidR="0075276F">
      <w:rPr>
        <w:noProof/>
      </w:rPr>
      <w:fldChar w:fldCharType="end"/>
    </w:r>
    <w:r>
      <w:t xml:space="preserve"> </w:t>
    </w:r>
  </w:p>
  <w:p w14:paraId="391F5A53" w14:textId="77777777" w:rsidR="001C7C75" w:rsidRDefault="001C7C75" w:rsidP="00DB19F5">
    <w:r>
      <w:t xml:space="preserve"> </w:t>
    </w:r>
  </w:p>
  <w:p w14:paraId="02D9007E" w14:textId="77777777" w:rsidR="001C7C75" w:rsidRDefault="001C7C75" w:rsidP="00DB19F5">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FBEC0" w14:textId="77777777" w:rsidR="001C7C75" w:rsidRDefault="001C7C75" w:rsidP="00DB19F5">
    <w:r>
      <w:rPr>
        <w:noProof/>
      </w:rPr>
      <mc:AlternateContent>
        <mc:Choice Requires="wps">
          <w:drawing>
            <wp:anchor distT="0" distB="0" distL="114300" distR="114300" simplePos="0" relativeHeight="251659264" behindDoc="0" locked="0" layoutInCell="1" allowOverlap="1" wp14:anchorId="41D3D51C" wp14:editId="76A374CD">
              <wp:simplePos x="0" y="0"/>
              <wp:positionH relativeFrom="margin">
                <wp:align>right</wp:align>
              </wp:positionH>
              <wp:positionV relativeFrom="paragraph">
                <wp:posOffset>104140</wp:posOffset>
              </wp:positionV>
              <wp:extent cx="5819775" cy="9525"/>
              <wp:effectExtent l="0" t="0" r="9525" b="9525"/>
              <wp:wrapNone/>
              <wp:docPr id="1" name="Connecteur droit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5819775" cy="9525"/>
                      </a:xfrm>
                      <a:prstGeom prst="line">
                        <a:avLst/>
                      </a:prstGeom>
                      <a:noFill/>
                      <a:ln w="12700" cap="flat" cmpd="sng" algn="ctr">
                        <a:solidFill>
                          <a:srgbClr val="03A3A6"/>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799DC1E1">
            <v:line id="Connecteur droit 9" style="position:absolute;flip:y;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o:spid="_x0000_s1026" strokecolor="#03a3a6" strokeweight="1pt" from="407.05pt,8.2pt" to="865.3pt,8.95pt" w14:anchorId="0E718EF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">
              <v:stroke joinstyle="miter"/>
              <o:lock v:ext="edit" shapetype="f"/>
              <w10:wrap anchorx="margin"/>
            </v:line>
          </w:pict>
        </mc:Fallback>
      </mc:AlternateContent>
    </w:r>
    <w:r>
      <w:t xml:space="preserve"> </w:t>
    </w:r>
    <w:r>
      <w:tab/>
    </w:r>
  </w:p>
  <w:p w14:paraId="49857ABB" w14:textId="77777777" w:rsidR="001C7C75" w:rsidRDefault="001C7C75" w:rsidP="00DB19F5"/>
  <w:p w14:paraId="20C22D81" w14:textId="77777777" w:rsidR="001C7C75" w:rsidRPr="00051F24" w:rsidRDefault="001C7C75" w:rsidP="00DB19F5">
    <w:r w:rsidRPr="00051F24">
      <w:t xml:space="preserve">2022_Mutualisation-stockage_Cahier des clauses administratives particulières (CCAP) </w:t>
    </w:r>
    <w:r w:rsidRPr="00051F24">
      <w:tab/>
      <w:t xml:space="preserve">Page </w:t>
    </w:r>
    <w:r w:rsidRPr="00051F24">
      <w:fldChar w:fldCharType="begin"/>
    </w:r>
    <w:r w:rsidRPr="00051F24">
      <w:instrText xml:space="preserve"> PAGE   \* MERGEFORMAT </w:instrText>
    </w:r>
    <w:r w:rsidRPr="00051F24">
      <w:rPr>
        <w:szCs w:val="22"/>
      </w:rPr>
      <w:fldChar w:fldCharType="separate"/>
    </w:r>
    <w:r>
      <w:rPr>
        <w:noProof/>
      </w:rPr>
      <w:t>5</w:t>
    </w:r>
    <w:r w:rsidRPr="00051F24">
      <w:fldChar w:fldCharType="end"/>
    </w:r>
    <w:r w:rsidRPr="00051F24">
      <w:t xml:space="preserve"> sur </w:t>
    </w:r>
    <w:r w:rsidR="0075276F">
      <w:fldChar w:fldCharType="begin"/>
    </w:r>
    <w:r w:rsidR="0075276F">
      <w:instrText xml:space="preserve"> NUMPAGES   \* MERGEFORMAT </w:instrText>
    </w:r>
    <w:r w:rsidR="0075276F">
      <w:fldChar w:fldCharType="separate"/>
    </w:r>
    <w:r>
      <w:rPr>
        <w:noProof/>
      </w:rPr>
      <w:t>30</w:t>
    </w:r>
    <w:r w:rsidR="0075276F">
      <w:rPr>
        <w:noProof/>
      </w:rPr>
      <w:fldChar w:fldCharType="end"/>
    </w:r>
    <w:r w:rsidRPr="00051F24">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193B91" w14:textId="77777777" w:rsidR="001C7C75" w:rsidRPr="00DB19F5" w:rsidRDefault="001C7C75" w:rsidP="00DB19F5">
    <w:pPr>
      <w:tabs>
        <w:tab w:val="right" w:pos="9184"/>
      </w:tabs>
      <w:spacing w:after="0"/>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ACE59" w14:textId="77777777" w:rsidR="001C7C75" w:rsidRPr="00051F24" w:rsidRDefault="001C7C75" w:rsidP="00DB19F5"/>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45774" w14:textId="77777777" w:rsidR="001C7C75" w:rsidRDefault="001C7C75" w:rsidP="00DB19F5">
    <w:r>
      <w:rPr>
        <w:noProof/>
      </w:rPr>
      <mc:AlternateContent>
        <mc:Choice Requires="wps">
          <w:drawing>
            <wp:anchor distT="0" distB="0" distL="114300" distR="114300" simplePos="0" relativeHeight="251664384" behindDoc="0" locked="0" layoutInCell="1" allowOverlap="1" wp14:anchorId="702A4D58" wp14:editId="21E62C8C">
              <wp:simplePos x="0" y="0"/>
              <wp:positionH relativeFrom="margin">
                <wp:align>right</wp:align>
              </wp:positionH>
              <wp:positionV relativeFrom="paragraph">
                <wp:posOffset>104140</wp:posOffset>
              </wp:positionV>
              <wp:extent cx="5819775" cy="9525"/>
              <wp:effectExtent l="0" t="0" r="9525" b="9525"/>
              <wp:wrapNone/>
              <wp:docPr id="4" name="Connecteur droit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5819775" cy="9525"/>
                      </a:xfrm>
                      <a:prstGeom prst="line">
                        <a:avLst/>
                      </a:prstGeom>
                      <a:noFill/>
                      <a:ln w="12700" cap="flat" cmpd="sng" algn="ctr">
                        <a:solidFill>
                          <a:srgbClr val="03A3A6"/>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08919ADD">
            <v:line id="Connecteur droit 9" style="position:absolute;flip:y;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o:spid="_x0000_s1026" strokecolor="#03a3a6" strokeweight="1pt" from="407.05pt,8.2pt" to="865.3pt,8.95pt" w14:anchorId="4630E2D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">
              <v:stroke joinstyle="miter"/>
              <o:lock v:ext="edit" shapetype="f"/>
              <w10:wrap anchorx="margin"/>
            </v:line>
          </w:pict>
        </mc:Fallback>
      </mc:AlternateContent>
    </w:r>
  </w:p>
  <w:p w14:paraId="260BE033" w14:textId="082D29B1" w:rsidR="001C7C75" w:rsidRPr="00DB19F5" w:rsidRDefault="001C7C75" w:rsidP="00DB19F5">
    <w:pPr>
      <w:tabs>
        <w:tab w:val="right" w:pos="9184"/>
      </w:tabs>
      <w:spacing w:after="0"/>
      <w:rPr>
        <w:sz w:val="16"/>
        <w:szCs w:val="16"/>
      </w:rPr>
    </w:pPr>
    <w:r w:rsidRPr="00DB19F5">
      <w:rPr>
        <w:sz w:val="16"/>
        <w:szCs w:val="16"/>
      </w:rPr>
      <w:t>202</w:t>
    </w:r>
    <w:r>
      <w:rPr>
        <w:sz w:val="16"/>
        <w:szCs w:val="16"/>
      </w:rPr>
      <w:t>5</w:t>
    </w:r>
    <w:r w:rsidRPr="00DB19F5">
      <w:rPr>
        <w:sz w:val="16"/>
        <w:szCs w:val="16"/>
      </w:rPr>
      <w:t>_</w:t>
    </w:r>
    <w:r>
      <w:rPr>
        <w:sz w:val="16"/>
        <w:szCs w:val="16"/>
      </w:rPr>
      <w:t>INRAE_MAPA_FORMATION-DRONES</w:t>
    </w:r>
    <w:r w:rsidRPr="00DB19F5">
      <w:rPr>
        <w:sz w:val="16"/>
        <w:szCs w:val="16"/>
      </w:rPr>
      <w:t xml:space="preserve">_Cahier des clauses administratives particulières (CCAP) </w:t>
    </w:r>
    <w:r w:rsidRPr="00DB19F5">
      <w:rPr>
        <w:sz w:val="16"/>
        <w:szCs w:val="16"/>
      </w:rPr>
      <w:tab/>
      <w:t xml:space="preserve">Page </w:t>
    </w:r>
    <w:r w:rsidRPr="00DB19F5">
      <w:rPr>
        <w:sz w:val="16"/>
        <w:szCs w:val="16"/>
      </w:rPr>
      <w:fldChar w:fldCharType="begin"/>
    </w:r>
    <w:r w:rsidRPr="00DB19F5">
      <w:rPr>
        <w:sz w:val="16"/>
        <w:szCs w:val="16"/>
      </w:rPr>
      <w:instrText xml:space="preserve"> PAGE   \* MERGEFORMAT </w:instrText>
    </w:r>
    <w:r w:rsidRPr="00DB19F5">
      <w:rPr>
        <w:sz w:val="16"/>
        <w:szCs w:val="16"/>
      </w:rPr>
      <w:fldChar w:fldCharType="separate"/>
    </w:r>
    <w:r w:rsidRPr="00DB19F5">
      <w:rPr>
        <w:sz w:val="16"/>
        <w:szCs w:val="16"/>
      </w:rPr>
      <w:t>19</w:t>
    </w:r>
    <w:r w:rsidRPr="00DB19F5">
      <w:rPr>
        <w:sz w:val="16"/>
        <w:szCs w:val="16"/>
      </w:rPr>
      <w:fldChar w:fldCharType="end"/>
    </w:r>
    <w:r w:rsidRPr="00DB19F5">
      <w:rPr>
        <w:sz w:val="16"/>
        <w:szCs w:val="16"/>
      </w:rPr>
      <w:t xml:space="preserve"> sur </w:t>
    </w:r>
    <w:r>
      <w:rPr>
        <w:sz w:val="16"/>
        <w:szCs w:val="16"/>
      </w:rPr>
      <w:t>18</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FAB43" w14:textId="77777777" w:rsidR="001C7C75" w:rsidRDefault="001C7C75" w:rsidP="00DB19F5">
    <w:r>
      <w:rPr>
        <w:noProof/>
      </w:rPr>
      <mc:AlternateContent>
        <mc:Choice Requires="wps">
          <w:drawing>
            <wp:anchor distT="0" distB="0" distL="114300" distR="114300" simplePos="0" relativeHeight="251660288" behindDoc="0" locked="0" layoutInCell="1" allowOverlap="1" wp14:anchorId="77C4D04F" wp14:editId="54786002">
              <wp:simplePos x="0" y="0"/>
              <wp:positionH relativeFrom="margin">
                <wp:align>right</wp:align>
              </wp:positionH>
              <wp:positionV relativeFrom="paragraph">
                <wp:posOffset>104140</wp:posOffset>
              </wp:positionV>
              <wp:extent cx="5819775" cy="9525"/>
              <wp:effectExtent l="0" t="0" r="9525" b="9525"/>
              <wp:wrapNone/>
              <wp:docPr id="17" name="Connecteur droit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5819775" cy="9525"/>
                      </a:xfrm>
                      <a:prstGeom prst="line">
                        <a:avLst/>
                      </a:prstGeom>
                      <a:noFill/>
                      <a:ln w="12700" cap="flat" cmpd="sng" algn="ctr">
                        <a:solidFill>
                          <a:srgbClr val="03A3A6"/>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007AD599">
            <v:line id="Connecteur droit 9" style="position:absolute;flip:y;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o:spid="_x0000_s1026" strokecolor="#03a3a6" strokeweight="1pt" from="407.05pt,8.2pt" to="865.3pt,8.95pt" w14:anchorId="079954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">
              <v:stroke joinstyle="miter"/>
              <o:lock v:ext="edit" shapetype="f"/>
              <w10:wrap anchorx="margin"/>
            </v:line>
          </w:pict>
        </mc:Fallback>
      </mc:AlternateContent>
    </w:r>
  </w:p>
  <w:p w14:paraId="7EA9D5B2" w14:textId="70CC0929" w:rsidR="001C7C75" w:rsidRPr="00DB19F5" w:rsidRDefault="001C7C75" w:rsidP="00DB19F5">
    <w:pPr>
      <w:tabs>
        <w:tab w:val="right" w:pos="9184"/>
      </w:tabs>
      <w:spacing w:after="0"/>
      <w:rPr>
        <w:sz w:val="16"/>
        <w:szCs w:val="16"/>
      </w:rPr>
    </w:pPr>
    <w:r w:rsidRPr="00DB19F5">
      <w:rPr>
        <w:sz w:val="16"/>
        <w:szCs w:val="16"/>
      </w:rPr>
      <w:t>202</w:t>
    </w:r>
    <w:r>
      <w:rPr>
        <w:sz w:val="16"/>
        <w:szCs w:val="16"/>
      </w:rPr>
      <w:t>5</w:t>
    </w:r>
    <w:r w:rsidRPr="00DB19F5">
      <w:rPr>
        <w:sz w:val="16"/>
        <w:szCs w:val="16"/>
      </w:rPr>
      <w:t>_</w:t>
    </w:r>
    <w:r>
      <w:rPr>
        <w:sz w:val="16"/>
        <w:szCs w:val="16"/>
      </w:rPr>
      <w:t>INRAE_MAPA_FORMATION-DRONES</w:t>
    </w:r>
    <w:r w:rsidRPr="00DB19F5">
      <w:rPr>
        <w:sz w:val="16"/>
        <w:szCs w:val="16"/>
      </w:rPr>
      <w:t xml:space="preserve">_Cahier des clauses administratives particulières (CCAP) </w:t>
    </w:r>
    <w:r w:rsidRPr="00DB19F5">
      <w:rPr>
        <w:sz w:val="16"/>
        <w:szCs w:val="16"/>
      </w:rPr>
      <w:tab/>
      <w:t xml:space="preserve">Page </w:t>
    </w:r>
    <w:r w:rsidRPr="00DB19F5">
      <w:rPr>
        <w:sz w:val="16"/>
        <w:szCs w:val="16"/>
      </w:rPr>
      <w:fldChar w:fldCharType="begin"/>
    </w:r>
    <w:r w:rsidRPr="00DB19F5">
      <w:rPr>
        <w:sz w:val="16"/>
        <w:szCs w:val="16"/>
      </w:rPr>
      <w:instrText xml:space="preserve"> PAGE   \* MERGEFORMAT </w:instrText>
    </w:r>
    <w:r w:rsidRPr="00DB19F5">
      <w:rPr>
        <w:sz w:val="16"/>
        <w:szCs w:val="16"/>
      </w:rPr>
      <w:fldChar w:fldCharType="separate"/>
    </w:r>
    <w:r w:rsidRPr="00DB19F5">
      <w:rPr>
        <w:noProof/>
        <w:sz w:val="16"/>
        <w:szCs w:val="16"/>
      </w:rPr>
      <w:t>26</w:t>
    </w:r>
    <w:r w:rsidRPr="00DB19F5">
      <w:rPr>
        <w:sz w:val="16"/>
        <w:szCs w:val="16"/>
      </w:rPr>
      <w:fldChar w:fldCharType="end"/>
    </w:r>
    <w:r w:rsidRPr="00DB19F5">
      <w:rPr>
        <w:sz w:val="16"/>
        <w:szCs w:val="16"/>
      </w:rPr>
      <w:t xml:space="preserve"> sur </w:t>
    </w:r>
    <w:r>
      <w:rPr>
        <w:sz w:val="16"/>
        <w:szCs w:val="16"/>
      </w:rPr>
      <w:t>17</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9CCEE" w14:textId="77777777" w:rsidR="001C7C75" w:rsidRDefault="001C7C75" w:rsidP="00DB19F5">
    <w:r>
      <w:rPr>
        <w:noProof/>
      </w:rPr>
      <mc:AlternateContent>
        <mc:Choice Requires="wps">
          <w:drawing>
            <wp:anchor distT="0" distB="0" distL="114300" distR="114300" simplePos="0" relativeHeight="251666432" behindDoc="0" locked="0" layoutInCell="1" allowOverlap="1" wp14:anchorId="448E0C93" wp14:editId="188529EA">
              <wp:simplePos x="0" y="0"/>
              <wp:positionH relativeFrom="margin">
                <wp:align>right</wp:align>
              </wp:positionH>
              <wp:positionV relativeFrom="paragraph">
                <wp:posOffset>104140</wp:posOffset>
              </wp:positionV>
              <wp:extent cx="5819775" cy="9525"/>
              <wp:effectExtent l="0" t="0" r="9525" b="9525"/>
              <wp:wrapNone/>
              <wp:docPr id="5" name="Connecteur droit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5819775" cy="9525"/>
                      </a:xfrm>
                      <a:prstGeom prst="line">
                        <a:avLst/>
                      </a:prstGeom>
                      <a:noFill/>
                      <a:ln w="12700" cap="flat" cmpd="sng" algn="ctr">
                        <a:solidFill>
                          <a:srgbClr val="03A3A6"/>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2FBC9EAC">
            <v:line id="Connecteur droit 9" style="position:absolute;flip:y;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o:spid="_x0000_s1026" strokecolor="#03a3a6" strokeweight="1pt" from="407.05pt,8.2pt" to="865.3pt,8.95pt" w14:anchorId="604F27D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">
              <v:stroke joinstyle="miter"/>
              <o:lock v:ext="edit" shapetype="f"/>
              <w10:wrap anchorx="margin"/>
            </v:line>
          </w:pict>
        </mc:Fallback>
      </mc:AlternateContent>
    </w:r>
  </w:p>
  <w:p w14:paraId="535C7CE4" w14:textId="1CC0CA93" w:rsidR="001C7C75" w:rsidRPr="00DB19F5" w:rsidRDefault="001C7C75" w:rsidP="00300C42">
    <w:pPr>
      <w:tabs>
        <w:tab w:val="right" w:pos="9184"/>
      </w:tabs>
      <w:spacing w:after="0"/>
      <w:rPr>
        <w:sz w:val="16"/>
        <w:szCs w:val="16"/>
      </w:rPr>
    </w:pPr>
    <w:r w:rsidRPr="00DB19F5">
      <w:rPr>
        <w:sz w:val="16"/>
        <w:szCs w:val="16"/>
      </w:rPr>
      <w:t>202</w:t>
    </w:r>
    <w:r>
      <w:rPr>
        <w:sz w:val="16"/>
        <w:szCs w:val="16"/>
      </w:rPr>
      <w:t>5</w:t>
    </w:r>
    <w:r w:rsidRPr="00DB19F5">
      <w:rPr>
        <w:sz w:val="16"/>
        <w:szCs w:val="16"/>
      </w:rPr>
      <w:t>_</w:t>
    </w:r>
    <w:r>
      <w:rPr>
        <w:sz w:val="16"/>
        <w:szCs w:val="16"/>
      </w:rPr>
      <w:t>INRAE_MAPA_FORMATION-DRONES</w:t>
    </w:r>
    <w:r w:rsidRPr="00DB19F5">
      <w:rPr>
        <w:sz w:val="16"/>
        <w:szCs w:val="16"/>
      </w:rPr>
      <w:t xml:space="preserve">_Cahier des clauses administratives particulières (CCAP) </w:t>
    </w:r>
    <w:r w:rsidRPr="00DB19F5">
      <w:rPr>
        <w:sz w:val="16"/>
        <w:szCs w:val="16"/>
      </w:rPr>
      <w:tab/>
    </w:r>
  </w:p>
  <w:p w14:paraId="3877754B" w14:textId="555E0643" w:rsidR="001C7C75" w:rsidRPr="00DB19F5" w:rsidRDefault="001C7C75" w:rsidP="00300C42">
    <w:pPr>
      <w:tabs>
        <w:tab w:val="left" w:pos="9184"/>
      </w:tabs>
      <w:spacing w:after="0"/>
      <w:rPr>
        <w:sz w:val="16"/>
        <w:szCs w:val="16"/>
      </w:rPr>
    </w:pPr>
    <w:r>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E14BB7" w14:textId="77777777" w:rsidR="0075276F" w:rsidRDefault="0075276F" w:rsidP="00DB19F5">
      <w:pPr>
        <w:spacing w:after="0" w:line="240" w:lineRule="auto"/>
      </w:pPr>
      <w:r>
        <w:separator/>
      </w:r>
    </w:p>
  </w:footnote>
  <w:footnote w:type="continuationSeparator" w:id="0">
    <w:p w14:paraId="55C0F63B" w14:textId="77777777" w:rsidR="0075276F" w:rsidRDefault="0075276F" w:rsidP="00DB19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72DF"/>
    <w:multiLevelType w:val="hybridMultilevel"/>
    <w:tmpl w:val="57328AB8"/>
    <w:lvl w:ilvl="0" w:tplc="3B905DDA">
      <w:start w:val="1"/>
      <w:numFmt w:val="decimal"/>
      <w:lvlText w:val="%1)"/>
      <w:lvlJc w:val="left"/>
      <w:pPr>
        <w:ind w:left="1065" w:hanging="705"/>
      </w:pPr>
      <w:rPr>
        <w:rFonts w:hint="default"/>
      </w:rPr>
    </w:lvl>
    <w:lvl w:ilvl="1" w:tplc="C6DEC31C">
      <w:start w:val="1"/>
      <w:numFmt w:val="lowerLetter"/>
      <w:lvlText w:val="%2."/>
      <w:lvlJc w:val="left"/>
      <w:pPr>
        <w:ind w:left="1440" w:hanging="360"/>
      </w:pPr>
    </w:lvl>
    <w:lvl w:ilvl="2" w:tplc="B198A4CA">
      <w:start w:val="1"/>
      <w:numFmt w:val="lowerRoman"/>
      <w:lvlText w:val="%3."/>
      <w:lvlJc w:val="right"/>
      <w:pPr>
        <w:ind w:left="2160" w:hanging="180"/>
      </w:pPr>
    </w:lvl>
    <w:lvl w:ilvl="3" w:tplc="46327722">
      <w:start w:val="1"/>
      <w:numFmt w:val="decimal"/>
      <w:lvlText w:val="%4."/>
      <w:lvlJc w:val="left"/>
      <w:pPr>
        <w:ind w:left="2880" w:hanging="360"/>
      </w:pPr>
    </w:lvl>
    <w:lvl w:ilvl="4" w:tplc="D110D6C2">
      <w:start w:val="1"/>
      <w:numFmt w:val="lowerLetter"/>
      <w:lvlText w:val="%5."/>
      <w:lvlJc w:val="left"/>
      <w:pPr>
        <w:ind w:left="3600" w:hanging="360"/>
      </w:pPr>
    </w:lvl>
    <w:lvl w:ilvl="5" w:tplc="7AB05602">
      <w:start w:val="1"/>
      <w:numFmt w:val="lowerRoman"/>
      <w:lvlText w:val="%6."/>
      <w:lvlJc w:val="right"/>
      <w:pPr>
        <w:ind w:left="4320" w:hanging="180"/>
      </w:pPr>
    </w:lvl>
    <w:lvl w:ilvl="6" w:tplc="22625758">
      <w:start w:val="1"/>
      <w:numFmt w:val="decimal"/>
      <w:lvlText w:val="%7."/>
      <w:lvlJc w:val="left"/>
      <w:pPr>
        <w:ind w:left="5040" w:hanging="360"/>
      </w:pPr>
    </w:lvl>
    <w:lvl w:ilvl="7" w:tplc="5D52698E">
      <w:start w:val="1"/>
      <w:numFmt w:val="lowerLetter"/>
      <w:lvlText w:val="%8."/>
      <w:lvlJc w:val="left"/>
      <w:pPr>
        <w:ind w:left="5760" w:hanging="360"/>
      </w:pPr>
    </w:lvl>
    <w:lvl w:ilvl="8" w:tplc="D868B854">
      <w:start w:val="1"/>
      <w:numFmt w:val="lowerRoman"/>
      <w:lvlText w:val="%9."/>
      <w:lvlJc w:val="right"/>
      <w:pPr>
        <w:ind w:left="6480" w:hanging="180"/>
      </w:pPr>
    </w:lvl>
  </w:abstractNum>
  <w:abstractNum w:abstractNumId="1" w15:restartNumberingAfterBreak="0">
    <w:nsid w:val="01E71FBA"/>
    <w:multiLevelType w:val="hybridMultilevel"/>
    <w:tmpl w:val="C5EC998E"/>
    <w:lvl w:ilvl="0" w:tplc="88A81EAE">
      <w:start w:val="1"/>
      <w:numFmt w:val="bullet"/>
      <w:lvlText w:val="-"/>
      <w:lvlJc w:val="left"/>
      <w:pPr>
        <w:ind w:left="720" w:hanging="360"/>
      </w:pPr>
      <w:rPr>
        <w:rFonts w:ascii="Calibri" w:hAnsi="Calibri" w:hint="default"/>
      </w:rPr>
    </w:lvl>
    <w:lvl w:ilvl="1" w:tplc="489018D8">
      <w:start w:val="1"/>
      <w:numFmt w:val="bullet"/>
      <w:lvlText w:val="o"/>
      <w:lvlJc w:val="left"/>
      <w:pPr>
        <w:ind w:left="1440" w:hanging="360"/>
      </w:pPr>
      <w:rPr>
        <w:rFonts w:ascii="Courier New" w:hAnsi="Courier New" w:cs="Courier New" w:hint="default"/>
      </w:rPr>
    </w:lvl>
    <w:lvl w:ilvl="2" w:tplc="5C688B2A">
      <w:start w:val="1"/>
      <w:numFmt w:val="bullet"/>
      <w:lvlText w:val=""/>
      <w:lvlJc w:val="left"/>
      <w:pPr>
        <w:ind w:left="2160" w:hanging="360"/>
      </w:pPr>
      <w:rPr>
        <w:rFonts w:ascii="Wingdings" w:hAnsi="Wingdings" w:hint="default"/>
      </w:rPr>
    </w:lvl>
    <w:lvl w:ilvl="3" w:tplc="3B92CCC6">
      <w:start w:val="1"/>
      <w:numFmt w:val="bullet"/>
      <w:lvlText w:val=""/>
      <w:lvlJc w:val="left"/>
      <w:pPr>
        <w:ind w:left="2880" w:hanging="360"/>
      </w:pPr>
      <w:rPr>
        <w:rFonts w:ascii="Symbol" w:hAnsi="Symbol" w:hint="default"/>
      </w:rPr>
    </w:lvl>
    <w:lvl w:ilvl="4" w:tplc="50EA7F5C">
      <w:start w:val="1"/>
      <w:numFmt w:val="bullet"/>
      <w:lvlText w:val="o"/>
      <w:lvlJc w:val="left"/>
      <w:pPr>
        <w:ind w:left="3600" w:hanging="360"/>
      </w:pPr>
      <w:rPr>
        <w:rFonts w:ascii="Courier New" w:hAnsi="Courier New" w:cs="Courier New" w:hint="default"/>
      </w:rPr>
    </w:lvl>
    <w:lvl w:ilvl="5" w:tplc="5BE868D2">
      <w:start w:val="1"/>
      <w:numFmt w:val="bullet"/>
      <w:lvlText w:val=""/>
      <w:lvlJc w:val="left"/>
      <w:pPr>
        <w:ind w:left="4320" w:hanging="360"/>
      </w:pPr>
      <w:rPr>
        <w:rFonts w:ascii="Wingdings" w:hAnsi="Wingdings" w:hint="default"/>
      </w:rPr>
    </w:lvl>
    <w:lvl w:ilvl="6" w:tplc="BBD699F2">
      <w:start w:val="1"/>
      <w:numFmt w:val="bullet"/>
      <w:lvlText w:val=""/>
      <w:lvlJc w:val="left"/>
      <w:pPr>
        <w:ind w:left="5040" w:hanging="360"/>
      </w:pPr>
      <w:rPr>
        <w:rFonts w:ascii="Symbol" w:hAnsi="Symbol" w:hint="default"/>
      </w:rPr>
    </w:lvl>
    <w:lvl w:ilvl="7" w:tplc="3FD0927E">
      <w:start w:val="1"/>
      <w:numFmt w:val="bullet"/>
      <w:lvlText w:val="o"/>
      <w:lvlJc w:val="left"/>
      <w:pPr>
        <w:ind w:left="5760" w:hanging="360"/>
      </w:pPr>
      <w:rPr>
        <w:rFonts w:ascii="Courier New" w:hAnsi="Courier New" w:cs="Courier New" w:hint="default"/>
      </w:rPr>
    </w:lvl>
    <w:lvl w:ilvl="8" w:tplc="554CA806">
      <w:start w:val="1"/>
      <w:numFmt w:val="bullet"/>
      <w:lvlText w:val=""/>
      <w:lvlJc w:val="left"/>
      <w:pPr>
        <w:ind w:left="6480" w:hanging="360"/>
      </w:pPr>
      <w:rPr>
        <w:rFonts w:ascii="Wingdings" w:hAnsi="Wingdings" w:hint="default"/>
      </w:rPr>
    </w:lvl>
  </w:abstractNum>
  <w:abstractNum w:abstractNumId="2" w15:restartNumberingAfterBreak="0">
    <w:nsid w:val="036B3E0F"/>
    <w:multiLevelType w:val="hybridMultilevel"/>
    <w:tmpl w:val="01B6DDA8"/>
    <w:lvl w:ilvl="0" w:tplc="000A014C">
      <w:start w:val="1"/>
      <w:numFmt w:val="bullet"/>
      <w:lvlText w:val="-"/>
      <w:lvlJc w:val="left"/>
      <w:pPr>
        <w:ind w:left="720" w:hanging="360"/>
      </w:pPr>
      <w:rPr>
        <w:rFonts w:ascii="Calibri" w:hAnsi="Calibri" w:hint="default"/>
      </w:rPr>
    </w:lvl>
    <w:lvl w:ilvl="1" w:tplc="1E808EF4">
      <w:start w:val="1"/>
      <w:numFmt w:val="bullet"/>
      <w:lvlText w:val="o"/>
      <w:lvlJc w:val="left"/>
      <w:pPr>
        <w:ind w:left="1440" w:hanging="360"/>
      </w:pPr>
      <w:rPr>
        <w:rFonts w:ascii="Courier New" w:hAnsi="Courier New" w:cs="Courier New" w:hint="default"/>
      </w:rPr>
    </w:lvl>
    <w:lvl w:ilvl="2" w:tplc="BD5AC768">
      <w:start w:val="1"/>
      <w:numFmt w:val="bullet"/>
      <w:lvlText w:val=""/>
      <w:lvlJc w:val="left"/>
      <w:pPr>
        <w:ind w:left="2160" w:hanging="360"/>
      </w:pPr>
      <w:rPr>
        <w:rFonts w:ascii="Wingdings" w:hAnsi="Wingdings" w:hint="default"/>
      </w:rPr>
    </w:lvl>
    <w:lvl w:ilvl="3" w:tplc="7E307E6E">
      <w:start w:val="1"/>
      <w:numFmt w:val="bullet"/>
      <w:lvlText w:val=""/>
      <w:lvlJc w:val="left"/>
      <w:pPr>
        <w:ind w:left="2880" w:hanging="360"/>
      </w:pPr>
      <w:rPr>
        <w:rFonts w:ascii="Symbol" w:hAnsi="Symbol" w:hint="default"/>
      </w:rPr>
    </w:lvl>
    <w:lvl w:ilvl="4" w:tplc="AE4E5ABC">
      <w:start w:val="1"/>
      <w:numFmt w:val="bullet"/>
      <w:lvlText w:val="o"/>
      <w:lvlJc w:val="left"/>
      <w:pPr>
        <w:ind w:left="3600" w:hanging="360"/>
      </w:pPr>
      <w:rPr>
        <w:rFonts w:ascii="Courier New" w:hAnsi="Courier New" w:cs="Courier New" w:hint="default"/>
      </w:rPr>
    </w:lvl>
    <w:lvl w:ilvl="5" w:tplc="6AC69A5A">
      <w:start w:val="1"/>
      <w:numFmt w:val="bullet"/>
      <w:lvlText w:val=""/>
      <w:lvlJc w:val="left"/>
      <w:pPr>
        <w:ind w:left="4320" w:hanging="360"/>
      </w:pPr>
      <w:rPr>
        <w:rFonts w:ascii="Wingdings" w:hAnsi="Wingdings" w:hint="default"/>
      </w:rPr>
    </w:lvl>
    <w:lvl w:ilvl="6" w:tplc="F450655C">
      <w:start w:val="1"/>
      <w:numFmt w:val="bullet"/>
      <w:lvlText w:val=""/>
      <w:lvlJc w:val="left"/>
      <w:pPr>
        <w:ind w:left="5040" w:hanging="360"/>
      </w:pPr>
      <w:rPr>
        <w:rFonts w:ascii="Symbol" w:hAnsi="Symbol" w:hint="default"/>
      </w:rPr>
    </w:lvl>
    <w:lvl w:ilvl="7" w:tplc="0F2C55AE">
      <w:start w:val="1"/>
      <w:numFmt w:val="bullet"/>
      <w:lvlText w:val="o"/>
      <w:lvlJc w:val="left"/>
      <w:pPr>
        <w:ind w:left="5760" w:hanging="360"/>
      </w:pPr>
      <w:rPr>
        <w:rFonts w:ascii="Courier New" w:hAnsi="Courier New" w:cs="Courier New" w:hint="default"/>
      </w:rPr>
    </w:lvl>
    <w:lvl w:ilvl="8" w:tplc="879E34B6">
      <w:start w:val="1"/>
      <w:numFmt w:val="bullet"/>
      <w:lvlText w:val=""/>
      <w:lvlJc w:val="left"/>
      <w:pPr>
        <w:ind w:left="6480" w:hanging="360"/>
      </w:pPr>
      <w:rPr>
        <w:rFonts w:ascii="Wingdings" w:hAnsi="Wingdings" w:hint="default"/>
      </w:rPr>
    </w:lvl>
  </w:abstractNum>
  <w:abstractNum w:abstractNumId="3" w15:restartNumberingAfterBreak="0">
    <w:nsid w:val="0CD44FF3"/>
    <w:multiLevelType w:val="hybridMultilevel"/>
    <w:tmpl w:val="B244595A"/>
    <w:lvl w:ilvl="0" w:tplc="1F541EEA">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136C3A"/>
    <w:multiLevelType w:val="hybridMultilevel"/>
    <w:tmpl w:val="5322B918"/>
    <w:lvl w:ilvl="0" w:tplc="6CE2B660">
      <w:start w:val="1"/>
      <w:numFmt w:val="bullet"/>
      <w:lvlText w:val="·"/>
      <w:lvlJc w:val="left"/>
      <w:pPr>
        <w:ind w:left="709" w:hanging="360"/>
      </w:pPr>
      <w:rPr>
        <w:rFonts w:ascii="Symbol" w:eastAsia="Symbol" w:hAnsi="Symbol" w:cs="Symbol" w:hint="default"/>
      </w:rPr>
    </w:lvl>
    <w:lvl w:ilvl="1" w:tplc="2A627094">
      <w:start w:val="1"/>
      <w:numFmt w:val="bullet"/>
      <w:lvlText w:val="o"/>
      <w:lvlJc w:val="left"/>
      <w:pPr>
        <w:ind w:left="1429" w:hanging="360"/>
      </w:pPr>
      <w:rPr>
        <w:rFonts w:ascii="Courier New" w:eastAsia="Courier New" w:hAnsi="Courier New" w:cs="Courier New" w:hint="default"/>
      </w:rPr>
    </w:lvl>
    <w:lvl w:ilvl="2" w:tplc="493CE53C">
      <w:start w:val="1"/>
      <w:numFmt w:val="bullet"/>
      <w:lvlText w:val="§"/>
      <w:lvlJc w:val="left"/>
      <w:pPr>
        <w:ind w:left="2149" w:hanging="360"/>
      </w:pPr>
      <w:rPr>
        <w:rFonts w:ascii="Wingdings" w:eastAsia="Wingdings" w:hAnsi="Wingdings" w:cs="Wingdings" w:hint="default"/>
      </w:rPr>
    </w:lvl>
    <w:lvl w:ilvl="3" w:tplc="C2363A0C">
      <w:start w:val="1"/>
      <w:numFmt w:val="bullet"/>
      <w:lvlText w:val="·"/>
      <w:lvlJc w:val="left"/>
      <w:pPr>
        <w:ind w:left="2869" w:hanging="360"/>
      </w:pPr>
      <w:rPr>
        <w:rFonts w:ascii="Symbol" w:eastAsia="Symbol" w:hAnsi="Symbol" w:cs="Symbol" w:hint="default"/>
      </w:rPr>
    </w:lvl>
    <w:lvl w:ilvl="4" w:tplc="31804454">
      <w:start w:val="1"/>
      <w:numFmt w:val="bullet"/>
      <w:lvlText w:val="o"/>
      <w:lvlJc w:val="left"/>
      <w:pPr>
        <w:ind w:left="3589" w:hanging="360"/>
      </w:pPr>
      <w:rPr>
        <w:rFonts w:ascii="Courier New" w:eastAsia="Courier New" w:hAnsi="Courier New" w:cs="Courier New" w:hint="default"/>
      </w:rPr>
    </w:lvl>
    <w:lvl w:ilvl="5" w:tplc="BD5E57DC">
      <w:start w:val="1"/>
      <w:numFmt w:val="bullet"/>
      <w:lvlText w:val="§"/>
      <w:lvlJc w:val="left"/>
      <w:pPr>
        <w:ind w:left="4309" w:hanging="360"/>
      </w:pPr>
      <w:rPr>
        <w:rFonts w:ascii="Wingdings" w:eastAsia="Wingdings" w:hAnsi="Wingdings" w:cs="Wingdings" w:hint="default"/>
      </w:rPr>
    </w:lvl>
    <w:lvl w:ilvl="6" w:tplc="105E423A">
      <w:start w:val="1"/>
      <w:numFmt w:val="bullet"/>
      <w:lvlText w:val="·"/>
      <w:lvlJc w:val="left"/>
      <w:pPr>
        <w:ind w:left="5029" w:hanging="360"/>
      </w:pPr>
      <w:rPr>
        <w:rFonts w:ascii="Symbol" w:eastAsia="Symbol" w:hAnsi="Symbol" w:cs="Symbol" w:hint="default"/>
      </w:rPr>
    </w:lvl>
    <w:lvl w:ilvl="7" w:tplc="0EC4C050">
      <w:start w:val="1"/>
      <w:numFmt w:val="bullet"/>
      <w:lvlText w:val="o"/>
      <w:lvlJc w:val="left"/>
      <w:pPr>
        <w:ind w:left="5749" w:hanging="360"/>
      </w:pPr>
      <w:rPr>
        <w:rFonts w:ascii="Courier New" w:eastAsia="Courier New" w:hAnsi="Courier New" w:cs="Courier New" w:hint="default"/>
      </w:rPr>
    </w:lvl>
    <w:lvl w:ilvl="8" w:tplc="6E681944">
      <w:start w:val="1"/>
      <w:numFmt w:val="bullet"/>
      <w:lvlText w:val="§"/>
      <w:lvlJc w:val="left"/>
      <w:pPr>
        <w:ind w:left="6469" w:hanging="360"/>
      </w:pPr>
      <w:rPr>
        <w:rFonts w:ascii="Wingdings" w:eastAsia="Wingdings" w:hAnsi="Wingdings" w:cs="Wingdings" w:hint="default"/>
      </w:rPr>
    </w:lvl>
  </w:abstractNum>
  <w:abstractNum w:abstractNumId="5" w15:restartNumberingAfterBreak="0">
    <w:nsid w:val="1FC92426"/>
    <w:multiLevelType w:val="hybridMultilevel"/>
    <w:tmpl w:val="0FEC19BC"/>
    <w:lvl w:ilvl="0" w:tplc="80E0A4D4">
      <w:start w:val="1"/>
      <w:numFmt w:val="bullet"/>
      <w:lvlText w:val="-"/>
      <w:lvlJc w:val="left"/>
      <w:pPr>
        <w:ind w:left="720" w:hanging="360"/>
      </w:pPr>
      <w:rPr>
        <w:rFonts w:ascii="Times New Roman" w:hAnsi="Times New Roman"/>
      </w:rPr>
    </w:lvl>
    <w:lvl w:ilvl="1" w:tplc="029C91BA">
      <w:start w:val="1"/>
      <w:numFmt w:val="bullet"/>
      <w:lvlText w:val="o"/>
      <w:lvlJc w:val="left"/>
      <w:pPr>
        <w:ind w:left="1440" w:hanging="360"/>
      </w:pPr>
      <w:rPr>
        <w:rFonts w:ascii="Courier New" w:hAnsi="Courier New" w:cs="Courier New" w:hint="default"/>
      </w:rPr>
    </w:lvl>
    <w:lvl w:ilvl="2" w:tplc="19F88660">
      <w:start w:val="1"/>
      <w:numFmt w:val="bullet"/>
      <w:lvlText w:val=""/>
      <w:lvlJc w:val="left"/>
      <w:pPr>
        <w:ind w:left="2160" w:hanging="360"/>
      </w:pPr>
      <w:rPr>
        <w:rFonts w:ascii="Wingdings" w:hAnsi="Wingdings" w:hint="default"/>
      </w:rPr>
    </w:lvl>
    <w:lvl w:ilvl="3" w:tplc="9D3CA336">
      <w:start w:val="1"/>
      <w:numFmt w:val="bullet"/>
      <w:lvlText w:val=""/>
      <w:lvlJc w:val="left"/>
      <w:pPr>
        <w:ind w:left="2880" w:hanging="360"/>
      </w:pPr>
      <w:rPr>
        <w:rFonts w:ascii="Symbol" w:hAnsi="Symbol" w:hint="default"/>
      </w:rPr>
    </w:lvl>
    <w:lvl w:ilvl="4" w:tplc="C5B091CC">
      <w:start w:val="1"/>
      <w:numFmt w:val="bullet"/>
      <w:lvlText w:val="o"/>
      <w:lvlJc w:val="left"/>
      <w:pPr>
        <w:ind w:left="3600" w:hanging="360"/>
      </w:pPr>
      <w:rPr>
        <w:rFonts w:ascii="Courier New" w:hAnsi="Courier New" w:cs="Courier New" w:hint="default"/>
      </w:rPr>
    </w:lvl>
    <w:lvl w:ilvl="5" w:tplc="B5341440">
      <w:start w:val="1"/>
      <w:numFmt w:val="bullet"/>
      <w:lvlText w:val=""/>
      <w:lvlJc w:val="left"/>
      <w:pPr>
        <w:ind w:left="4320" w:hanging="360"/>
      </w:pPr>
      <w:rPr>
        <w:rFonts w:ascii="Wingdings" w:hAnsi="Wingdings" w:hint="default"/>
      </w:rPr>
    </w:lvl>
    <w:lvl w:ilvl="6" w:tplc="553AEB2A">
      <w:start w:val="1"/>
      <w:numFmt w:val="bullet"/>
      <w:lvlText w:val=""/>
      <w:lvlJc w:val="left"/>
      <w:pPr>
        <w:ind w:left="5040" w:hanging="360"/>
      </w:pPr>
      <w:rPr>
        <w:rFonts w:ascii="Symbol" w:hAnsi="Symbol" w:hint="default"/>
      </w:rPr>
    </w:lvl>
    <w:lvl w:ilvl="7" w:tplc="707482CC">
      <w:start w:val="1"/>
      <w:numFmt w:val="bullet"/>
      <w:lvlText w:val="o"/>
      <w:lvlJc w:val="left"/>
      <w:pPr>
        <w:ind w:left="5760" w:hanging="360"/>
      </w:pPr>
      <w:rPr>
        <w:rFonts w:ascii="Courier New" w:hAnsi="Courier New" w:cs="Courier New" w:hint="default"/>
      </w:rPr>
    </w:lvl>
    <w:lvl w:ilvl="8" w:tplc="650AA478">
      <w:start w:val="1"/>
      <w:numFmt w:val="bullet"/>
      <w:lvlText w:val=""/>
      <w:lvlJc w:val="left"/>
      <w:pPr>
        <w:ind w:left="6480" w:hanging="360"/>
      </w:pPr>
      <w:rPr>
        <w:rFonts w:ascii="Wingdings" w:hAnsi="Wingdings" w:hint="default"/>
      </w:rPr>
    </w:lvl>
  </w:abstractNum>
  <w:abstractNum w:abstractNumId="6" w15:restartNumberingAfterBreak="0">
    <w:nsid w:val="201755FB"/>
    <w:multiLevelType w:val="hybridMultilevel"/>
    <w:tmpl w:val="79AC1F70"/>
    <w:lvl w:ilvl="0" w:tplc="FF865E7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4AC250A"/>
    <w:multiLevelType w:val="hybridMultilevel"/>
    <w:tmpl w:val="49DC14AC"/>
    <w:lvl w:ilvl="0" w:tplc="040C0001">
      <w:start w:val="1"/>
      <w:numFmt w:val="bullet"/>
      <w:lvlText w:val=""/>
      <w:lvlJc w:val="left"/>
      <w:pPr>
        <w:ind w:left="1430" w:hanging="360"/>
      </w:pPr>
      <w:rPr>
        <w:rFonts w:ascii="Symbol" w:hAnsi="Symbol" w:hint="default"/>
      </w:rPr>
    </w:lvl>
    <w:lvl w:ilvl="1" w:tplc="040C0003" w:tentative="1">
      <w:start w:val="1"/>
      <w:numFmt w:val="bullet"/>
      <w:lvlText w:val="o"/>
      <w:lvlJc w:val="left"/>
      <w:pPr>
        <w:ind w:left="2150" w:hanging="360"/>
      </w:pPr>
      <w:rPr>
        <w:rFonts w:ascii="Courier New" w:hAnsi="Courier New" w:cs="Courier New" w:hint="default"/>
      </w:rPr>
    </w:lvl>
    <w:lvl w:ilvl="2" w:tplc="040C0005" w:tentative="1">
      <w:start w:val="1"/>
      <w:numFmt w:val="bullet"/>
      <w:lvlText w:val=""/>
      <w:lvlJc w:val="left"/>
      <w:pPr>
        <w:ind w:left="2870" w:hanging="360"/>
      </w:pPr>
      <w:rPr>
        <w:rFonts w:ascii="Wingdings" w:hAnsi="Wingdings" w:hint="default"/>
      </w:rPr>
    </w:lvl>
    <w:lvl w:ilvl="3" w:tplc="040C0001" w:tentative="1">
      <w:start w:val="1"/>
      <w:numFmt w:val="bullet"/>
      <w:lvlText w:val=""/>
      <w:lvlJc w:val="left"/>
      <w:pPr>
        <w:ind w:left="3590" w:hanging="360"/>
      </w:pPr>
      <w:rPr>
        <w:rFonts w:ascii="Symbol" w:hAnsi="Symbol" w:hint="default"/>
      </w:rPr>
    </w:lvl>
    <w:lvl w:ilvl="4" w:tplc="040C0003" w:tentative="1">
      <w:start w:val="1"/>
      <w:numFmt w:val="bullet"/>
      <w:lvlText w:val="o"/>
      <w:lvlJc w:val="left"/>
      <w:pPr>
        <w:ind w:left="4310" w:hanging="360"/>
      </w:pPr>
      <w:rPr>
        <w:rFonts w:ascii="Courier New" w:hAnsi="Courier New" w:cs="Courier New" w:hint="default"/>
      </w:rPr>
    </w:lvl>
    <w:lvl w:ilvl="5" w:tplc="040C0005" w:tentative="1">
      <w:start w:val="1"/>
      <w:numFmt w:val="bullet"/>
      <w:lvlText w:val=""/>
      <w:lvlJc w:val="left"/>
      <w:pPr>
        <w:ind w:left="5030" w:hanging="360"/>
      </w:pPr>
      <w:rPr>
        <w:rFonts w:ascii="Wingdings" w:hAnsi="Wingdings" w:hint="default"/>
      </w:rPr>
    </w:lvl>
    <w:lvl w:ilvl="6" w:tplc="040C0001" w:tentative="1">
      <w:start w:val="1"/>
      <w:numFmt w:val="bullet"/>
      <w:lvlText w:val=""/>
      <w:lvlJc w:val="left"/>
      <w:pPr>
        <w:ind w:left="5750" w:hanging="360"/>
      </w:pPr>
      <w:rPr>
        <w:rFonts w:ascii="Symbol" w:hAnsi="Symbol" w:hint="default"/>
      </w:rPr>
    </w:lvl>
    <w:lvl w:ilvl="7" w:tplc="040C0003" w:tentative="1">
      <w:start w:val="1"/>
      <w:numFmt w:val="bullet"/>
      <w:lvlText w:val="o"/>
      <w:lvlJc w:val="left"/>
      <w:pPr>
        <w:ind w:left="6470" w:hanging="360"/>
      </w:pPr>
      <w:rPr>
        <w:rFonts w:ascii="Courier New" w:hAnsi="Courier New" w:cs="Courier New" w:hint="default"/>
      </w:rPr>
    </w:lvl>
    <w:lvl w:ilvl="8" w:tplc="040C0005" w:tentative="1">
      <w:start w:val="1"/>
      <w:numFmt w:val="bullet"/>
      <w:lvlText w:val=""/>
      <w:lvlJc w:val="left"/>
      <w:pPr>
        <w:ind w:left="7190" w:hanging="360"/>
      </w:pPr>
      <w:rPr>
        <w:rFonts w:ascii="Wingdings" w:hAnsi="Wingdings" w:hint="default"/>
      </w:rPr>
    </w:lvl>
  </w:abstractNum>
  <w:abstractNum w:abstractNumId="8" w15:restartNumberingAfterBreak="0">
    <w:nsid w:val="2541756F"/>
    <w:multiLevelType w:val="hybridMultilevel"/>
    <w:tmpl w:val="C36EE898"/>
    <w:lvl w:ilvl="0" w:tplc="92C87DC4">
      <w:start w:val="1"/>
      <w:numFmt w:val="bullet"/>
      <w:lvlText w:val="-"/>
      <w:lvlJc w:val="left"/>
      <w:pPr>
        <w:ind w:left="720" w:hanging="360"/>
      </w:pPr>
      <w:rPr>
        <w:rFonts w:ascii="Symbol" w:eastAsia="Symbol" w:hAnsi="Symbol" w:cs="Symbol" w:hint="default"/>
      </w:rPr>
    </w:lvl>
    <w:lvl w:ilvl="1" w:tplc="469A1976">
      <w:start w:val="1"/>
      <w:numFmt w:val="bullet"/>
      <w:lvlText w:val="o"/>
      <w:lvlJc w:val="left"/>
      <w:pPr>
        <w:ind w:left="1440" w:hanging="360"/>
      </w:pPr>
      <w:rPr>
        <w:rFonts w:ascii="Courier New" w:eastAsia="Courier New" w:hAnsi="Courier New" w:cs="Courier New" w:hint="default"/>
      </w:rPr>
    </w:lvl>
    <w:lvl w:ilvl="2" w:tplc="2E9452EC">
      <w:start w:val="1"/>
      <w:numFmt w:val="bullet"/>
      <w:lvlText w:val=""/>
      <w:lvlJc w:val="left"/>
      <w:pPr>
        <w:ind w:left="2160" w:hanging="360"/>
      </w:pPr>
      <w:rPr>
        <w:rFonts w:ascii="Wingdings" w:eastAsia="Wingdings" w:hAnsi="Wingdings" w:cs="Wingdings" w:hint="default"/>
      </w:rPr>
    </w:lvl>
    <w:lvl w:ilvl="3" w:tplc="9F306028">
      <w:start w:val="1"/>
      <w:numFmt w:val="bullet"/>
      <w:lvlText w:val=""/>
      <w:lvlJc w:val="left"/>
      <w:pPr>
        <w:ind w:left="2880" w:hanging="360"/>
      </w:pPr>
      <w:rPr>
        <w:rFonts w:ascii="Symbol" w:eastAsia="Symbol" w:hAnsi="Symbol" w:cs="Symbol" w:hint="default"/>
      </w:rPr>
    </w:lvl>
    <w:lvl w:ilvl="4" w:tplc="41326C76">
      <w:start w:val="1"/>
      <w:numFmt w:val="bullet"/>
      <w:lvlText w:val="o"/>
      <w:lvlJc w:val="left"/>
      <w:pPr>
        <w:ind w:left="3600" w:hanging="360"/>
      </w:pPr>
      <w:rPr>
        <w:rFonts w:ascii="Courier New" w:eastAsia="Courier New" w:hAnsi="Courier New" w:cs="Courier New" w:hint="default"/>
      </w:rPr>
    </w:lvl>
    <w:lvl w:ilvl="5" w:tplc="5E3EF6C4">
      <w:start w:val="1"/>
      <w:numFmt w:val="bullet"/>
      <w:lvlText w:val=""/>
      <w:lvlJc w:val="left"/>
      <w:pPr>
        <w:ind w:left="4320" w:hanging="360"/>
      </w:pPr>
      <w:rPr>
        <w:rFonts w:ascii="Wingdings" w:eastAsia="Wingdings" w:hAnsi="Wingdings" w:cs="Wingdings" w:hint="default"/>
      </w:rPr>
    </w:lvl>
    <w:lvl w:ilvl="6" w:tplc="62D4C2B0">
      <w:start w:val="1"/>
      <w:numFmt w:val="bullet"/>
      <w:lvlText w:val=""/>
      <w:lvlJc w:val="left"/>
      <w:pPr>
        <w:ind w:left="5040" w:hanging="360"/>
      </w:pPr>
      <w:rPr>
        <w:rFonts w:ascii="Symbol" w:eastAsia="Symbol" w:hAnsi="Symbol" w:cs="Symbol" w:hint="default"/>
      </w:rPr>
    </w:lvl>
    <w:lvl w:ilvl="7" w:tplc="79DEBC92">
      <w:start w:val="1"/>
      <w:numFmt w:val="bullet"/>
      <w:lvlText w:val="o"/>
      <w:lvlJc w:val="left"/>
      <w:pPr>
        <w:ind w:left="5760" w:hanging="360"/>
      </w:pPr>
      <w:rPr>
        <w:rFonts w:ascii="Courier New" w:eastAsia="Courier New" w:hAnsi="Courier New" w:cs="Courier New" w:hint="default"/>
      </w:rPr>
    </w:lvl>
    <w:lvl w:ilvl="8" w:tplc="E3CC9F9E">
      <w:start w:val="1"/>
      <w:numFmt w:val="bullet"/>
      <w:lvlText w:val=""/>
      <w:lvlJc w:val="left"/>
      <w:pPr>
        <w:ind w:left="6480" w:hanging="360"/>
      </w:pPr>
      <w:rPr>
        <w:rFonts w:ascii="Wingdings" w:eastAsia="Wingdings" w:hAnsi="Wingdings" w:cs="Wingdings" w:hint="default"/>
      </w:rPr>
    </w:lvl>
  </w:abstractNum>
  <w:abstractNum w:abstractNumId="9" w15:restartNumberingAfterBreak="0">
    <w:nsid w:val="2BAE60AB"/>
    <w:multiLevelType w:val="hybridMultilevel"/>
    <w:tmpl w:val="634495B2"/>
    <w:lvl w:ilvl="0" w:tplc="1D826E1A">
      <w:start w:val="7"/>
      <w:numFmt w:val="bullet"/>
      <w:lvlText w:val="-"/>
      <w:lvlJc w:val="left"/>
      <w:pPr>
        <w:ind w:left="1065" w:hanging="360"/>
      </w:pPr>
      <w:rPr>
        <w:rFonts w:ascii="Arial" w:eastAsiaTheme="minorHAnsi" w:hAnsi="Arial"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0" w15:restartNumberingAfterBreak="0">
    <w:nsid w:val="371D00F7"/>
    <w:multiLevelType w:val="hybridMultilevel"/>
    <w:tmpl w:val="61BCE1D6"/>
    <w:lvl w:ilvl="0" w:tplc="8BDACA46">
      <w:start w:val="1"/>
      <w:numFmt w:val="bullet"/>
      <w:lvlText w:val="-"/>
      <w:lvlJc w:val="left"/>
      <w:pPr>
        <w:ind w:left="1065" w:hanging="705"/>
      </w:pPr>
      <w:rPr>
        <w:rFonts w:ascii="Times New Roman" w:hAnsi="Times New Roman" w:hint="default"/>
      </w:rPr>
    </w:lvl>
    <w:lvl w:ilvl="1" w:tplc="7E60A250">
      <w:start w:val="1"/>
      <w:numFmt w:val="bullet"/>
      <w:lvlText w:val="o"/>
      <w:lvlJc w:val="left"/>
      <w:pPr>
        <w:ind w:left="1440" w:hanging="360"/>
      </w:pPr>
      <w:rPr>
        <w:rFonts w:ascii="Courier New" w:hAnsi="Courier New" w:cs="Courier New" w:hint="default"/>
      </w:rPr>
    </w:lvl>
    <w:lvl w:ilvl="2" w:tplc="89201130">
      <w:start w:val="1"/>
      <w:numFmt w:val="bullet"/>
      <w:lvlText w:val=""/>
      <w:lvlJc w:val="left"/>
      <w:pPr>
        <w:ind w:left="2160" w:hanging="360"/>
      </w:pPr>
      <w:rPr>
        <w:rFonts w:ascii="Wingdings" w:hAnsi="Wingdings" w:hint="default"/>
      </w:rPr>
    </w:lvl>
    <w:lvl w:ilvl="3" w:tplc="C9DC8F3A">
      <w:start w:val="1"/>
      <w:numFmt w:val="bullet"/>
      <w:lvlText w:val=""/>
      <w:lvlJc w:val="left"/>
      <w:pPr>
        <w:ind w:left="2880" w:hanging="360"/>
      </w:pPr>
      <w:rPr>
        <w:rFonts w:ascii="Symbol" w:hAnsi="Symbol" w:hint="default"/>
      </w:rPr>
    </w:lvl>
    <w:lvl w:ilvl="4" w:tplc="4CE8D670">
      <w:start w:val="1"/>
      <w:numFmt w:val="bullet"/>
      <w:lvlText w:val="o"/>
      <w:lvlJc w:val="left"/>
      <w:pPr>
        <w:ind w:left="3600" w:hanging="360"/>
      </w:pPr>
      <w:rPr>
        <w:rFonts w:ascii="Courier New" w:hAnsi="Courier New" w:cs="Courier New" w:hint="default"/>
      </w:rPr>
    </w:lvl>
    <w:lvl w:ilvl="5" w:tplc="4926A7F4">
      <w:start w:val="1"/>
      <w:numFmt w:val="bullet"/>
      <w:lvlText w:val=""/>
      <w:lvlJc w:val="left"/>
      <w:pPr>
        <w:ind w:left="4320" w:hanging="360"/>
      </w:pPr>
      <w:rPr>
        <w:rFonts w:ascii="Wingdings" w:hAnsi="Wingdings" w:hint="default"/>
      </w:rPr>
    </w:lvl>
    <w:lvl w:ilvl="6" w:tplc="DF429606">
      <w:start w:val="1"/>
      <w:numFmt w:val="bullet"/>
      <w:lvlText w:val=""/>
      <w:lvlJc w:val="left"/>
      <w:pPr>
        <w:ind w:left="5040" w:hanging="360"/>
      </w:pPr>
      <w:rPr>
        <w:rFonts w:ascii="Symbol" w:hAnsi="Symbol" w:hint="default"/>
      </w:rPr>
    </w:lvl>
    <w:lvl w:ilvl="7" w:tplc="E82094CA">
      <w:start w:val="1"/>
      <w:numFmt w:val="bullet"/>
      <w:lvlText w:val="o"/>
      <w:lvlJc w:val="left"/>
      <w:pPr>
        <w:ind w:left="5760" w:hanging="360"/>
      </w:pPr>
      <w:rPr>
        <w:rFonts w:ascii="Courier New" w:hAnsi="Courier New" w:cs="Courier New" w:hint="default"/>
      </w:rPr>
    </w:lvl>
    <w:lvl w:ilvl="8" w:tplc="8138CF5C">
      <w:start w:val="1"/>
      <w:numFmt w:val="bullet"/>
      <w:lvlText w:val=""/>
      <w:lvlJc w:val="left"/>
      <w:pPr>
        <w:ind w:left="6480" w:hanging="360"/>
      </w:pPr>
      <w:rPr>
        <w:rFonts w:ascii="Wingdings" w:hAnsi="Wingdings" w:hint="default"/>
      </w:rPr>
    </w:lvl>
  </w:abstractNum>
  <w:abstractNum w:abstractNumId="11" w15:restartNumberingAfterBreak="0">
    <w:nsid w:val="3E382F86"/>
    <w:multiLevelType w:val="hybridMultilevel"/>
    <w:tmpl w:val="CA083B12"/>
    <w:lvl w:ilvl="0" w:tplc="9D240D7A">
      <w:start w:val="1"/>
      <w:numFmt w:val="bullet"/>
      <w:lvlText w:val=""/>
      <w:lvlJc w:val="left"/>
      <w:pPr>
        <w:ind w:left="720" w:hanging="360"/>
      </w:pPr>
      <w:rPr>
        <w:rFonts w:ascii="Wingdings" w:eastAsia="Wingdings" w:hAnsi="Wingdings" w:cs="Wingdings" w:hint="default"/>
      </w:rPr>
    </w:lvl>
    <w:lvl w:ilvl="1" w:tplc="573E4FF4">
      <w:start w:val="1"/>
      <w:numFmt w:val="bullet"/>
      <w:lvlText w:val="o"/>
      <w:lvlJc w:val="left"/>
      <w:pPr>
        <w:ind w:left="1440" w:hanging="360"/>
      </w:pPr>
      <w:rPr>
        <w:rFonts w:ascii="Courier New" w:eastAsia="Courier New" w:hAnsi="Courier New" w:cs="Courier New" w:hint="default"/>
      </w:rPr>
    </w:lvl>
    <w:lvl w:ilvl="2" w:tplc="B98CAFAC">
      <w:start w:val="1"/>
      <w:numFmt w:val="bullet"/>
      <w:lvlText w:val=""/>
      <w:lvlJc w:val="left"/>
      <w:pPr>
        <w:ind w:left="2160" w:hanging="360"/>
      </w:pPr>
      <w:rPr>
        <w:rFonts w:ascii="Wingdings" w:eastAsia="Wingdings" w:hAnsi="Wingdings" w:cs="Wingdings" w:hint="default"/>
      </w:rPr>
    </w:lvl>
    <w:lvl w:ilvl="3" w:tplc="D2C6A5AA">
      <w:start w:val="1"/>
      <w:numFmt w:val="bullet"/>
      <w:lvlText w:val=""/>
      <w:lvlJc w:val="left"/>
      <w:pPr>
        <w:ind w:left="2880" w:hanging="360"/>
      </w:pPr>
      <w:rPr>
        <w:rFonts w:ascii="Symbol" w:eastAsia="Symbol" w:hAnsi="Symbol" w:cs="Symbol" w:hint="default"/>
      </w:rPr>
    </w:lvl>
    <w:lvl w:ilvl="4" w:tplc="FC4A4EBC">
      <w:start w:val="1"/>
      <w:numFmt w:val="bullet"/>
      <w:lvlText w:val="o"/>
      <w:lvlJc w:val="left"/>
      <w:pPr>
        <w:ind w:left="3600" w:hanging="360"/>
      </w:pPr>
      <w:rPr>
        <w:rFonts w:ascii="Courier New" w:eastAsia="Courier New" w:hAnsi="Courier New" w:cs="Courier New" w:hint="default"/>
      </w:rPr>
    </w:lvl>
    <w:lvl w:ilvl="5" w:tplc="1980C494">
      <w:start w:val="1"/>
      <w:numFmt w:val="bullet"/>
      <w:lvlText w:val=""/>
      <w:lvlJc w:val="left"/>
      <w:pPr>
        <w:ind w:left="4320" w:hanging="360"/>
      </w:pPr>
      <w:rPr>
        <w:rFonts w:ascii="Wingdings" w:eastAsia="Wingdings" w:hAnsi="Wingdings" w:cs="Wingdings" w:hint="default"/>
      </w:rPr>
    </w:lvl>
    <w:lvl w:ilvl="6" w:tplc="D3BA4402">
      <w:start w:val="1"/>
      <w:numFmt w:val="bullet"/>
      <w:lvlText w:val=""/>
      <w:lvlJc w:val="left"/>
      <w:pPr>
        <w:ind w:left="5040" w:hanging="360"/>
      </w:pPr>
      <w:rPr>
        <w:rFonts w:ascii="Symbol" w:eastAsia="Symbol" w:hAnsi="Symbol" w:cs="Symbol" w:hint="default"/>
      </w:rPr>
    </w:lvl>
    <w:lvl w:ilvl="7" w:tplc="82F20912">
      <w:start w:val="1"/>
      <w:numFmt w:val="bullet"/>
      <w:lvlText w:val="o"/>
      <w:lvlJc w:val="left"/>
      <w:pPr>
        <w:ind w:left="5760" w:hanging="360"/>
      </w:pPr>
      <w:rPr>
        <w:rFonts w:ascii="Courier New" w:eastAsia="Courier New" w:hAnsi="Courier New" w:cs="Courier New" w:hint="default"/>
      </w:rPr>
    </w:lvl>
    <w:lvl w:ilvl="8" w:tplc="338E4D16">
      <w:start w:val="1"/>
      <w:numFmt w:val="bullet"/>
      <w:lvlText w:val=""/>
      <w:lvlJc w:val="left"/>
      <w:pPr>
        <w:ind w:left="6480" w:hanging="360"/>
      </w:pPr>
      <w:rPr>
        <w:rFonts w:ascii="Wingdings" w:eastAsia="Wingdings" w:hAnsi="Wingdings" w:cs="Wingdings" w:hint="default"/>
      </w:rPr>
    </w:lvl>
  </w:abstractNum>
  <w:abstractNum w:abstractNumId="12" w15:restartNumberingAfterBreak="0">
    <w:nsid w:val="3FBC5032"/>
    <w:multiLevelType w:val="hybridMultilevel"/>
    <w:tmpl w:val="A510CC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D56C60"/>
    <w:multiLevelType w:val="hybridMultilevel"/>
    <w:tmpl w:val="BD620C88"/>
    <w:lvl w:ilvl="0" w:tplc="0D969B1E">
      <w:start w:val="1"/>
      <w:numFmt w:val="bullet"/>
      <w:lvlText w:val="–"/>
      <w:lvlJc w:val="left"/>
      <w:pPr>
        <w:ind w:left="709" w:hanging="360"/>
      </w:pPr>
      <w:rPr>
        <w:rFonts w:ascii="Arial" w:eastAsia="Arial" w:hAnsi="Arial" w:cs="Arial" w:hint="default"/>
      </w:rPr>
    </w:lvl>
    <w:lvl w:ilvl="1" w:tplc="6400B994">
      <w:start w:val="1"/>
      <w:numFmt w:val="bullet"/>
      <w:lvlText w:val="o"/>
      <w:lvlJc w:val="left"/>
      <w:pPr>
        <w:ind w:left="1429" w:hanging="360"/>
      </w:pPr>
      <w:rPr>
        <w:rFonts w:ascii="Courier New" w:eastAsia="Courier New" w:hAnsi="Courier New" w:cs="Courier New" w:hint="default"/>
      </w:rPr>
    </w:lvl>
    <w:lvl w:ilvl="2" w:tplc="0374C972">
      <w:start w:val="1"/>
      <w:numFmt w:val="bullet"/>
      <w:lvlText w:val="§"/>
      <w:lvlJc w:val="left"/>
      <w:pPr>
        <w:ind w:left="2149" w:hanging="360"/>
      </w:pPr>
      <w:rPr>
        <w:rFonts w:ascii="Wingdings" w:eastAsia="Wingdings" w:hAnsi="Wingdings" w:cs="Wingdings" w:hint="default"/>
      </w:rPr>
    </w:lvl>
    <w:lvl w:ilvl="3" w:tplc="951E15C6">
      <w:start w:val="1"/>
      <w:numFmt w:val="bullet"/>
      <w:lvlText w:val="·"/>
      <w:lvlJc w:val="left"/>
      <w:pPr>
        <w:ind w:left="2869" w:hanging="360"/>
      </w:pPr>
      <w:rPr>
        <w:rFonts w:ascii="Symbol" w:eastAsia="Symbol" w:hAnsi="Symbol" w:cs="Symbol" w:hint="default"/>
      </w:rPr>
    </w:lvl>
    <w:lvl w:ilvl="4" w:tplc="B70E2B72">
      <w:start w:val="1"/>
      <w:numFmt w:val="bullet"/>
      <w:lvlText w:val="o"/>
      <w:lvlJc w:val="left"/>
      <w:pPr>
        <w:ind w:left="3589" w:hanging="360"/>
      </w:pPr>
      <w:rPr>
        <w:rFonts w:ascii="Courier New" w:eastAsia="Courier New" w:hAnsi="Courier New" w:cs="Courier New" w:hint="default"/>
      </w:rPr>
    </w:lvl>
    <w:lvl w:ilvl="5" w:tplc="FF642A02">
      <w:start w:val="1"/>
      <w:numFmt w:val="bullet"/>
      <w:lvlText w:val="§"/>
      <w:lvlJc w:val="left"/>
      <w:pPr>
        <w:ind w:left="4309" w:hanging="360"/>
      </w:pPr>
      <w:rPr>
        <w:rFonts w:ascii="Wingdings" w:eastAsia="Wingdings" w:hAnsi="Wingdings" w:cs="Wingdings" w:hint="default"/>
      </w:rPr>
    </w:lvl>
    <w:lvl w:ilvl="6" w:tplc="061807F0">
      <w:start w:val="1"/>
      <w:numFmt w:val="bullet"/>
      <w:lvlText w:val="·"/>
      <w:lvlJc w:val="left"/>
      <w:pPr>
        <w:ind w:left="5029" w:hanging="360"/>
      </w:pPr>
      <w:rPr>
        <w:rFonts w:ascii="Symbol" w:eastAsia="Symbol" w:hAnsi="Symbol" w:cs="Symbol" w:hint="default"/>
      </w:rPr>
    </w:lvl>
    <w:lvl w:ilvl="7" w:tplc="FD2ABE84">
      <w:start w:val="1"/>
      <w:numFmt w:val="bullet"/>
      <w:lvlText w:val="o"/>
      <w:lvlJc w:val="left"/>
      <w:pPr>
        <w:ind w:left="5749" w:hanging="360"/>
      </w:pPr>
      <w:rPr>
        <w:rFonts w:ascii="Courier New" w:eastAsia="Courier New" w:hAnsi="Courier New" w:cs="Courier New" w:hint="default"/>
      </w:rPr>
    </w:lvl>
    <w:lvl w:ilvl="8" w:tplc="854C5802">
      <w:start w:val="1"/>
      <w:numFmt w:val="bullet"/>
      <w:lvlText w:val="§"/>
      <w:lvlJc w:val="left"/>
      <w:pPr>
        <w:ind w:left="6469" w:hanging="360"/>
      </w:pPr>
      <w:rPr>
        <w:rFonts w:ascii="Wingdings" w:eastAsia="Wingdings" w:hAnsi="Wingdings" w:cs="Wingdings" w:hint="default"/>
      </w:rPr>
    </w:lvl>
  </w:abstractNum>
  <w:abstractNum w:abstractNumId="14" w15:restartNumberingAfterBreak="0">
    <w:nsid w:val="414C51B8"/>
    <w:multiLevelType w:val="hybridMultilevel"/>
    <w:tmpl w:val="67327B7E"/>
    <w:lvl w:ilvl="0" w:tplc="FE023BBC">
      <w:start w:val="1"/>
      <w:numFmt w:val="bullet"/>
      <w:lvlText w:val="–"/>
      <w:lvlJc w:val="left"/>
      <w:pPr>
        <w:ind w:left="709" w:hanging="360"/>
      </w:pPr>
      <w:rPr>
        <w:rFonts w:ascii="Arial" w:eastAsia="Arial" w:hAnsi="Arial" w:cs="Arial" w:hint="default"/>
      </w:rPr>
    </w:lvl>
    <w:lvl w:ilvl="1" w:tplc="0F14D184">
      <w:start w:val="1"/>
      <w:numFmt w:val="bullet"/>
      <w:lvlText w:val="o"/>
      <w:lvlJc w:val="left"/>
      <w:pPr>
        <w:ind w:left="1429" w:hanging="360"/>
      </w:pPr>
      <w:rPr>
        <w:rFonts w:ascii="Courier New" w:eastAsia="Courier New" w:hAnsi="Courier New" w:cs="Courier New" w:hint="default"/>
      </w:rPr>
    </w:lvl>
    <w:lvl w:ilvl="2" w:tplc="6DC82618">
      <w:start w:val="1"/>
      <w:numFmt w:val="bullet"/>
      <w:lvlText w:val="§"/>
      <w:lvlJc w:val="left"/>
      <w:pPr>
        <w:ind w:left="2149" w:hanging="360"/>
      </w:pPr>
      <w:rPr>
        <w:rFonts w:ascii="Wingdings" w:eastAsia="Wingdings" w:hAnsi="Wingdings" w:cs="Wingdings" w:hint="default"/>
      </w:rPr>
    </w:lvl>
    <w:lvl w:ilvl="3" w:tplc="E2B4D172">
      <w:start w:val="1"/>
      <w:numFmt w:val="bullet"/>
      <w:lvlText w:val="·"/>
      <w:lvlJc w:val="left"/>
      <w:pPr>
        <w:ind w:left="2869" w:hanging="360"/>
      </w:pPr>
      <w:rPr>
        <w:rFonts w:ascii="Symbol" w:eastAsia="Symbol" w:hAnsi="Symbol" w:cs="Symbol" w:hint="default"/>
      </w:rPr>
    </w:lvl>
    <w:lvl w:ilvl="4" w:tplc="C0C86D7C">
      <w:start w:val="1"/>
      <w:numFmt w:val="bullet"/>
      <w:lvlText w:val="o"/>
      <w:lvlJc w:val="left"/>
      <w:pPr>
        <w:ind w:left="3589" w:hanging="360"/>
      </w:pPr>
      <w:rPr>
        <w:rFonts w:ascii="Courier New" w:eastAsia="Courier New" w:hAnsi="Courier New" w:cs="Courier New" w:hint="default"/>
      </w:rPr>
    </w:lvl>
    <w:lvl w:ilvl="5" w:tplc="AD286BA4">
      <w:start w:val="1"/>
      <w:numFmt w:val="bullet"/>
      <w:lvlText w:val="§"/>
      <w:lvlJc w:val="left"/>
      <w:pPr>
        <w:ind w:left="4309" w:hanging="360"/>
      </w:pPr>
      <w:rPr>
        <w:rFonts w:ascii="Wingdings" w:eastAsia="Wingdings" w:hAnsi="Wingdings" w:cs="Wingdings" w:hint="default"/>
      </w:rPr>
    </w:lvl>
    <w:lvl w:ilvl="6" w:tplc="E7B833E8">
      <w:start w:val="1"/>
      <w:numFmt w:val="bullet"/>
      <w:lvlText w:val="·"/>
      <w:lvlJc w:val="left"/>
      <w:pPr>
        <w:ind w:left="5029" w:hanging="360"/>
      </w:pPr>
      <w:rPr>
        <w:rFonts w:ascii="Symbol" w:eastAsia="Symbol" w:hAnsi="Symbol" w:cs="Symbol" w:hint="default"/>
      </w:rPr>
    </w:lvl>
    <w:lvl w:ilvl="7" w:tplc="DBC007C4">
      <w:start w:val="1"/>
      <w:numFmt w:val="bullet"/>
      <w:lvlText w:val="o"/>
      <w:lvlJc w:val="left"/>
      <w:pPr>
        <w:ind w:left="5749" w:hanging="360"/>
      </w:pPr>
      <w:rPr>
        <w:rFonts w:ascii="Courier New" w:eastAsia="Courier New" w:hAnsi="Courier New" w:cs="Courier New" w:hint="default"/>
      </w:rPr>
    </w:lvl>
    <w:lvl w:ilvl="8" w:tplc="30CC7F6C">
      <w:start w:val="1"/>
      <w:numFmt w:val="bullet"/>
      <w:lvlText w:val="§"/>
      <w:lvlJc w:val="left"/>
      <w:pPr>
        <w:ind w:left="6469" w:hanging="360"/>
      </w:pPr>
      <w:rPr>
        <w:rFonts w:ascii="Wingdings" w:eastAsia="Wingdings" w:hAnsi="Wingdings" w:cs="Wingdings" w:hint="default"/>
      </w:rPr>
    </w:lvl>
  </w:abstractNum>
  <w:abstractNum w:abstractNumId="15" w15:restartNumberingAfterBreak="0">
    <w:nsid w:val="456B6585"/>
    <w:multiLevelType w:val="hybridMultilevel"/>
    <w:tmpl w:val="E6C21EB2"/>
    <w:lvl w:ilvl="0" w:tplc="FF865E70">
      <w:start w:val="1"/>
      <w:numFmt w:val="bullet"/>
      <w:lvlText w:val="-"/>
      <w:lvlJc w:val="left"/>
      <w:pPr>
        <w:ind w:left="720" w:hanging="360"/>
      </w:pPr>
      <w:rPr>
        <w:rFonts w:ascii="Calibri" w:hAnsi="Calibri" w:hint="default"/>
      </w:rPr>
    </w:lvl>
    <w:lvl w:ilvl="1" w:tplc="6442CAB6">
      <w:start w:val="1"/>
      <w:numFmt w:val="bullet"/>
      <w:lvlText w:val="o"/>
      <w:lvlJc w:val="left"/>
      <w:pPr>
        <w:ind w:left="1440" w:hanging="360"/>
      </w:pPr>
      <w:rPr>
        <w:rFonts w:ascii="Courier New" w:hAnsi="Courier New" w:cs="Courier New" w:hint="default"/>
      </w:rPr>
    </w:lvl>
    <w:lvl w:ilvl="2" w:tplc="5498A3B8">
      <w:start w:val="1"/>
      <w:numFmt w:val="bullet"/>
      <w:lvlText w:val=""/>
      <w:lvlJc w:val="left"/>
      <w:pPr>
        <w:ind w:left="2160" w:hanging="360"/>
      </w:pPr>
      <w:rPr>
        <w:rFonts w:ascii="Wingdings" w:hAnsi="Wingdings" w:hint="default"/>
      </w:rPr>
    </w:lvl>
    <w:lvl w:ilvl="3" w:tplc="6448AE44">
      <w:start w:val="1"/>
      <w:numFmt w:val="bullet"/>
      <w:lvlText w:val=""/>
      <w:lvlJc w:val="left"/>
      <w:pPr>
        <w:ind w:left="2880" w:hanging="360"/>
      </w:pPr>
      <w:rPr>
        <w:rFonts w:ascii="Symbol" w:hAnsi="Symbol" w:hint="default"/>
      </w:rPr>
    </w:lvl>
    <w:lvl w:ilvl="4" w:tplc="F3802600">
      <w:start w:val="1"/>
      <w:numFmt w:val="bullet"/>
      <w:lvlText w:val="o"/>
      <w:lvlJc w:val="left"/>
      <w:pPr>
        <w:ind w:left="3600" w:hanging="360"/>
      </w:pPr>
      <w:rPr>
        <w:rFonts w:ascii="Courier New" w:hAnsi="Courier New" w:cs="Courier New" w:hint="default"/>
      </w:rPr>
    </w:lvl>
    <w:lvl w:ilvl="5" w:tplc="3CD2CA6C">
      <w:start w:val="1"/>
      <w:numFmt w:val="bullet"/>
      <w:lvlText w:val=""/>
      <w:lvlJc w:val="left"/>
      <w:pPr>
        <w:ind w:left="4320" w:hanging="360"/>
      </w:pPr>
      <w:rPr>
        <w:rFonts w:ascii="Wingdings" w:hAnsi="Wingdings" w:hint="default"/>
      </w:rPr>
    </w:lvl>
    <w:lvl w:ilvl="6" w:tplc="1AB01C82">
      <w:start w:val="1"/>
      <w:numFmt w:val="bullet"/>
      <w:lvlText w:val=""/>
      <w:lvlJc w:val="left"/>
      <w:pPr>
        <w:ind w:left="5040" w:hanging="360"/>
      </w:pPr>
      <w:rPr>
        <w:rFonts w:ascii="Symbol" w:hAnsi="Symbol" w:hint="default"/>
      </w:rPr>
    </w:lvl>
    <w:lvl w:ilvl="7" w:tplc="F1249636">
      <w:start w:val="1"/>
      <w:numFmt w:val="bullet"/>
      <w:lvlText w:val="o"/>
      <w:lvlJc w:val="left"/>
      <w:pPr>
        <w:ind w:left="5760" w:hanging="360"/>
      </w:pPr>
      <w:rPr>
        <w:rFonts w:ascii="Courier New" w:hAnsi="Courier New" w:cs="Courier New" w:hint="default"/>
      </w:rPr>
    </w:lvl>
    <w:lvl w:ilvl="8" w:tplc="3FD2EE1A">
      <w:start w:val="1"/>
      <w:numFmt w:val="bullet"/>
      <w:lvlText w:val=""/>
      <w:lvlJc w:val="left"/>
      <w:pPr>
        <w:ind w:left="6480" w:hanging="360"/>
      </w:pPr>
      <w:rPr>
        <w:rFonts w:ascii="Wingdings" w:hAnsi="Wingdings" w:hint="default"/>
      </w:rPr>
    </w:lvl>
  </w:abstractNum>
  <w:abstractNum w:abstractNumId="16" w15:restartNumberingAfterBreak="0">
    <w:nsid w:val="467005C5"/>
    <w:multiLevelType w:val="hybridMultilevel"/>
    <w:tmpl w:val="EE68BCEC"/>
    <w:lvl w:ilvl="0" w:tplc="E2B4D820">
      <w:start w:val="1"/>
      <w:numFmt w:val="bullet"/>
      <w:lvlText w:val="-"/>
      <w:lvlJc w:val="left"/>
      <w:pPr>
        <w:ind w:left="720" w:hanging="360"/>
      </w:pPr>
      <w:rPr>
        <w:rFonts w:ascii="Times New Roman" w:hAnsi="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BC74814"/>
    <w:multiLevelType w:val="hybridMultilevel"/>
    <w:tmpl w:val="DC183D82"/>
    <w:lvl w:ilvl="0" w:tplc="1FC8BC9C">
      <w:start w:val="1"/>
      <w:numFmt w:val="bullet"/>
      <w:lvlText w:val="·"/>
      <w:lvlJc w:val="left"/>
      <w:pPr>
        <w:ind w:left="709" w:hanging="360"/>
      </w:pPr>
      <w:rPr>
        <w:rFonts w:ascii="Symbol" w:eastAsia="Symbol" w:hAnsi="Symbol" w:cs="Symbol" w:hint="default"/>
      </w:rPr>
    </w:lvl>
    <w:lvl w:ilvl="1" w:tplc="48DA3D7E">
      <w:start w:val="1"/>
      <w:numFmt w:val="bullet"/>
      <w:lvlText w:val="o"/>
      <w:lvlJc w:val="left"/>
      <w:pPr>
        <w:ind w:left="1440" w:hanging="360"/>
      </w:pPr>
      <w:rPr>
        <w:rFonts w:ascii="Courier New" w:eastAsia="Courier New" w:hAnsi="Courier New" w:cs="Courier New" w:hint="default"/>
      </w:rPr>
    </w:lvl>
    <w:lvl w:ilvl="2" w:tplc="80D84848">
      <w:start w:val="1"/>
      <w:numFmt w:val="bullet"/>
      <w:lvlText w:val="§"/>
      <w:lvlJc w:val="left"/>
      <w:pPr>
        <w:ind w:left="2160" w:hanging="360"/>
      </w:pPr>
      <w:rPr>
        <w:rFonts w:ascii="Wingdings" w:eastAsia="Wingdings" w:hAnsi="Wingdings" w:cs="Wingdings" w:hint="default"/>
      </w:rPr>
    </w:lvl>
    <w:lvl w:ilvl="3" w:tplc="74F68FA2">
      <w:start w:val="1"/>
      <w:numFmt w:val="bullet"/>
      <w:lvlText w:val="·"/>
      <w:lvlJc w:val="left"/>
      <w:pPr>
        <w:ind w:left="2880" w:hanging="360"/>
      </w:pPr>
      <w:rPr>
        <w:rFonts w:ascii="Symbol" w:eastAsia="Symbol" w:hAnsi="Symbol" w:cs="Symbol" w:hint="default"/>
      </w:rPr>
    </w:lvl>
    <w:lvl w:ilvl="4" w:tplc="E76E0BC2">
      <w:start w:val="1"/>
      <w:numFmt w:val="bullet"/>
      <w:lvlText w:val="o"/>
      <w:lvlJc w:val="left"/>
      <w:pPr>
        <w:ind w:left="3600" w:hanging="360"/>
      </w:pPr>
      <w:rPr>
        <w:rFonts w:ascii="Courier New" w:eastAsia="Courier New" w:hAnsi="Courier New" w:cs="Courier New" w:hint="default"/>
      </w:rPr>
    </w:lvl>
    <w:lvl w:ilvl="5" w:tplc="9278A918">
      <w:start w:val="1"/>
      <w:numFmt w:val="bullet"/>
      <w:lvlText w:val="§"/>
      <w:lvlJc w:val="left"/>
      <w:pPr>
        <w:ind w:left="4320" w:hanging="360"/>
      </w:pPr>
      <w:rPr>
        <w:rFonts w:ascii="Wingdings" w:eastAsia="Wingdings" w:hAnsi="Wingdings" w:cs="Wingdings" w:hint="default"/>
      </w:rPr>
    </w:lvl>
    <w:lvl w:ilvl="6" w:tplc="6E2E4F26">
      <w:start w:val="1"/>
      <w:numFmt w:val="bullet"/>
      <w:lvlText w:val="·"/>
      <w:lvlJc w:val="left"/>
      <w:pPr>
        <w:ind w:left="5040" w:hanging="360"/>
      </w:pPr>
      <w:rPr>
        <w:rFonts w:ascii="Symbol" w:eastAsia="Symbol" w:hAnsi="Symbol" w:cs="Symbol" w:hint="default"/>
      </w:rPr>
    </w:lvl>
    <w:lvl w:ilvl="7" w:tplc="D66684B8">
      <w:start w:val="1"/>
      <w:numFmt w:val="bullet"/>
      <w:lvlText w:val="o"/>
      <w:lvlJc w:val="left"/>
      <w:pPr>
        <w:ind w:left="5760" w:hanging="360"/>
      </w:pPr>
      <w:rPr>
        <w:rFonts w:ascii="Courier New" w:eastAsia="Courier New" w:hAnsi="Courier New" w:cs="Courier New" w:hint="default"/>
      </w:rPr>
    </w:lvl>
    <w:lvl w:ilvl="8" w:tplc="0D6429B2">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4FC919DF"/>
    <w:multiLevelType w:val="hybridMultilevel"/>
    <w:tmpl w:val="7BB8B9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11D0DBC"/>
    <w:multiLevelType w:val="hybridMultilevel"/>
    <w:tmpl w:val="31944A84"/>
    <w:lvl w:ilvl="0" w:tplc="051ECFC0">
      <w:start w:val="1"/>
      <w:numFmt w:val="bullet"/>
      <w:lvlText w:val="–"/>
      <w:lvlJc w:val="left"/>
      <w:pPr>
        <w:ind w:left="720" w:hanging="360"/>
      </w:pPr>
      <w:rPr>
        <w:rFonts w:ascii="Arial" w:eastAsia="Arial" w:hAnsi="Arial" w:cs="Arial" w:hint="default"/>
      </w:rPr>
    </w:lvl>
    <w:lvl w:ilvl="1" w:tplc="A83697D8">
      <w:start w:val="1"/>
      <w:numFmt w:val="bullet"/>
      <w:lvlText w:val="o"/>
      <w:lvlJc w:val="left"/>
      <w:pPr>
        <w:ind w:left="1440" w:hanging="360"/>
      </w:pPr>
      <w:rPr>
        <w:rFonts w:ascii="Courier New" w:eastAsia="Courier New" w:hAnsi="Courier New" w:cs="Courier New" w:hint="default"/>
      </w:rPr>
    </w:lvl>
    <w:lvl w:ilvl="2" w:tplc="C4407EAA">
      <w:start w:val="1"/>
      <w:numFmt w:val="bullet"/>
      <w:lvlText w:val=""/>
      <w:lvlJc w:val="left"/>
      <w:pPr>
        <w:ind w:left="2160" w:hanging="360"/>
      </w:pPr>
      <w:rPr>
        <w:rFonts w:ascii="Wingdings" w:eastAsia="Wingdings" w:hAnsi="Wingdings" w:cs="Wingdings" w:hint="default"/>
      </w:rPr>
    </w:lvl>
    <w:lvl w:ilvl="3" w:tplc="CAACBDB6">
      <w:start w:val="1"/>
      <w:numFmt w:val="bullet"/>
      <w:lvlText w:val=""/>
      <w:lvlJc w:val="left"/>
      <w:pPr>
        <w:ind w:left="2880" w:hanging="360"/>
      </w:pPr>
      <w:rPr>
        <w:rFonts w:ascii="Symbol" w:eastAsia="Symbol" w:hAnsi="Symbol" w:cs="Symbol" w:hint="default"/>
      </w:rPr>
    </w:lvl>
    <w:lvl w:ilvl="4" w:tplc="80B89C38">
      <w:start w:val="1"/>
      <w:numFmt w:val="bullet"/>
      <w:lvlText w:val="o"/>
      <w:lvlJc w:val="left"/>
      <w:pPr>
        <w:ind w:left="3600" w:hanging="360"/>
      </w:pPr>
      <w:rPr>
        <w:rFonts w:ascii="Courier New" w:eastAsia="Courier New" w:hAnsi="Courier New" w:cs="Courier New" w:hint="default"/>
      </w:rPr>
    </w:lvl>
    <w:lvl w:ilvl="5" w:tplc="808CF7AA">
      <w:start w:val="1"/>
      <w:numFmt w:val="bullet"/>
      <w:lvlText w:val=""/>
      <w:lvlJc w:val="left"/>
      <w:pPr>
        <w:ind w:left="4320" w:hanging="360"/>
      </w:pPr>
      <w:rPr>
        <w:rFonts w:ascii="Wingdings" w:eastAsia="Wingdings" w:hAnsi="Wingdings" w:cs="Wingdings" w:hint="default"/>
      </w:rPr>
    </w:lvl>
    <w:lvl w:ilvl="6" w:tplc="D7CC6224">
      <w:start w:val="1"/>
      <w:numFmt w:val="bullet"/>
      <w:lvlText w:val=""/>
      <w:lvlJc w:val="left"/>
      <w:pPr>
        <w:ind w:left="5040" w:hanging="360"/>
      </w:pPr>
      <w:rPr>
        <w:rFonts w:ascii="Symbol" w:eastAsia="Symbol" w:hAnsi="Symbol" w:cs="Symbol" w:hint="default"/>
      </w:rPr>
    </w:lvl>
    <w:lvl w:ilvl="7" w:tplc="76AC4584">
      <w:start w:val="1"/>
      <w:numFmt w:val="bullet"/>
      <w:lvlText w:val="o"/>
      <w:lvlJc w:val="left"/>
      <w:pPr>
        <w:ind w:left="5760" w:hanging="360"/>
      </w:pPr>
      <w:rPr>
        <w:rFonts w:ascii="Courier New" w:eastAsia="Courier New" w:hAnsi="Courier New" w:cs="Courier New" w:hint="default"/>
      </w:rPr>
    </w:lvl>
    <w:lvl w:ilvl="8" w:tplc="6A3E281C">
      <w:start w:val="1"/>
      <w:numFmt w:val="bullet"/>
      <w:lvlText w:val=""/>
      <w:lvlJc w:val="left"/>
      <w:pPr>
        <w:ind w:left="6480" w:hanging="360"/>
      </w:pPr>
      <w:rPr>
        <w:rFonts w:ascii="Wingdings" w:eastAsia="Wingdings" w:hAnsi="Wingdings" w:cs="Wingdings" w:hint="default"/>
      </w:rPr>
    </w:lvl>
  </w:abstractNum>
  <w:abstractNum w:abstractNumId="20" w15:restartNumberingAfterBreak="0">
    <w:nsid w:val="57094276"/>
    <w:multiLevelType w:val="hybridMultilevel"/>
    <w:tmpl w:val="BB624F42"/>
    <w:lvl w:ilvl="0" w:tplc="05C22E9E">
      <w:start w:val="1"/>
      <w:numFmt w:val="bullet"/>
      <w:lvlText w:val="-"/>
      <w:lvlJc w:val="left"/>
      <w:pPr>
        <w:ind w:left="720" w:hanging="360"/>
      </w:pPr>
      <w:rPr>
        <w:rFonts w:ascii="Times New Roman" w:hAnsi="Times New Roman"/>
      </w:rPr>
    </w:lvl>
    <w:lvl w:ilvl="1" w:tplc="D65E7E54">
      <w:start w:val="1"/>
      <w:numFmt w:val="bullet"/>
      <w:lvlText w:val="o"/>
      <w:lvlJc w:val="left"/>
      <w:pPr>
        <w:ind w:left="1440" w:hanging="360"/>
      </w:pPr>
      <w:rPr>
        <w:rFonts w:ascii="Courier New" w:hAnsi="Courier New" w:cs="Courier New" w:hint="default"/>
      </w:rPr>
    </w:lvl>
    <w:lvl w:ilvl="2" w:tplc="FB1857EA">
      <w:start w:val="1"/>
      <w:numFmt w:val="bullet"/>
      <w:lvlText w:val=""/>
      <w:lvlJc w:val="left"/>
      <w:pPr>
        <w:ind w:left="2160" w:hanging="360"/>
      </w:pPr>
      <w:rPr>
        <w:rFonts w:ascii="Wingdings" w:hAnsi="Wingdings" w:hint="default"/>
      </w:rPr>
    </w:lvl>
    <w:lvl w:ilvl="3" w:tplc="368E3B28">
      <w:start w:val="1"/>
      <w:numFmt w:val="bullet"/>
      <w:lvlText w:val=""/>
      <w:lvlJc w:val="left"/>
      <w:pPr>
        <w:ind w:left="2880" w:hanging="360"/>
      </w:pPr>
      <w:rPr>
        <w:rFonts w:ascii="Symbol" w:hAnsi="Symbol" w:hint="default"/>
      </w:rPr>
    </w:lvl>
    <w:lvl w:ilvl="4" w:tplc="D3501BD8">
      <w:start w:val="1"/>
      <w:numFmt w:val="bullet"/>
      <w:lvlText w:val="o"/>
      <w:lvlJc w:val="left"/>
      <w:pPr>
        <w:ind w:left="3600" w:hanging="360"/>
      </w:pPr>
      <w:rPr>
        <w:rFonts w:ascii="Courier New" w:hAnsi="Courier New" w:cs="Courier New" w:hint="default"/>
      </w:rPr>
    </w:lvl>
    <w:lvl w:ilvl="5" w:tplc="6DFE43EE">
      <w:start w:val="1"/>
      <w:numFmt w:val="bullet"/>
      <w:lvlText w:val=""/>
      <w:lvlJc w:val="left"/>
      <w:pPr>
        <w:ind w:left="4320" w:hanging="360"/>
      </w:pPr>
      <w:rPr>
        <w:rFonts w:ascii="Wingdings" w:hAnsi="Wingdings" w:hint="default"/>
      </w:rPr>
    </w:lvl>
    <w:lvl w:ilvl="6" w:tplc="542EDCD2">
      <w:start w:val="1"/>
      <w:numFmt w:val="bullet"/>
      <w:lvlText w:val=""/>
      <w:lvlJc w:val="left"/>
      <w:pPr>
        <w:ind w:left="5040" w:hanging="360"/>
      </w:pPr>
      <w:rPr>
        <w:rFonts w:ascii="Symbol" w:hAnsi="Symbol" w:hint="default"/>
      </w:rPr>
    </w:lvl>
    <w:lvl w:ilvl="7" w:tplc="F262322C">
      <w:start w:val="1"/>
      <w:numFmt w:val="bullet"/>
      <w:lvlText w:val="o"/>
      <w:lvlJc w:val="left"/>
      <w:pPr>
        <w:ind w:left="5760" w:hanging="360"/>
      </w:pPr>
      <w:rPr>
        <w:rFonts w:ascii="Courier New" w:hAnsi="Courier New" w:cs="Courier New" w:hint="default"/>
      </w:rPr>
    </w:lvl>
    <w:lvl w:ilvl="8" w:tplc="1F6CE46A">
      <w:start w:val="1"/>
      <w:numFmt w:val="bullet"/>
      <w:lvlText w:val=""/>
      <w:lvlJc w:val="left"/>
      <w:pPr>
        <w:ind w:left="6480" w:hanging="360"/>
      </w:pPr>
      <w:rPr>
        <w:rFonts w:ascii="Wingdings" w:hAnsi="Wingdings" w:hint="default"/>
      </w:rPr>
    </w:lvl>
  </w:abstractNum>
  <w:abstractNum w:abstractNumId="21" w15:restartNumberingAfterBreak="0">
    <w:nsid w:val="5B8E25CD"/>
    <w:multiLevelType w:val="hybridMultilevel"/>
    <w:tmpl w:val="DCA8C54E"/>
    <w:lvl w:ilvl="0" w:tplc="1D826E1A">
      <w:start w:val="7"/>
      <w:numFmt w:val="bullet"/>
      <w:lvlText w:val="-"/>
      <w:lvlJc w:val="left"/>
      <w:pPr>
        <w:ind w:left="1775" w:hanging="360"/>
      </w:pPr>
      <w:rPr>
        <w:rFonts w:ascii="Arial" w:eastAsiaTheme="minorHAnsi" w:hAnsi="Arial" w:cs="Arial" w:hint="default"/>
      </w:rPr>
    </w:lvl>
    <w:lvl w:ilvl="1" w:tplc="040C0003" w:tentative="1">
      <w:start w:val="1"/>
      <w:numFmt w:val="bullet"/>
      <w:lvlText w:val="o"/>
      <w:lvlJc w:val="left"/>
      <w:pPr>
        <w:ind w:left="2150" w:hanging="360"/>
      </w:pPr>
      <w:rPr>
        <w:rFonts w:ascii="Courier New" w:hAnsi="Courier New" w:cs="Courier New" w:hint="default"/>
      </w:rPr>
    </w:lvl>
    <w:lvl w:ilvl="2" w:tplc="040C0005" w:tentative="1">
      <w:start w:val="1"/>
      <w:numFmt w:val="bullet"/>
      <w:lvlText w:val=""/>
      <w:lvlJc w:val="left"/>
      <w:pPr>
        <w:ind w:left="2870" w:hanging="360"/>
      </w:pPr>
      <w:rPr>
        <w:rFonts w:ascii="Wingdings" w:hAnsi="Wingdings" w:hint="default"/>
      </w:rPr>
    </w:lvl>
    <w:lvl w:ilvl="3" w:tplc="040C0001" w:tentative="1">
      <w:start w:val="1"/>
      <w:numFmt w:val="bullet"/>
      <w:lvlText w:val=""/>
      <w:lvlJc w:val="left"/>
      <w:pPr>
        <w:ind w:left="3590" w:hanging="360"/>
      </w:pPr>
      <w:rPr>
        <w:rFonts w:ascii="Symbol" w:hAnsi="Symbol" w:hint="default"/>
      </w:rPr>
    </w:lvl>
    <w:lvl w:ilvl="4" w:tplc="040C0003" w:tentative="1">
      <w:start w:val="1"/>
      <w:numFmt w:val="bullet"/>
      <w:lvlText w:val="o"/>
      <w:lvlJc w:val="left"/>
      <w:pPr>
        <w:ind w:left="4310" w:hanging="360"/>
      </w:pPr>
      <w:rPr>
        <w:rFonts w:ascii="Courier New" w:hAnsi="Courier New" w:cs="Courier New" w:hint="default"/>
      </w:rPr>
    </w:lvl>
    <w:lvl w:ilvl="5" w:tplc="040C0005" w:tentative="1">
      <w:start w:val="1"/>
      <w:numFmt w:val="bullet"/>
      <w:lvlText w:val=""/>
      <w:lvlJc w:val="left"/>
      <w:pPr>
        <w:ind w:left="5030" w:hanging="360"/>
      </w:pPr>
      <w:rPr>
        <w:rFonts w:ascii="Wingdings" w:hAnsi="Wingdings" w:hint="default"/>
      </w:rPr>
    </w:lvl>
    <w:lvl w:ilvl="6" w:tplc="040C0001" w:tentative="1">
      <w:start w:val="1"/>
      <w:numFmt w:val="bullet"/>
      <w:lvlText w:val=""/>
      <w:lvlJc w:val="left"/>
      <w:pPr>
        <w:ind w:left="5750" w:hanging="360"/>
      </w:pPr>
      <w:rPr>
        <w:rFonts w:ascii="Symbol" w:hAnsi="Symbol" w:hint="default"/>
      </w:rPr>
    </w:lvl>
    <w:lvl w:ilvl="7" w:tplc="040C0003" w:tentative="1">
      <w:start w:val="1"/>
      <w:numFmt w:val="bullet"/>
      <w:lvlText w:val="o"/>
      <w:lvlJc w:val="left"/>
      <w:pPr>
        <w:ind w:left="6470" w:hanging="360"/>
      </w:pPr>
      <w:rPr>
        <w:rFonts w:ascii="Courier New" w:hAnsi="Courier New" w:cs="Courier New" w:hint="default"/>
      </w:rPr>
    </w:lvl>
    <w:lvl w:ilvl="8" w:tplc="040C0005" w:tentative="1">
      <w:start w:val="1"/>
      <w:numFmt w:val="bullet"/>
      <w:lvlText w:val=""/>
      <w:lvlJc w:val="left"/>
      <w:pPr>
        <w:ind w:left="7190" w:hanging="360"/>
      </w:pPr>
      <w:rPr>
        <w:rFonts w:ascii="Wingdings" w:hAnsi="Wingdings" w:hint="default"/>
      </w:rPr>
    </w:lvl>
  </w:abstractNum>
  <w:abstractNum w:abstractNumId="22" w15:restartNumberingAfterBreak="0">
    <w:nsid w:val="6049205C"/>
    <w:multiLevelType w:val="hybridMultilevel"/>
    <w:tmpl w:val="65E0DBF0"/>
    <w:lvl w:ilvl="0" w:tplc="3BB86F8C">
      <w:start w:val="1"/>
      <w:numFmt w:val="bullet"/>
      <w:lvlText w:val="-"/>
      <w:lvlJc w:val="left"/>
      <w:pPr>
        <w:ind w:left="720" w:hanging="360"/>
      </w:pPr>
      <w:rPr>
        <w:rFonts w:ascii="Times New Roman" w:hAnsi="Times New Roman"/>
      </w:rPr>
    </w:lvl>
    <w:lvl w:ilvl="1" w:tplc="EF901310">
      <w:start w:val="1"/>
      <w:numFmt w:val="bullet"/>
      <w:lvlText w:val="o"/>
      <w:lvlJc w:val="left"/>
      <w:pPr>
        <w:ind w:left="1440" w:hanging="360"/>
      </w:pPr>
      <w:rPr>
        <w:rFonts w:ascii="Courier New" w:hAnsi="Courier New" w:cs="Courier New" w:hint="default"/>
      </w:rPr>
    </w:lvl>
    <w:lvl w:ilvl="2" w:tplc="B934B2E8">
      <w:start w:val="1"/>
      <w:numFmt w:val="bullet"/>
      <w:lvlText w:val=""/>
      <w:lvlJc w:val="left"/>
      <w:pPr>
        <w:ind w:left="2160" w:hanging="360"/>
      </w:pPr>
      <w:rPr>
        <w:rFonts w:ascii="Wingdings" w:hAnsi="Wingdings" w:hint="default"/>
      </w:rPr>
    </w:lvl>
    <w:lvl w:ilvl="3" w:tplc="0CD22CDC">
      <w:start w:val="1"/>
      <w:numFmt w:val="bullet"/>
      <w:lvlText w:val=""/>
      <w:lvlJc w:val="left"/>
      <w:pPr>
        <w:ind w:left="2880" w:hanging="360"/>
      </w:pPr>
      <w:rPr>
        <w:rFonts w:ascii="Symbol" w:hAnsi="Symbol" w:hint="default"/>
      </w:rPr>
    </w:lvl>
    <w:lvl w:ilvl="4" w:tplc="755CB65A">
      <w:start w:val="1"/>
      <w:numFmt w:val="bullet"/>
      <w:lvlText w:val="o"/>
      <w:lvlJc w:val="left"/>
      <w:pPr>
        <w:ind w:left="3600" w:hanging="360"/>
      </w:pPr>
      <w:rPr>
        <w:rFonts w:ascii="Courier New" w:hAnsi="Courier New" w:cs="Courier New" w:hint="default"/>
      </w:rPr>
    </w:lvl>
    <w:lvl w:ilvl="5" w:tplc="4DC6F37A">
      <w:start w:val="1"/>
      <w:numFmt w:val="bullet"/>
      <w:lvlText w:val=""/>
      <w:lvlJc w:val="left"/>
      <w:pPr>
        <w:ind w:left="4320" w:hanging="360"/>
      </w:pPr>
      <w:rPr>
        <w:rFonts w:ascii="Wingdings" w:hAnsi="Wingdings" w:hint="default"/>
      </w:rPr>
    </w:lvl>
    <w:lvl w:ilvl="6" w:tplc="1730E998">
      <w:start w:val="1"/>
      <w:numFmt w:val="bullet"/>
      <w:lvlText w:val=""/>
      <w:lvlJc w:val="left"/>
      <w:pPr>
        <w:ind w:left="5040" w:hanging="360"/>
      </w:pPr>
      <w:rPr>
        <w:rFonts w:ascii="Symbol" w:hAnsi="Symbol" w:hint="default"/>
      </w:rPr>
    </w:lvl>
    <w:lvl w:ilvl="7" w:tplc="EC8A2216">
      <w:start w:val="1"/>
      <w:numFmt w:val="bullet"/>
      <w:lvlText w:val="o"/>
      <w:lvlJc w:val="left"/>
      <w:pPr>
        <w:ind w:left="5760" w:hanging="360"/>
      </w:pPr>
      <w:rPr>
        <w:rFonts w:ascii="Courier New" w:hAnsi="Courier New" w:cs="Courier New" w:hint="default"/>
      </w:rPr>
    </w:lvl>
    <w:lvl w:ilvl="8" w:tplc="F7D8D392">
      <w:start w:val="1"/>
      <w:numFmt w:val="bullet"/>
      <w:lvlText w:val=""/>
      <w:lvlJc w:val="left"/>
      <w:pPr>
        <w:ind w:left="6480" w:hanging="360"/>
      </w:pPr>
      <w:rPr>
        <w:rFonts w:ascii="Wingdings" w:hAnsi="Wingdings" w:hint="default"/>
      </w:rPr>
    </w:lvl>
  </w:abstractNum>
  <w:abstractNum w:abstractNumId="23" w15:restartNumberingAfterBreak="0">
    <w:nsid w:val="68056336"/>
    <w:multiLevelType w:val="hybridMultilevel"/>
    <w:tmpl w:val="2D2AF224"/>
    <w:lvl w:ilvl="0" w:tplc="052A56D2">
      <w:start w:val="1"/>
      <w:numFmt w:val="bullet"/>
      <w:pStyle w:val="Puces"/>
      <w:lvlText w:val="-"/>
      <w:lvlJc w:val="left"/>
      <w:pPr>
        <w:ind w:left="720" w:hanging="360"/>
      </w:pPr>
      <w:rPr>
        <w:rFonts w:ascii="Calibri" w:hAnsi="Calibri" w:hint="default"/>
      </w:rPr>
    </w:lvl>
    <w:lvl w:ilvl="1" w:tplc="50EE2C48">
      <w:start w:val="1"/>
      <w:numFmt w:val="bullet"/>
      <w:lvlText w:val="o"/>
      <w:lvlJc w:val="left"/>
      <w:pPr>
        <w:ind w:left="1440" w:hanging="360"/>
      </w:pPr>
      <w:rPr>
        <w:rFonts w:ascii="Courier New" w:hAnsi="Courier New" w:cs="Courier New" w:hint="default"/>
      </w:rPr>
    </w:lvl>
    <w:lvl w:ilvl="2" w:tplc="4B3A48F0">
      <w:start w:val="1"/>
      <w:numFmt w:val="bullet"/>
      <w:lvlText w:val=""/>
      <w:lvlJc w:val="left"/>
      <w:pPr>
        <w:ind w:left="2160" w:hanging="360"/>
      </w:pPr>
      <w:rPr>
        <w:rFonts w:ascii="Wingdings" w:hAnsi="Wingdings" w:hint="default"/>
      </w:rPr>
    </w:lvl>
    <w:lvl w:ilvl="3" w:tplc="8C889EEC">
      <w:start w:val="1"/>
      <w:numFmt w:val="bullet"/>
      <w:lvlText w:val=""/>
      <w:lvlJc w:val="left"/>
      <w:pPr>
        <w:ind w:left="2880" w:hanging="360"/>
      </w:pPr>
      <w:rPr>
        <w:rFonts w:ascii="Symbol" w:hAnsi="Symbol" w:hint="default"/>
      </w:rPr>
    </w:lvl>
    <w:lvl w:ilvl="4" w:tplc="5002DB32">
      <w:start w:val="1"/>
      <w:numFmt w:val="bullet"/>
      <w:lvlText w:val="o"/>
      <w:lvlJc w:val="left"/>
      <w:pPr>
        <w:ind w:left="3600" w:hanging="360"/>
      </w:pPr>
      <w:rPr>
        <w:rFonts w:ascii="Courier New" w:hAnsi="Courier New" w:cs="Courier New" w:hint="default"/>
      </w:rPr>
    </w:lvl>
    <w:lvl w:ilvl="5" w:tplc="907A3678">
      <w:start w:val="1"/>
      <w:numFmt w:val="bullet"/>
      <w:lvlText w:val=""/>
      <w:lvlJc w:val="left"/>
      <w:pPr>
        <w:ind w:left="4320" w:hanging="360"/>
      </w:pPr>
      <w:rPr>
        <w:rFonts w:ascii="Wingdings" w:hAnsi="Wingdings" w:hint="default"/>
      </w:rPr>
    </w:lvl>
    <w:lvl w:ilvl="6" w:tplc="0A1063D4">
      <w:start w:val="1"/>
      <w:numFmt w:val="bullet"/>
      <w:lvlText w:val=""/>
      <w:lvlJc w:val="left"/>
      <w:pPr>
        <w:ind w:left="5040" w:hanging="360"/>
      </w:pPr>
      <w:rPr>
        <w:rFonts w:ascii="Symbol" w:hAnsi="Symbol" w:hint="default"/>
      </w:rPr>
    </w:lvl>
    <w:lvl w:ilvl="7" w:tplc="167A92A4">
      <w:start w:val="1"/>
      <w:numFmt w:val="bullet"/>
      <w:lvlText w:val="o"/>
      <w:lvlJc w:val="left"/>
      <w:pPr>
        <w:ind w:left="5760" w:hanging="360"/>
      </w:pPr>
      <w:rPr>
        <w:rFonts w:ascii="Courier New" w:hAnsi="Courier New" w:cs="Courier New" w:hint="default"/>
      </w:rPr>
    </w:lvl>
    <w:lvl w:ilvl="8" w:tplc="09D44CB4">
      <w:start w:val="1"/>
      <w:numFmt w:val="bullet"/>
      <w:lvlText w:val=""/>
      <w:lvlJc w:val="left"/>
      <w:pPr>
        <w:ind w:left="6480" w:hanging="360"/>
      </w:pPr>
      <w:rPr>
        <w:rFonts w:ascii="Wingdings" w:hAnsi="Wingdings" w:hint="default"/>
      </w:rPr>
    </w:lvl>
  </w:abstractNum>
  <w:abstractNum w:abstractNumId="24" w15:restartNumberingAfterBreak="0">
    <w:nsid w:val="6A284400"/>
    <w:multiLevelType w:val="hybridMultilevel"/>
    <w:tmpl w:val="F2AAE3A8"/>
    <w:lvl w:ilvl="0" w:tplc="1F541EEA">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B586D06"/>
    <w:multiLevelType w:val="hybridMultilevel"/>
    <w:tmpl w:val="8D625780"/>
    <w:lvl w:ilvl="0" w:tplc="50AA23D8">
      <w:start w:val="1"/>
      <w:numFmt w:val="bullet"/>
      <w:lvlText w:val="-"/>
      <w:lvlJc w:val="left"/>
      <w:pPr>
        <w:ind w:left="720" w:hanging="360"/>
      </w:pPr>
      <w:rPr>
        <w:rFonts w:ascii="Times New Roman" w:hAnsi="Times New Roman"/>
      </w:rPr>
    </w:lvl>
    <w:lvl w:ilvl="1" w:tplc="76A03CBC">
      <w:start w:val="1"/>
      <w:numFmt w:val="bullet"/>
      <w:lvlText w:val="o"/>
      <w:lvlJc w:val="left"/>
      <w:pPr>
        <w:ind w:left="1440" w:hanging="360"/>
      </w:pPr>
      <w:rPr>
        <w:rFonts w:ascii="Courier New" w:hAnsi="Courier New" w:cs="Courier New" w:hint="default"/>
      </w:rPr>
    </w:lvl>
    <w:lvl w:ilvl="2" w:tplc="53543B1C">
      <w:start w:val="1"/>
      <w:numFmt w:val="bullet"/>
      <w:lvlText w:val=""/>
      <w:lvlJc w:val="left"/>
      <w:pPr>
        <w:ind w:left="2160" w:hanging="360"/>
      </w:pPr>
      <w:rPr>
        <w:rFonts w:ascii="Wingdings" w:hAnsi="Wingdings" w:hint="default"/>
      </w:rPr>
    </w:lvl>
    <w:lvl w:ilvl="3" w:tplc="1876B500">
      <w:start w:val="1"/>
      <w:numFmt w:val="bullet"/>
      <w:lvlText w:val=""/>
      <w:lvlJc w:val="left"/>
      <w:pPr>
        <w:ind w:left="2880" w:hanging="360"/>
      </w:pPr>
      <w:rPr>
        <w:rFonts w:ascii="Symbol" w:hAnsi="Symbol" w:hint="default"/>
      </w:rPr>
    </w:lvl>
    <w:lvl w:ilvl="4" w:tplc="300CA5E0">
      <w:start w:val="1"/>
      <w:numFmt w:val="bullet"/>
      <w:lvlText w:val="o"/>
      <w:lvlJc w:val="left"/>
      <w:pPr>
        <w:ind w:left="3600" w:hanging="360"/>
      </w:pPr>
      <w:rPr>
        <w:rFonts w:ascii="Courier New" w:hAnsi="Courier New" w:cs="Courier New" w:hint="default"/>
      </w:rPr>
    </w:lvl>
    <w:lvl w:ilvl="5" w:tplc="F5F2FDCC">
      <w:start w:val="1"/>
      <w:numFmt w:val="bullet"/>
      <w:lvlText w:val=""/>
      <w:lvlJc w:val="left"/>
      <w:pPr>
        <w:ind w:left="4320" w:hanging="360"/>
      </w:pPr>
      <w:rPr>
        <w:rFonts w:ascii="Wingdings" w:hAnsi="Wingdings" w:hint="default"/>
      </w:rPr>
    </w:lvl>
    <w:lvl w:ilvl="6" w:tplc="1DBC38E6">
      <w:start w:val="1"/>
      <w:numFmt w:val="bullet"/>
      <w:lvlText w:val=""/>
      <w:lvlJc w:val="left"/>
      <w:pPr>
        <w:ind w:left="5040" w:hanging="360"/>
      </w:pPr>
      <w:rPr>
        <w:rFonts w:ascii="Symbol" w:hAnsi="Symbol" w:hint="default"/>
      </w:rPr>
    </w:lvl>
    <w:lvl w:ilvl="7" w:tplc="314A541C">
      <w:start w:val="1"/>
      <w:numFmt w:val="bullet"/>
      <w:lvlText w:val="o"/>
      <w:lvlJc w:val="left"/>
      <w:pPr>
        <w:ind w:left="5760" w:hanging="360"/>
      </w:pPr>
      <w:rPr>
        <w:rFonts w:ascii="Courier New" w:hAnsi="Courier New" w:cs="Courier New" w:hint="default"/>
      </w:rPr>
    </w:lvl>
    <w:lvl w:ilvl="8" w:tplc="4BE4DDD0">
      <w:start w:val="1"/>
      <w:numFmt w:val="bullet"/>
      <w:lvlText w:val=""/>
      <w:lvlJc w:val="left"/>
      <w:pPr>
        <w:ind w:left="6480" w:hanging="360"/>
      </w:pPr>
      <w:rPr>
        <w:rFonts w:ascii="Wingdings" w:hAnsi="Wingdings" w:hint="default"/>
      </w:rPr>
    </w:lvl>
  </w:abstractNum>
  <w:abstractNum w:abstractNumId="26" w15:restartNumberingAfterBreak="0">
    <w:nsid w:val="7C09317A"/>
    <w:multiLevelType w:val="hybridMultilevel"/>
    <w:tmpl w:val="9A0A1312"/>
    <w:lvl w:ilvl="0" w:tplc="E2B4D820">
      <w:start w:val="1"/>
      <w:numFmt w:val="bullet"/>
      <w:lvlText w:val="-"/>
      <w:lvlJc w:val="left"/>
      <w:pPr>
        <w:ind w:left="720" w:hanging="360"/>
      </w:pPr>
      <w:rPr>
        <w:rFonts w:ascii="Times New Roman" w:hAnsi="Times New Roman"/>
      </w:rPr>
    </w:lvl>
    <w:lvl w:ilvl="1" w:tplc="D7C05A12">
      <w:start w:val="1"/>
      <w:numFmt w:val="bullet"/>
      <w:lvlText w:val="o"/>
      <w:lvlJc w:val="left"/>
      <w:pPr>
        <w:ind w:left="1440" w:hanging="360"/>
      </w:pPr>
      <w:rPr>
        <w:rFonts w:ascii="Courier New" w:hAnsi="Courier New" w:cs="Courier New" w:hint="default"/>
      </w:rPr>
    </w:lvl>
    <w:lvl w:ilvl="2" w:tplc="D3F86F82">
      <w:start w:val="1"/>
      <w:numFmt w:val="bullet"/>
      <w:lvlText w:val=""/>
      <w:lvlJc w:val="left"/>
      <w:pPr>
        <w:ind w:left="2160" w:hanging="360"/>
      </w:pPr>
      <w:rPr>
        <w:rFonts w:ascii="Wingdings" w:hAnsi="Wingdings" w:hint="default"/>
      </w:rPr>
    </w:lvl>
    <w:lvl w:ilvl="3" w:tplc="4A56555E">
      <w:start w:val="1"/>
      <w:numFmt w:val="bullet"/>
      <w:lvlText w:val=""/>
      <w:lvlJc w:val="left"/>
      <w:pPr>
        <w:ind w:left="2880" w:hanging="360"/>
      </w:pPr>
      <w:rPr>
        <w:rFonts w:ascii="Symbol" w:hAnsi="Symbol" w:hint="default"/>
      </w:rPr>
    </w:lvl>
    <w:lvl w:ilvl="4" w:tplc="6276D6F0">
      <w:start w:val="1"/>
      <w:numFmt w:val="bullet"/>
      <w:lvlText w:val="o"/>
      <w:lvlJc w:val="left"/>
      <w:pPr>
        <w:ind w:left="3600" w:hanging="360"/>
      </w:pPr>
      <w:rPr>
        <w:rFonts w:ascii="Courier New" w:hAnsi="Courier New" w:cs="Courier New" w:hint="default"/>
      </w:rPr>
    </w:lvl>
    <w:lvl w:ilvl="5" w:tplc="5524ADFE">
      <w:start w:val="1"/>
      <w:numFmt w:val="bullet"/>
      <w:lvlText w:val=""/>
      <w:lvlJc w:val="left"/>
      <w:pPr>
        <w:ind w:left="4320" w:hanging="360"/>
      </w:pPr>
      <w:rPr>
        <w:rFonts w:ascii="Wingdings" w:hAnsi="Wingdings" w:hint="default"/>
      </w:rPr>
    </w:lvl>
    <w:lvl w:ilvl="6" w:tplc="7DE2E036">
      <w:start w:val="1"/>
      <w:numFmt w:val="bullet"/>
      <w:lvlText w:val=""/>
      <w:lvlJc w:val="left"/>
      <w:pPr>
        <w:ind w:left="5040" w:hanging="360"/>
      </w:pPr>
      <w:rPr>
        <w:rFonts w:ascii="Symbol" w:hAnsi="Symbol" w:hint="default"/>
      </w:rPr>
    </w:lvl>
    <w:lvl w:ilvl="7" w:tplc="18C20D56">
      <w:start w:val="1"/>
      <w:numFmt w:val="bullet"/>
      <w:lvlText w:val="o"/>
      <w:lvlJc w:val="left"/>
      <w:pPr>
        <w:ind w:left="5760" w:hanging="360"/>
      </w:pPr>
      <w:rPr>
        <w:rFonts w:ascii="Courier New" w:hAnsi="Courier New" w:cs="Courier New" w:hint="default"/>
      </w:rPr>
    </w:lvl>
    <w:lvl w:ilvl="8" w:tplc="FF920A50">
      <w:start w:val="1"/>
      <w:numFmt w:val="bullet"/>
      <w:lvlText w:val=""/>
      <w:lvlJc w:val="left"/>
      <w:pPr>
        <w:ind w:left="6480" w:hanging="360"/>
      </w:pPr>
      <w:rPr>
        <w:rFonts w:ascii="Wingdings" w:hAnsi="Wingdings" w:hint="default"/>
      </w:rPr>
    </w:lvl>
  </w:abstractNum>
  <w:abstractNum w:abstractNumId="27" w15:restartNumberingAfterBreak="0">
    <w:nsid w:val="7C5D61C6"/>
    <w:multiLevelType w:val="hybridMultilevel"/>
    <w:tmpl w:val="6262A2F6"/>
    <w:lvl w:ilvl="0" w:tplc="1F541EEA">
      <w:start w:val="1"/>
      <w:numFmt w:val="bullet"/>
      <w:lvlText w:val="-"/>
      <w:lvlJc w:val="left"/>
      <w:pPr>
        <w:ind w:left="720" w:hanging="360"/>
      </w:pPr>
      <w:rPr>
        <w:rFonts w:ascii="Calibri" w:hAnsi="Calibri" w:hint="default"/>
      </w:rPr>
    </w:lvl>
    <w:lvl w:ilvl="1" w:tplc="3DBA6DDC">
      <w:start w:val="1"/>
      <w:numFmt w:val="bullet"/>
      <w:lvlText w:val="o"/>
      <w:lvlJc w:val="left"/>
      <w:pPr>
        <w:ind w:left="1440" w:hanging="360"/>
      </w:pPr>
      <w:rPr>
        <w:rFonts w:ascii="Courier New" w:hAnsi="Courier New" w:cs="Courier New" w:hint="default"/>
      </w:rPr>
    </w:lvl>
    <w:lvl w:ilvl="2" w:tplc="2F4CF040">
      <w:start w:val="1"/>
      <w:numFmt w:val="bullet"/>
      <w:lvlText w:val=""/>
      <w:lvlJc w:val="left"/>
      <w:pPr>
        <w:ind w:left="2160" w:hanging="360"/>
      </w:pPr>
      <w:rPr>
        <w:rFonts w:ascii="Wingdings" w:hAnsi="Wingdings" w:hint="default"/>
      </w:rPr>
    </w:lvl>
    <w:lvl w:ilvl="3" w:tplc="48D6C12C">
      <w:start w:val="1"/>
      <w:numFmt w:val="bullet"/>
      <w:lvlText w:val=""/>
      <w:lvlJc w:val="left"/>
      <w:pPr>
        <w:ind w:left="2880" w:hanging="360"/>
      </w:pPr>
      <w:rPr>
        <w:rFonts w:ascii="Symbol" w:hAnsi="Symbol" w:hint="default"/>
      </w:rPr>
    </w:lvl>
    <w:lvl w:ilvl="4" w:tplc="6ECAC12C">
      <w:start w:val="1"/>
      <w:numFmt w:val="bullet"/>
      <w:lvlText w:val="o"/>
      <w:lvlJc w:val="left"/>
      <w:pPr>
        <w:ind w:left="3600" w:hanging="360"/>
      </w:pPr>
      <w:rPr>
        <w:rFonts w:ascii="Courier New" w:hAnsi="Courier New" w:cs="Courier New" w:hint="default"/>
      </w:rPr>
    </w:lvl>
    <w:lvl w:ilvl="5" w:tplc="671273FA">
      <w:start w:val="1"/>
      <w:numFmt w:val="bullet"/>
      <w:lvlText w:val=""/>
      <w:lvlJc w:val="left"/>
      <w:pPr>
        <w:ind w:left="4320" w:hanging="360"/>
      </w:pPr>
      <w:rPr>
        <w:rFonts w:ascii="Wingdings" w:hAnsi="Wingdings" w:hint="default"/>
      </w:rPr>
    </w:lvl>
    <w:lvl w:ilvl="6" w:tplc="AAC00966">
      <w:start w:val="1"/>
      <w:numFmt w:val="bullet"/>
      <w:lvlText w:val=""/>
      <w:lvlJc w:val="left"/>
      <w:pPr>
        <w:ind w:left="5040" w:hanging="360"/>
      </w:pPr>
      <w:rPr>
        <w:rFonts w:ascii="Symbol" w:hAnsi="Symbol" w:hint="default"/>
      </w:rPr>
    </w:lvl>
    <w:lvl w:ilvl="7" w:tplc="111E1C10">
      <w:start w:val="1"/>
      <w:numFmt w:val="bullet"/>
      <w:lvlText w:val="o"/>
      <w:lvlJc w:val="left"/>
      <w:pPr>
        <w:ind w:left="5760" w:hanging="360"/>
      </w:pPr>
      <w:rPr>
        <w:rFonts w:ascii="Courier New" w:hAnsi="Courier New" w:cs="Courier New" w:hint="default"/>
      </w:rPr>
    </w:lvl>
    <w:lvl w:ilvl="8" w:tplc="E6BC55D6">
      <w:start w:val="1"/>
      <w:numFmt w:val="bullet"/>
      <w:lvlText w:val=""/>
      <w:lvlJc w:val="left"/>
      <w:pPr>
        <w:ind w:left="6480" w:hanging="360"/>
      </w:pPr>
      <w:rPr>
        <w:rFonts w:ascii="Wingdings" w:hAnsi="Wingdings" w:hint="default"/>
      </w:rPr>
    </w:lvl>
  </w:abstractNum>
  <w:abstractNum w:abstractNumId="28" w15:restartNumberingAfterBreak="0">
    <w:nsid w:val="7F5B2913"/>
    <w:multiLevelType w:val="hybridMultilevel"/>
    <w:tmpl w:val="FA8EB6A0"/>
    <w:lvl w:ilvl="0" w:tplc="890CFD3A">
      <w:start w:val="1"/>
      <w:numFmt w:val="bullet"/>
      <w:lvlText w:val="–"/>
      <w:lvlJc w:val="left"/>
      <w:pPr>
        <w:ind w:left="709" w:hanging="360"/>
      </w:pPr>
      <w:rPr>
        <w:rFonts w:ascii="Arial" w:eastAsia="Arial" w:hAnsi="Arial" w:cs="Arial" w:hint="default"/>
      </w:rPr>
    </w:lvl>
    <w:lvl w:ilvl="1" w:tplc="3A646E84">
      <w:start w:val="1"/>
      <w:numFmt w:val="bullet"/>
      <w:lvlText w:val="o"/>
      <w:lvlJc w:val="left"/>
      <w:pPr>
        <w:ind w:left="1429" w:hanging="360"/>
      </w:pPr>
      <w:rPr>
        <w:rFonts w:ascii="Courier New" w:eastAsia="Courier New" w:hAnsi="Courier New" w:cs="Courier New" w:hint="default"/>
      </w:rPr>
    </w:lvl>
    <w:lvl w:ilvl="2" w:tplc="30349CF2">
      <w:start w:val="1"/>
      <w:numFmt w:val="bullet"/>
      <w:lvlText w:val="§"/>
      <w:lvlJc w:val="left"/>
      <w:pPr>
        <w:ind w:left="2149" w:hanging="360"/>
      </w:pPr>
      <w:rPr>
        <w:rFonts w:ascii="Wingdings" w:eastAsia="Wingdings" w:hAnsi="Wingdings" w:cs="Wingdings" w:hint="default"/>
      </w:rPr>
    </w:lvl>
    <w:lvl w:ilvl="3" w:tplc="776AB9CC">
      <w:start w:val="1"/>
      <w:numFmt w:val="bullet"/>
      <w:lvlText w:val="·"/>
      <w:lvlJc w:val="left"/>
      <w:pPr>
        <w:ind w:left="2869" w:hanging="360"/>
      </w:pPr>
      <w:rPr>
        <w:rFonts w:ascii="Symbol" w:eastAsia="Symbol" w:hAnsi="Symbol" w:cs="Symbol" w:hint="default"/>
      </w:rPr>
    </w:lvl>
    <w:lvl w:ilvl="4" w:tplc="3A1CC500">
      <w:start w:val="1"/>
      <w:numFmt w:val="bullet"/>
      <w:lvlText w:val="o"/>
      <w:lvlJc w:val="left"/>
      <w:pPr>
        <w:ind w:left="3589" w:hanging="360"/>
      </w:pPr>
      <w:rPr>
        <w:rFonts w:ascii="Courier New" w:eastAsia="Courier New" w:hAnsi="Courier New" w:cs="Courier New" w:hint="default"/>
      </w:rPr>
    </w:lvl>
    <w:lvl w:ilvl="5" w:tplc="211CAD9A">
      <w:start w:val="1"/>
      <w:numFmt w:val="bullet"/>
      <w:lvlText w:val="§"/>
      <w:lvlJc w:val="left"/>
      <w:pPr>
        <w:ind w:left="4309" w:hanging="360"/>
      </w:pPr>
      <w:rPr>
        <w:rFonts w:ascii="Wingdings" w:eastAsia="Wingdings" w:hAnsi="Wingdings" w:cs="Wingdings" w:hint="default"/>
      </w:rPr>
    </w:lvl>
    <w:lvl w:ilvl="6" w:tplc="6986BD78">
      <w:start w:val="1"/>
      <w:numFmt w:val="bullet"/>
      <w:lvlText w:val="·"/>
      <w:lvlJc w:val="left"/>
      <w:pPr>
        <w:ind w:left="5029" w:hanging="360"/>
      </w:pPr>
      <w:rPr>
        <w:rFonts w:ascii="Symbol" w:eastAsia="Symbol" w:hAnsi="Symbol" w:cs="Symbol" w:hint="default"/>
      </w:rPr>
    </w:lvl>
    <w:lvl w:ilvl="7" w:tplc="50900D58">
      <w:start w:val="1"/>
      <w:numFmt w:val="bullet"/>
      <w:lvlText w:val="o"/>
      <w:lvlJc w:val="left"/>
      <w:pPr>
        <w:ind w:left="5749" w:hanging="360"/>
      </w:pPr>
      <w:rPr>
        <w:rFonts w:ascii="Courier New" w:eastAsia="Courier New" w:hAnsi="Courier New" w:cs="Courier New" w:hint="default"/>
      </w:rPr>
    </w:lvl>
    <w:lvl w:ilvl="8" w:tplc="6BD8B67C">
      <w:start w:val="1"/>
      <w:numFmt w:val="bullet"/>
      <w:lvlText w:val="§"/>
      <w:lvlJc w:val="left"/>
      <w:pPr>
        <w:ind w:left="6469" w:hanging="360"/>
      </w:pPr>
      <w:rPr>
        <w:rFonts w:ascii="Wingdings" w:eastAsia="Wingdings" w:hAnsi="Wingdings" w:cs="Wingdings" w:hint="default"/>
      </w:rPr>
    </w:lvl>
  </w:abstractNum>
  <w:abstractNum w:abstractNumId="29" w15:restartNumberingAfterBreak="0">
    <w:nsid w:val="7FEE34D1"/>
    <w:multiLevelType w:val="hybridMultilevel"/>
    <w:tmpl w:val="035C1C9E"/>
    <w:lvl w:ilvl="0" w:tplc="371808CA">
      <w:start w:val="1"/>
      <w:numFmt w:val="bullet"/>
      <w:lvlText w:val="-"/>
      <w:lvlJc w:val="left"/>
      <w:pPr>
        <w:ind w:left="720" w:hanging="360"/>
      </w:pPr>
      <w:rPr>
        <w:rFonts w:ascii="Times New Roman" w:hAnsi="Times New Roman"/>
      </w:rPr>
    </w:lvl>
    <w:lvl w:ilvl="1" w:tplc="85628966">
      <w:start w:val="1"/>
      <w:numFmt w:val="bullet"/>
      <w:lvlText w:val="o"/>
      <w:lvlJc w:val="left"/>
      <w:pPr>
        <w:ind w:left="1440" w:hanging="360"/>
      </w:pPr>
      <w:rPr>
        <w:rFonts w:ascii="Courier New" w:hAnsi="Courier New" w:cs="Courier New" w:hint="default"/>
      </w:rPr>
    </w:lvl>
    <w:lvl w:ilvl="2" w:tplc="9378CBF4">
      <w:start w:val="1"/>
      <w:numFmt w:val="bullet"/>
      <w:lvlText w:val=""/>
      <w:lvlJc w:val="left"/>
      <w:pPr>
        <w:ind w:left="2160" w:hanging="360"/>
      </w:pPr>
      <w:rPr>
        <w:rFonts w:ascii="Wingdings" w:hAnsi="Wingdings" w:hint="default"/>
      </w:rPr>
    </w:lvl>
    <w:lvl w:ilvl="3" w:tplc="E7F41D02">
      <w:start w:val="1"/>
      <w:numFmt w:val="bullet"/>
      <w:lvlText w:val=""/>
      <w:lvlJc w:val="left"/>
      <w:pPr>
        <w:ind w:left="2880" w:hanging="360"/>
      </w:pPr>
      <w:rPr>
        <w:rFonts w:ascii="Symbol" w:hAnsi="Symbol" w:hint="default"/>
      </w:rPr>
    </w:lvl>
    <w:lvl w:ilvl="4" w:tplc="38EAD384">
      <w:start w:val="1"/>
      <w:numFmt w:val="bullet"/>
      <w:lvlText w:val="o"/>
      <w:lvlJc w:val="left"/>
      <w:pPr>
        <w:ind w:left="3600" w:hanging="360"/>
      </w:pPr>
      <w:rPr>
        <w:rFonts w:ascii="Courier New" w:hAnsi="Courier New" w:cs="Courier New" w:hint="default"/>
      </w:rPr>
    </w:lvl>
    <w:lvl w:ilvl="5" w:tplc="02420710">
      <w:start w:val="1"/>
      <w:numFmt w:val="bullet"/>
      <w:lvlText w:val=""/>
      <w:lvlJc w:val="left"/>
      <w:pPr>
        <w:ind w:left="4320" w:hanging="360"/>
      </w:pPr>
      <w:rPr>
        <w:rFonts w:ascii="Wingdings" w:hAnsi="Wingdings" w:hint="default"/>
      </w:rPr>
    </w:lvl>
    <w:lvl w:ilvl="6" w:tplc="5450E6CE">
      <w:start w:val="1"/>
      <w:numFmt w:val="bullet"/>
      <w:lvlText w:val=""/>
      <w:lvlJc w:val="left"/>
      <w:pPr>
        <w:ind w:left="5040" w:hanging="360"/>
      </w:pPr>
      <w:rPr>
        <w:rFonts w:ascii="Symbol" w:hAnsi="Symbol" w:hint="default"/>
      </w:rPr>
    </w:lvl>
    <w:lvl w:ilvl="7" w:tplc="2F1CCF7E">
      <w:start w:val="1"/>
      <w:numFmt w:val="bullet"/>
      <w:lvlText w:val="o"/>
      <w:lvlJc w:val="left"/>
      <w:pPr>
        <w:ind w:left="5760" w:hanging="360"/>
      </w:pPr>
      <w:rPr>
        <w:rFonts w:ascii="Courier New" w:hAnsi="Courier New" w:cs="Courier New" w:hint="default"/>
      </w:rPr>
    </w:lvl>
    <w:lvl w:ilvl="8" w:tplc="BBE4A39E">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5"/>
  </w:num>
  <w:num w:numId="4">
    <w:abstractNumId w:val="29"/>
  </w:num>
  <w:num w:numId="5">
    <w:abstractNumId w:val="25"/>
  </w:num>
  <w:num w:numId="6">
    <w:abstractNumId w:val="22"/>
  </w:num>
  <w:num w:numId="7">
    <w:abstractNumId w:val="20"/>
  </w:num>
  <w:num w:numId="8">
    <w:abstractNumId w:val="26"/>
  </w:num>
  <w:num w:numId="9">
    <w:abstractNumId w:val="23"/>
  </w:num>
  <w:num w:numId="10">
    <w:abstractNumId w:val="28"/>
  </w:num>
  <w:num w:numId="11">
    <w:abstractNumId w:val="2"/>
  </w:num>
  <w:num w:numId="12">
    <w:abstractNumId w:val="1"/>
  </w:num>
  <w:num w:numId="13">
    <w:abstractNumId w:val="4"/>
  </w:num>
  <w:num w:numId="14">
    <w:abstractNumId w:val="17"/>
  </w:num>
  <w:num w:numId="15">
    <w:abstractNumId w:val="27"/>
  </w:num>
  <w:num w:numId="16">
    <w:abstractNumId w:val="8"/>
  </w:num>
  <w:num w:numId="17">
    <w:abstractNumId w:val="14"/>
  </w:num>
  <w:num w:numId="18">
    <w:abstractNumId w:val="19"/>
  </w:num>
  <w:num w:numId="19">
    <w:abstractNumId w:val="13"/>
  </w:num>
  <w:num w:numId="20">
    <w:abstractNumId w:val="11"/>
  </w:num>
  <w:num w:numId="21">
    <w:abstractNumId w:val="15"/>
  </w:num>
  <w:num w:numId="22">
    <w:abstractNumId w:val="6"/>
  </w:num>
  <w:num w:numId="23">
    <w:abstractNumId w:val="12"/>
  </w:num>
  <w:num w:numId="24">
    <w:abstractNumId w:val="7"/>
  </w:num>
  <w:num w:numId="25">
    <w:abstractNumId w:val="9"/>
  </w:num>
  <w:num w:numId="26">
    <w:abstractNumId w:val="21"/>
  </w:num>
  <w:num w:numId="27">
    <w:abstractNumId w:val="16"/>
  </w:num>
  <w:num w:numId="28">
    <w:abstractNumId w:val="18"/>
  </w:num>
  <w:num w:numId="29">
    <w:abstractNumId w:val="24"/>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9F5"/>
    <w:rsid w:val="0001118D"/>
    <w:rsid w:val="00014302"/>
    <w:rsid w:val="00032995"/>
    <w:rsid w:val="00085017"/>
    <w:rsid w:val="0009202A"/>
    <w:rsid w:val="000A7BDC"/>
    <w:rsid w:val="00117964"/>
    <w:rsid w:val="001340E3"/>
    <w:rsid w:val="00177F51"/>
    <w:rsid w:val="0019110D"/>
    <w:rsid w:val="001A6109"/>
    <w:rsid w:val="001C3B62"/>
    <w:rsid w:val="001C7C75"/>
    <w:rsid w:val="002072C8"/>
    <w:rsid w:val="00210C6F"/>
    <w:rsid w:val="00225CC8"/>
    <w:rsid w:val="002316C0"/>
    <w:rsid w:val="00267411"/>
    <w:rsid w:val="002724FE"/>
    <w:rsid w:val="002F3821"/>
    <w:rsid w:val="00300C42"/>
    <w:rsid w:val="00332EC6"/>
    <w:rsid w:val="00375AC6"/>
    <w:rsid w:val="00383EB4"/>
    <w:rsid w:val="003A25CA"/>
    <w:rsid w:val="003B7114"/>
    <w:rsid w:val="003E4DF0"/>
    <w:rsid w:val="004121A6"/>
    <w:rsid w:val="004376A6"/>
    <w:rsid w:val="00476E70"/>
    <w:rsid w:val="004B0DD7"/>
    <w:rsid w:val="004C22FA"/>
    <w:rsid w:val="004C4B9F"/>
    <w:rsid w:val="00500191"/>
    <w:rsid w:val="00511A28"/>
    <w:rsid w:val="0051467B"/>
    <w:rsid w:val="005D5384"/>
    <w:rsid w:val="006474A0"/>
    <w:rsid w:val="006634E9"/>
    <w:rsid w:val="00673CC5"/>
    <w:rsid w:val="00691069"/>
    <w:rsid w:val="006A0247"/>
    <w:rsid w:val="006B0D9B"/>
    <w:rsid w:val="007015E3"/>
    <w:rsid w:val="007426F4"/>
    <w:rsid w:val="00742ACF"/>
    <w:rsid w:val="0075276F"/>
    <w:rsid w:val="00783543"/>
    <w:rsid w:val="007E40E5"/>
    <w:rsid w:val="008511EF"/>
    <w:rsid w:val="008A7680"/>
    <w:rsid w:val="008C3DD0"/>
    <w:rsid w:val="008F46F9"/>
    <w:rsid w:val="00925733"/>
    <w:rsid w:val="0097443C"/>
    <w:rsid w:val="009D1BF0"/>
    <w:rsid w:val="009F6586"/>
    <w:rsid w:val="00A74C83"/>
    <w:rsid w:val="00A928E0"/>
    <w:rsid w:val="00AC50CF"/>
    <w:rsid w:val="00B31974"/>
    <w:rsid w:val="00B41C15"/>
    <w:rsid w:val="00B46A7E"/>
    <w:rsid w:val="00B84CED"/>
    <w:rsid w:val="00BC0CAB"/>
    <w:rsid w:val="00C5625A"/>
    <w:rsid w:val="00CA0021"/>
    <w:rsid w:val="00CA6660"/>
    <w:rsid w:val="00D10951"/>
    <w:rsid w:val="00D55482"/>
    <w:rsid w:val="00D90E9F"/>
    <w:rsid w:val="00DB19F5"/>
    <w:rsid w:val="00DD1017"/>
    <w:rsid w:val="00DE47C1"/>
    <w:rsid w:val="00DE6705"/>
    <w:rsid w:val="00E07CF4"/>
    <w:rsid w:val="00E73C6D"/>
    <w:rsid w:val="00EB2258"/>
    <w:rsid w:val="00EB639E"/>
    <w:rsid w:val="00ED5732"/>
    <w:rsid w:val="00F1503F"/>
    <w:rsid w:val="00F555BE"/>
    <w:rsid w:val="00F742B6"/>
    <w:rsid w:val="00FB598B"/>
    <w:rsid w:val="00FB669F"/>
    <w:rsid w:val="00FD5D5D"/>
    <w:rsid w:val="00FF0F13"/>
    <w:rsid w:val="29318AA7"/>
    <w:rsid w:val="5144D4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429492"/>
  <w15:chartTrackingRefBased/>
  <w15:docId w15:val="{B59824E8-82DE-4CD8-8295-AF93C5CA8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B19F5"/>
    <w:pPr>
      <w:jc w:val="both"/>
    </w:pPr>
    <w:rPr>
      <w:rFonts w:ascii="Arial" w:hAnsi="Arial" w:cs="Arial"/>
      <w:sz w:val="19"/>
      <w:szCs w:val="19"/>
      <w:lang w:eastAsia="fr-FR"/>
    </w:rPr>
  </w:style>
  <w:style w:type="paragraph" w:styleId="Titre1">
    <w:name w:val="heading 1"/>
    <w:next w:val="Normal"/>
    <w:link w:val="Titre1Car"/>
    <w:uiPriority w:val="9"/>
    <w:unhideWhenUsed/>
    <w:qFormat/>
    <w:rsid w:val="00DB19F5"/>
    <w:pPr>
      <w:keepNext/>
      <w:keepLines/>
      <w:spacing w:after="198" w:line="255" w:lineRule="auto"/>
      <w:ind w:left="521" w:hanging="10"/>
      <w:outlineLvl w:val="0"/>
    </w:pPr>
    <w:rPr>
      <w:rFonts w:ascii="Calibri" w:eastAsia="Times New Roman" w:hAnsi="Calibri" w:cs="Calibri"/>
      <w:color w:val="000000"/>
      <w:sz w:val="28"/>
      <w:lang w:eastAsia="fr-FR"/>
    </w:rPr>
  </w:style>
  <w:style w:type="paragraph" w:styleId="Titre2">
    <w:name w:val="heading 2"/>
    <w:next w:val="Normal"/>
    <w:link w:val="Titre2Car"/>
    <w:uiPriority w:val="9"/>
    <w:unhideWhenUsed/>
    <w:qFormat/>
    <w:rsid w:val="00DB19F5"/>
    <w:pPr>
      <w:keepNext/>
      <w:keepLines/>
      <w:spacing w:after="198" w:line="255" w:lineRule="auto"/>
      <w:ind w:left="521" w:hanging="10"/>
      <w:outlineLvl w:val="1"/>
    </w:pPr>
    <w:rPr>
      <w:rFonts w:ascii="Calibri" w:eastAsia="Times New Roman" w:hAnsi="Calibri" w:cs="Calibri"/>
      <w:color w:val="000000"/>
      <w:sz w:val="28"/>
      <w:lang w:eastAsia="fr-FR"/>
    </w:rPr>
  </w:style>
  <w:style w:type="paragraph" w:styleId="Titre3">
    <w:name w:val="heading 3"/>
    <w:next w:val="Normal"/>
    <w:link w:val="Titre3Car"/>
    <w:uiPriority w:val="9"/>
    <w:unhideWhenUsed/>
    <w:qFormat/>
    <w:rsid w:val="00DB19F5"/>
    <w:pPr>
      <w:keepNext/>
      <w:keepLines/>
      <w:spacing w:after="97" w:line="257" w:lineRule="auto"/>
      <w:ind w:left="118" w:hanging="10"/>
      <w:outlineLvl w:val="2"/>
    </w:pPr>
    <w:rPr>
      <w:rFonts w:ascii="Times New Roman" w:eastAsia="Times New Roman" w:hAnsi="Times New Roman" w:cs="Times New Roman"/>
      <w:color w:val="000000"/>
      <w:sz w:val="26"/>
      <w:lang w:eastAsia="fr-FR"/>
    </w:rPr>
  </w:style>
  <w:style w:type="paragraph" w:styleId="Titre4">
    <w:name w:val="heading 4"/>
    <w:basedOn w:val="Normal"/>
    <w:next w:val="Normal"/>
    <w:link w:val="Titre4Car"/>
    <w:uiPriority w:val="9"/>
    <w:unhideWhenUsed/>
    <w:qFormat/>
    <w:rsid w:val="00DB19F5"/>
    <w:pPr>
      <w:keepNext/>
      <w:keepLines/>
      <w:tabs>
        <w:tab w:val="right" w:pos="14601"/>
      </w:tabs>
      <w:spacing w:before="320" w:after="200"/>
      <w:outlineLvl w:val="3"/>
    </w:pPr>
    <w:rPr>
      <w:rFonts w:eastAsia="Arial"/>
      <w:b/>
      <w:bCs/>
      <w:color w:val="000000"/>
      <w:sz w:val="26"/>
      <w:szCs w:val="26"/>
    </w:rPr>
  </w:style>
  <w:style w:type="paragraph" w:styleId="Titre5">
    <w:name w:val="heading 5"/>
    <w:basedOn w:val="Normal"/>
    <w:next w:val="Normal"/>
    <w:link w:val="Titre5Car"/>
    <w:uiPriority w:val="9"/>
    <w:unhideWhenUsed/>
    <w:qFormat/>
    <w:rsid w:val="00DB19F5"/>
    <w:pPr>
      <w:keepNext/>
      <w:keepLines/>
      <w:tabs>
        <w:tab w:val="right" w:pos="14601"/>
      </w:tabs>
      <w:spacing w:before="320" w:after="200"/>
      <w:outlineLvl w:val="4"/>
    </w:pPr>
    <w:rPr>
      <w:rFonts w:eastAsia="Arial"/>
      <w:b/>
      <w:bCs/>
      <w:color w:val="000000"/>
      <w:sz w:val="16"/>
      <w:szCs w:val="24"/>
    </w:rPr>
  </w:style>
  <w:style w:type="paragraph" w:styleId="Titre6">
    <w:name w:val="heading 6"/>
    <w:basedOn w:val="Normal"/>
    <w:next w:val="Normal"/>
    <w:link w:val="Titre6Car"/>
    <w:uiPriority w:val="9"/>
    <w:unhideWhenUsed/>
    <w:qFormat/>
    <w:rsid w:val="00DB19F5"/>
    <w:pPr>
      <w:keepNext/>
      <w:keepLines/>
      <w:tabs>
        <w:tab w:val="right" w:pos="14601"/>
      </w:tabs>
      <w:spacing w:before="320" w:after="200"/>
      <w:outlineLvl w:val="5"/>
    </w:pPr>
    <w:rPr>
      <w:rFonts w:eastAsia="Arial"/>
      <w:b/>
      <w:bCs/>
      <w:color w:val="000000"/>
      <w:szCs w:val="20"/>
    </w:rPr>
  </w:style>
  <w:style w:type="paragraph" w:styleId="Titre7">
    <w:name w:val="heading 7"/>
    <w:basedOn w:val="Normal"/>
    <w:next w:val="Normal"/>
    <w:link w:val="Titre7Car"/>
    <w:uiPriority w:val="9"/>
    <w:unhideWhenUsed/>
    <w:qFormat/>
    <w:rsid w:val="00DB19F5"/>
    <w:pPr>
      <w:keepNext/>
      <w:keepLines/>
      <w:tabs>
        <w:tab w:val="right" w:pos="14601"/>
      </w:tabs>
      <w:spacing w:before="320" w:after="200"/>
      <w:outlineLvl w:val="6"/>
    </w:pPr>
    <w:rPr>
      <w:rFonts w:eastAsia="Arial"/>
      <w:b/>
      <w:bCs/>
      <w:i/>
      <w:iCs/>
      <w:color w:val="000000"/>
      <w:szCs w:val="20"/>
    </w:rPr>
  </w:style>
  <w:style w:type="paragraph" w:styleId="Titre8">
    <w:name w:val="heading 8"/>
    <w:basedOn w:val="Normal"/>
    <w:next w:val="Normal"/>
    <w:link w:val="Titre8Car"/>
    <w:uiPriority w:val="9"/>
    <w:unhideWhenUsed/>
    <w:qFormat/>
    <w:rsid w:val="00DB19F5"/>
    <w:pPr>
      <w:keepNext/>
      <w:keepLines/>
      <w:tabs>
        <w:tab w:val="right" w:pos="14601"/>
      </w:tabs>
      <w:spacing w:before="320" w:after="200"/>
      <w:outlineLvl w:val="7"/>
    </w:pPr>
    <w:rPr>
      <w:rFonts w:eastAsia="Arial"/>
      <w:i/>
      <w:iCs/>
      <w:color w:val="000000"/>
      <w:szCs w:val="20"/>
    </w:rPr>
  </w:style>
  <w:style w:type="paragraph" w:styleId="Titre9">
    <w:name w:val="heading 9"/>
    <w:basedOn w:val="Normal"/>
    <w:next w:val="Normal"/>
    <w:link w:val="Titre9Car"/>
    <w:uiPriority w:val="9"/>
    <w:unhideWhenUsed/>
    <w:qFormat/>
    <w:rsid w:val="00DB19F5"/>
    <w:pPr>
      <w:keepNext/>
      <w:keepLines/>
      <w:tabs>
        <w:tab w:val="right" w:pos="14601"/>
      </w:tabs>
      <w:spacing w:before="320" w:after="200"/>
      <w:outlineLvl w:val="8"/>
    </w:pPr>
    <w:rPr>
      <w:rFonts w:eastAsia="Arial"/>
      <w:i/>
      <w:iCs/>
      <w:color w:val="000000"/>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B19F5"/>
    <w:rPr>
      <w:rFonts w:ascii="Calibri" w:eastAsia="Times New Roman" w:hAnsi="Calibri" w:cs="Calibri"/>
      <w:color w:val="000000"/>
      <w:sz w:val="28"/>
      <w:lang w:eastAsia="fr-FR"/>
    </w:rPr>
  </w:style>
  <w:style w:type="character" w:customStyle="1" w:styleId="Titre2Car">
    <w:name w:val="Titre 2 Car"/>
    <w:basedOn w:val="Policepardfaut"/>
    <w:link w:val="Titre2"/>
    <w:uiPriority w:val="9"/>
    <w:rsid w:val="00DB19F5"/>
    <w:rPr>
      <w:rFonts w:ascii="Calibri" w:eastAsia="Times New Roman" w:hAnsi="Calibri" w:cs="Calibri"/>
      <w:color w:val="000000"/>
      <w:sz w:val="28"/>
      <w:lang w:eastAsia="fr-FR"/>
    </w:rPr>
  </w:style>
  <w:style w:type="character" w:customStyle="1" w:styleId="Titre3Car">
    <w:name w:val="Titre 3 Car"/>
    <w:basedOn w:val="Policepardfaut"/>
    <w:link w:val="Titre3"/>
    <w:uiPriority w:val="9"/>
    <w:rsid w:val="00DB19F5"/>
    <w:rPr>
      <w:rFonts w:ascii="Times New Roman" w:eastAsia="Times New Roman" w:hAnsi="Times New Roman" w:cs="Times New Roman"/>
      <w:color w:val="000000"/>
      <w:sz w:val="26"/>
      <w:lang w:eastAsia="fr-FR"/>
    </w:rPr>
  </w:style>
  <w:style w:type="character" w:customStyle="1" w:styleId="Titre4Car">
    <w:name w:val="Titre 4 Car"/>
    <w:basedOn w:val="Policepardfaut"/>
    <w:link w:val="Titre4"/>
    <w:uiPriority w:val="9"/>
    <w:rsid w:val="00DB19F5"/>
    <w:rPr>
      <w:rFonts w:ascii="Arial" w:eastAsia="Arial" w:hAnsi="Arial" w:cs="Arial"/>
      <w:b/>
      <w:bCs/>
      <w:color w:val="000000"/>
      <w:sz w:val="26"/>
      <w:szCs w:val="26"/>
      <w:lang w:eastAsia="fr-FR"/>
    </w:rPr>
  </w:style>
  <w:style w:type="character" w:customStyle="1" w:styleId="Titre5Car">
    <w:name w:val="Titre 5 Car"/>
    <w:basedOn w:val="Policepardfaut"/>
    <w:link w:val="Titre5"/>
    <w:uiPriority w:val="9"/>
    <w:rsid w:val="00DB19F5"/>
    <w:rPr>
      <w:rFonts w:ascii="Arial" w:eastAsia="Arial" w:hAnsi="Arial" w:cs="Arial"/>
      <w:b/>
      <w:bCs/>
      <w:color w:val="000000"/>
      <w:sz w:val="16"/>
      <w:szCs w:val="24"/>
      <w:lang w:eastAsia="fr-FR"/>
    </w:rPr>
  </w:style>
  <w:style w:type="character" w:customStyle="1" w:styleId="Titre6Car">
    <w:name w:val="Titre 6 Car"/>
    <w:basedOn w:val="Policepardfaut"/>
    <w:link w:val="Titre6"/>
    <w:uiPriority w:val="9"/>
    <w:rsid w:val="00DB19F5"/>
    <w:rPr>
      <w:rFonts w:ascii="Arial" w:eastAsia="Arial" w:hAnsi="Arial" w:cs="Arial"/>
      <w:b/>
      <w:bCs/>
      <w:color w:val="000000"/>
      <w:szCs w:val="20"/>
      <w:lang w:eastAsia="fr-FR"/>
    </w:rPr>
  </w:style>
  <w:style w:type="character" w:customStyle="1" w:styleId="Titre7Car">
    <w:name w:val="Titre 7 Car"/>
    <w:basedOn w:val="Policepardfaut"/>
    <w:link w:val="Titre7"/>
    <w:uiPriority w:val="9"/>
    <w:rsid w:val="00DB19F5"/>
    <w:rPr>
      <w:rFonts w:ascii="Arial" w:eastAsia="Arial" w:hAnsi="Arial" w:cs="Arial"/>
      <w:b/>
      <w:bCs/>
      <w:i/>
      <w:iCs/>
      <w:color w:val="000000"/>
      <w:szCs w:val="20"/>
      <w:lang w:eastAsia="fr-FR"/>
    </w:rPr>
  </w:style>
  <w:style w:type="character" w:customStyle="1" w:styleId="Titre8Car">
    <w:name w:val="Titre 8 Car"/>
    <w:basedOn w:val="Policepardfaut"/>
    <w:link w:val="Titre8"/>
    <w:uiPriority w:val="9"/>
    <w:rsid w:val="00DB19F5"/>
    <w:rPr>
      <w:rFonts w:ascii="Arial" w:eastAsia="Arial" w:hAnsi="Arial" w:cs="Arial"/>
      <w:i/>
      <w:iCs/>
      <w:color w:val="000000"/>
      <w:szCs w:val="20"/>
      <w:lang w:eastAsia="fr-FR"/>
    </w:rPr>
  </w:style>
  <w:style w:type="character" w:customStyle="1" w:styleId="Titre9Car">
    <w:name w:val="Titre 9 Car"/>
    <w:basedOn w:val="Policepardfaut"/>
    <w:link w:val="Titre9"/>
    <w:uiPriority w:val="9"/>
    <w:rsid w:val="00DB19F5"/>
    <w:rPr>
      <w:rFonts w:ascii="Arial" w:eastAsia="Arial" w:hAnsi="Arial" w:cs="Arial"/>
      <w:i/>
      <w:iCs/>
      <w:color w:val="000000"/>
      <w:sz w:val="21"/>
      <w:szCs w:val="21"/>
      <w:lang w:eastAsia="fr-FR"/>
    </w:rPr>
  </w:style>
  <w:style w:type="numbering" w:customStyle="1" w:styleId="Aucuneliste1">
    <w:name w:val="Aucune liste1"/>
    <w:next w:val="Aucuneliste"/>
    <w:uiPriority w:val="99"/>
    <w:semiHidden/>
    <w:unhideWhenUsed/>
    <w:rsid w:val="00DB19F5"/>
  </w:style>
  <w:style w:type="character" w:customStyle="1" w:styleId="Heading4Char">
    <w:name w:val="Heading 4 Char"/>
    <w:uiPriority w:val="9"/>
    <w:rsid w:val="00DB19F5"/>
    <w:rPr>
      <w:rFonts w:ascii="Arial" w:eastAsia="Arial" w:hAnsi="Arial" w:cs="Arial"/>
      <w:b/>
      <w:bCs/>
      <w:sz w:val="26"/>
      <w:szCs w:val="26"/>
    </w:rPr>
  </w:style>
  <w:style w:type="character" w:customStyle="1" w:styleId="Heading5Char">
    <w:name w:val="Heading 5 Char"/>
    <w:uiPriority w:val="9"/>
    <w:rsid w:val="00DB19F5"/>
    <w:rPr>
      <w:rFonts w:ascii="Arial" w:eastAsia="Arial" w:hAnsi="Arial" w:cs="Arial"/>
      <w:b/>
      <w:bCs/>
      <w:sz w:val="24"/>
      <w:szCs w:val="24"/>
    </w:rPr>
  </w:style>
  <w:style w:type="character" w:customStyle="1" w:styleId="Heading6Char">
    <w:name w:val="Heading 6 Char"/>
    <w:uiPriority w:val="9"/>
    <w:rsid w:val="00DB19F5"/>
    <w:rPr>
      <w:rFonts w:ascii="Arial" w:eastAsia="Arial" w:hAnsi="Arial" w:cs="Arial"/>
      <w:b/>
      <w:bCs/>
      <w:sz w:val="22"/>
      <w:szCs w:val="22"/>
    </w:rPr>
  </w:style>
  <w:style w:type="character" w:customStyle="1" w:styleId="Heading7Char">
    <w:name w:val="Heading 7 Char"/>
    <w:uiPriority w:val="9"/>
    <w:rsid w:val="00DB19F5"/>
    <w:rPr>
      <w:rFonts w:ascii="Arial" w:eastAsia="Arial" w:hAnsi="Arial" w:cs="Arial"/>
      <w:b/>
      <w:bCs/>
      <w:i/>
      <w:iCs/>
      <w:sz w:val="22"/>
      <w:szCs w:val="22"/>
    </w:rPr>
  </w:style>
  <w:style w:type="character" w:customStyle="1" w:styleId="Heading8Char">
    <w:name w:val="Heading 8 Char"/>
    <w:uiPriority w:val="9"/>
    <w:rsid w:val="00DB19F5"/>
    <w:rPr>
      <w:rFonts w:ascii="Arial" w:eastAsia="Arial" w:hAnsi="Arial" w:cs="Arial"/>
      <w:i/>
      <w:iCs/>
      <w:sz w:val="22"/>
      <w:szCs w:val="22"/>
    </w:rPr>
  </w:style>
  <w:style w:type="character" w:customStyle="1" w:styleId="Heading9Char">
    <w:name w:val="Heading 9 Char"/>
    <w:uiPriority w:val="9"/>
    <w:rsid w:val="00DB19F5"/>
    <w:rPr>
      <w:rFonts w:ascii="Arial" w:eastAsia="Arial" w:hAnsi="Arial" w:cs="Arial"/>
      <w:i/>
      <w:iCs/>
      <w:sz w:val="21"/>
      <w:szCs w:val="21"/>
    </w:rPr>
  </w:style>
  <w:style w:type="character" w:customStyle="1" w:styleId="TitleChar">
    <w:name w:val="Title Char"/>
    <w:uiPriority w:val="10"/>
    <w:rsid w:val="00DB19F5"/>
    <w:rPr>
      <w:sz w:val="48"/>
      <w:szCs w:val="48"/>
    </w:rPr>
  </w:style>
  <w:style w:type="character" w:customStyle="1" w:styleId="SubtitleChar">
    <w:name w:val="Subtitle Char"/>
    <w:uiPriority w:val="11"/>
    <w:rsid w:val="00DB19F5"/>
    <w:rPr>
      <w:sz w:val="24"/>
      <w:szCs w:val="24"/>
    </w:rPr>
  </w:style>
  <w:style w:type="character" w:customStyle="1" w:styleId="QuoteChar">
    <w:name w:val="Quote Char"/>
    <w:uiPriority w:val="29"/>
    <w:rsid w:val="00DB19F5"/>
    <w:rPr>
      <w:i/>
    </w:rPr>
  </w:style>
  <w:style w:type="character" w:customStyle="1" w:styleId="IntenseQuoteChar">
    <w:name w:val="Intense Quote Char"/>
    <w:uiPriority w:val="30"/>
    <w:rsid w:val="00DB19F5"/>
    <w:rPr>
      <w:i/>
    </w:rPr>
  </w:style>
  <w:style w:type="character" w:customStyle="1" w:styleId="FootnoteTextChar">
    <w:name w:val="Footnote Text Char"/>
    <w:uiPriority w:val="99"/>
    <w:rsid w:val="00DB19F5"/>
    <w:rPr>
      <w:sz w:val="18"/>
    </w:rPr>
  </w:style>
  <w:style w:type="character" w:customStyle="1" w:styleId="EndnoteTextChar">
    <w:name w:val="Endnote Text Char"/>
    <w:uiPriority w:val="99"/>
    <w:rsid w:val="00DB19F5"/>
    <w:rPr>
      <w:sz w:val="20"/>
    </w:rPr>
  </w:style>
  <w:style w:type="character" w:customStyle="1" w:styleId="Heading1Char">
    <w:name w:val="Heading 1 Char"/>
    <w:uiPriority w:val="9"/>
    <w:rsid w:val="00DB19F5"/>
    <w:rPr>
      <w:rFonts w:ascii="Arial" w:eastAsia="Arial" w:hAnsi="Arial" w:cs="Arial"/>
      <w:sz w:val="40"/>
      <w:szCs w:val="40"/>
    </w:rPr>
  </w:style>
  <w:style w:type="character" w:customStyle="1" w:styleId="Heading2Char">
    <w:name w:val="Heading 2 Char"/>
    <w:uiPriority w:val="9"/>
    <w:rsid w:val="00DB19F5"/>
    <w:rPr>
      <w:rFonts w:ascii="Arial" w:eastAsia="Arial" w:hAnsi="Arial" w:cs="Arial"/>
      <w:sz w:val="34"/>
    </w:rPr>
  </w:style>
  <w:style w:type="character" w:customStyle="1" w:styleId="Heading3Char">
    <w:name w:val="Heading 3 Char"/>
    <w:uiPriority w:val="9"/>
    <w:rsid w:val="00DB19F5"/>
    <w:rPr>
      <w:rFonts w:ascii="Arial" w:eastAsia="Arial" w:hAnsi="Arial" w:cs="Arial"/>
      <w:sz w:val="30"/>
      <w:szCs w:val="30"/>
    </w:rPr>
  </w:style>
  <w:style w:type="paragraph" w:styleId="Sansinterligne">
    <w:name w:val="No Spacing"/>
    <w:uiPriority w:val="1"/>
    <w:qFormat/>
    <w:rsid w:val="00DB19F5"/>
    <w:pPr>
      <w:spacing w:after="0" w:line="240" w:lineRule="auto"/>
    </w:pPr>
    <w:rPr>
      <w:rFonts w:ascii="Calibri" w:eastAsia="Arial" w:hAnsi="Calibri" w:cs="Times New Roman"/>
      <w:lang w:eastAsia="fr-FR"/>
    </w:rPr>
  </w:style>
  <w:style w:type="paragraph" w:styleId="Titre">
    <w:name w:val="Title"/>
    <w:basedOn w:val="Normal"/>
    <w:next w:val="Normal"/>
    <w:link w:val="TitreCar"/>
    <w:uiPriority w:val="10"/>
    <w:qFormat/>
    <w:rsid w:val="00DB19F5"/>
    <w:pPr>
      <w:tabs>
        <w:tab w:val="right" w:pos="14601"/>
      </w:tabs>
      <w:spacing w:before="300" w:after="200"/>
      <w:contextualSpacing/>
    </w:pPr>
    <w:rPr>
      <w:rFonts w:eastAsia="Times New Roman"/>
      <w:color w:val="000000"/>
      <w:sz w:val="48"/>
      <w:szCs w:val="48"/>
    </w:rPr>
  </w:style>
  <w:style w:type="character" w:customStyle="1" w:styleId="TitreCar">
    <w:name w:val="Titre Car"/>
    <w:basedOn w:val="Policepardfaut"/>
    <w:link w:val="Titre"/>
    <w:uiPriority w:val="10"/>
    <w:rsid w:val="00DB19F5"/>
    <w:rPr>
      <w:rFonts w:ascii="Arial" w:eastAsia="Times New Roman" w:hAnsi="Arial" w:cs="Arial"/>
      <w:color w:val="000000"/>
      <w:sz w:val="48"/>
      <w:szCs w:val="48"/>
      <w:lang w:eastAsia="fr-FR"/>
    </w:rPr>
  </w:style>
  <w:style w:type="paragraph" w:styleId="Sous-titre">
    <w:name w:val="Subtitle"/>
    <w:basedOn w:val="Normal"/>
    <w:next w:val="Normal"/>
    <w:link w:val="Sous-titreCar"/>
    <w:uiPriority w:val="11"/>
    <w:qFormat/>
    <w:rsid w:val="00DB19F5"/>
    <w:pPr>
      <w:tabs>
        <w:tab w:val="right" w:pos="14601"/>
      </w:tabs>
      <w:spacing w:before="200" w:after="200"/>
    </w:pPr>
    <w:rPr>
      <w:rFonts w:eastAsia="Times New Roman"/>
      <w:color w:val="000000"/>
      <w:sz w:val="16"/>
      <w:szCs w:val="24"/>
    </w:rPr>
  </w:style>
  <w:style w:type="character" w:customStyle="1" w:styleId="Sous-titreCar">
    <w:name w:val="Sous-titre Car"/>
    <w:basedOn w:val="Policepardfaut"/>
    <w:link w:val="Sous-titre"/>
    <w:uiPriority w:val="11"/>
    <w:rsid w:val="00DB19F5"/>
    <w:rPr>
      <w:rFonts w:ascii="Arial" w:eastAsia="Times New Roman" w:hAnsi="Arial" w:cs="Arial"/>
      <w:color w:val="000000"/>
      <w:sz w:val="16"/>
      <w:szCs w:val="24"/>
      <w:lang w:eastAsia="fr-FR"/>
    </w:rPr>
  </w:style>
  <w:style w:type="paragraph" w:styleId="Citation">
    <w:name w:val="Quote"/>
    <w:basedOn w:val="Normal"/>
    <w:next w:val="Normal"/>
    <w:link w:val="CitationCar"/>
    <w:uiPriority w:val="29"/>
    <w:qFormat/>
    <w:rsid w:val="00DB19F5"/>
    <w:pPr>
      <w:tabs>
        <w:tab w:val="right" w:pos="14601"/>
      </w:tabs>
      <w:spacing w:after="0"/>
      <w:ind w:left="720" w:right="720"/>
    </w:pPr>
    <w:rPr>
      <w:rFonts w:eastAsia="Times New Roman"/>
      <w:i/>
      <w:color w:val="000000"/>
      <w:sz w:val="16"/>
      <w:szCs w:val="20"/>
    </w:rPr>
  </w:style>
  <w:style w:type="character" w:customStyle="1" w:styleId="CitationCar">
    <w:name w:val="Citation Car"/>
    <w:basedOn w:val="Policepardfaut"/>
    <w:link w:val="Citation"/>
    <w:uiPriority w:val="29"/>
    <w:rsid w:val="00DB19F5"/>
    <w:rPr>
      <w:rFonts w:ascii="Arial" w:eastAsia="Times New Roman" w:hAnsi="Arial" w:cs="Arial"/>
      <w:i/>
      <w:color w:val="000000"/>
      <w:sz w:val="16"/>
      <w:szCs w:val="20"/>
      <w:lang w:eastAsia="fr-FR"/>
    </w:rPr>
  </w:style>
  <w:style w:type="paragraph" w:styleId="Citationintense">
    <w:name w:val="Intense Quote"/>
    <w:basedOn w:val="Normal"/>
    <w:next w:val="Normal"/>
    <w:link w:val="CitationintenseCar"/>
    <w:uiPriority w:val="30"/>
    <w:qFormat/>
    <w:rsid w:val="00DB19F5"/>
    <w:pPr>
      <w:pBdr>
        <w:top w:val="single" w:sz="4" w:space="5" w:color="FFFFFF"/>
        <w:left w:val="single" w:sz="4" w:space="10" w:color="FFFFFF"/>
        <w:bottom w:val="single" w:sz="4" w:space="5" w:color="FFFFFF"/>
        <w:right w:val="single" w:sz="4" w:space="10" w:color="FFFFFF"/>
      </w:pBdr>
      <w:shd w:val="clear" w:color="auto" w:fill="F2F2F2"/>
      <w:tabs>
        <w:tab w:val="right" w:pos="14601"/>
      </w:tabs>
      <w:spacing w:after="0"/>
      <w:ind w:left="720" w:right="720"/>
    </w:pPr>
    <w:rPr>
      <w:rFonts w:eastAsia="Times New Roman"/>
      <w:i/>
      <w:color w:val="000000"/>
      <w:sz w:val="16"/>
      <w:szCs w:val="20"/>
    </w:rPr>
  </w:style>
  <w:style w:type="character" w:customStyle="1" w:styleId="CitationintenseCar">
    <w:name w:val="Citation intense Car"/>
    <w:basedOn w:val="Policepardfaut"/>
    <w:link w:val="Citationintense"/>
    <w:uiPriority w:val="30"/>
    <w:rsid w:val="00DB19F5"/>
    <w:rPr>
      <w:rFonts w:ascii="Arial" w:eastAsia="Times New Roman" w:hAnsi="Arial" w:cs="Arial"/>
      <w:i/>
      <w:color w:val="000000"/>
      <w:sz w:val="16"/>
      <w:szCs w:val="20"/>
      <w:shd w:val="clear" w:color="auto" w:fill="F2F2F2"/>
      <w:lang w:eastAsia="fr-FR"/>
    </w:rPr>
  </w:style>
  <w:style w:type="character" w:customStyle="1" w:styleId="HeaderChar">
    <w:name w:val="Header Char"/>
    <w:basedOn w:val="Policepardfaut"/>
    <w:uiPriority w:val="99"/>
    <w:rsid w:val="00DB19F5"/>
  </w:style>
  <w:style w:type="character" w:customStyle="1" w:styleId="FooterChar">
    <w:name w:val="Footer Char"/>
    <w:basedOn w:val="Policepardfaut"/>
    <w:uiPriority w:val="99"/>
    <w:rsid w:val="00DB19F5"/>
  </w:style>
  <w:style w:type="paragraph" w:styleId="Lgende">
    <w:name w:val="caption"/>
    <w:basedOn w:val="Normal"/>
    <w:next w:val="Normal"/>
    <w:uiPriority w:val="35"/>
    <w:semiHidden/>
    <w:unhideWhenUsed/>
    <w:qFormat/>
    <w:rsid w:val="00DB19F5"/>
    <w:pPr>
      <w:tabs>
        <w:tab w:val="right" w:pos="14601"/>
      </w:tabs>
      <w:spacing w:after="0" w:line="276" w:lineRule="auto"/>
    </w:pPr>
    <w:rPr>
      <w:rFonts w:eastAsia="Times New Roman"/>
      <w:b/>
      <w:bCs/>
      <w:color w:val="5B9BD5"/>
      <w:sz w:val="18"/>
      <w:szCs w:val="18"/>
    </w:rPr>
  </w:style>
  <w:style w:type="character" w:customStyle="1" w:styleId="CaptionChar">
    <w:name w:val="Caption Char"/>
    <w:uiPriority w:val="99"/>
    <w:rsid w:val="00DB19F5"/>
  </w:style>
  <w:style w:type="table" w:styleId="Grilledutableau">
    <w:name w:val="Table Grid"/>
    <w:basedOn w:val="TableauNormal"/>
    <w:uiPriority w:val="59"/>
    <w:rsid w:val="00DB19F5"/>
    <w:pPr>
      <w:spacing w:after="0" w:line="240" w:lineRule="auto"/>
    </w:pPr>
    <w:rPr>
      <w:rFonts w:ascii="Calibri" w:eastAsia="Arial" w:hAnsi="Calibri"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etableauclaire1">
    <w:name w:val="Grille de tableau claire1"/>
    <w:basedOn w:val="TableauNormal"/>
    <w:uiPriority w:val="59"/>
    <w:rsid w:val="00DB19F5"/>
    <w:pPr>
      <w:spacing w:after="0" w:line="240" w:lineRule="auto"/>
    </w:pPr>
    <w:rPr>
      <w:rFonts w:ascii="Calibri" w:eastAsia="Arial" w:hAnsi="Calibri" w:cs="Times New Roman"/>
      <w:sz w:val="20"/>
      <w:szCs w:val="20"/>
      <w:lang w:eastAsia="fr-FR"/>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style>
  <w:style w:type="table" w:styleId="Tableausimple1">
    <w:name w:val="Plain Table 1"/>
    <w:basedOn w:val="TableauNormal"/>
    <w:uiPriority w:val="59"/>
    <w:rsid w:val="00DB19F5"/>
    <w:pPr>
      <w:spacing w:after="0" w:line="240" w:lineRule="auto"/>
    </w:pPr>
    <w:rPr>
      <w:rFonts w:ascii="Calibri" w:eastAsia="Arial" w:hAnsi="Calibri" w:cs="Times New Roman"/>
      <w:sz w:val="20"/>
      <w:szCs w:val="20"/>
      <w:lang w:eastAsia="fr-FR"/>
    </w:rPr>
    <w:tblPr>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fill="F2F2F2"/>
      </w:tcPr>
    </w:tblStylePr>
    <w:tblStylePr w:type="band1Horz">
      <w:tblPr/>
      <w:tcPr>
        <w:shd w:val="clear" w:color="F2F2F2" w:fill="F2F2F2"/>
      </w:tcPr>
    </w:tblStylePr>
  </w:style>
  <w:style w:type="table" w:styleId="Tableausimple2">
    <w:name w:val="Plain Table 2"/>
    <w:basedOn w:val="TableauNormal"/>
    <w:uiPriority w:val="59"/>
    <w:rsid w:val="00DB19F5"/>
    <w:pPr>
      <w:spacing w:after="0" w:line="240" w:lineRule="auto"/>
    </w:pPr>
    <w:rPr>
      <w:rFonts w:ascii="Calibri" w:eastAsia="Arial" w:hAnsi="Calibri" w:cs="Times New Roman"/>
      <w:sz w:val="20"/>
      <w:szCs w:val="20"/>
      <w:lang w:eastAsia="fr-FR"/>
    </w:rPr>
    <w:tblPr>
      <w:tblBorders>
        <w:top w:val="single" w:sz="4" w:space="0" w:color="000000"/>
        <w:left w:val="none" w:sz="4" w:space="0" w:color="000000"/>
        <w:bottom w:val="single" w:sz="4" w:space="0" w:color="000000"/>
        <w:right w:val="none" w:sz="4" w:space="0" w:color="000000"/>
      </w:tblBorders>
    </w:tblPr>
    <w:tblStylePr w:type="firstRow">
      <w:rPr>
        <w:rFonts w:ascii="Arial" w:hAnsi="Arial"/>
        <w:b/>
        <w:color w:val="404040"/>
        <w:sz w:val="22"/>
      </w:rPr>
      <w:tblPr/>
      <w:tcPr>
        <w:tcBorders>
          <w:top w:val="single" w:sz="4" w:space="0" w:color="000000"/>
          <w:bottom w:val="single" w:sz="4" w:space="0" w:color="00000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right w:val="single" w:sz="4" w:space="0" w:color="000000"/>
        </w:tcBorders>
      </w:tcPr>
    </w:tblStylePr>
    <w:tblStylePr w:type="band2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tcBorders>
      </w:tcPr>
    </w:tblStylePr>
  </w:style>
  <w:style w:type="table" w:styleId="Tableausimple3">
    <w:name w:val="Plain Table 3"/>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Tableausimple4">
    <w:name w:val="Plain Table 4"/>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Tableausimple5">
    <w:name w:val="Plain Table 5"/>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fill="F2F2F2"/>
      </w:tcPr>
    </w:tblStylePr>
    <w:tblStylePr w:type="band1Horz">
      <w:rPr>
        <w:rFonts w:ascii="Arial" w:hAnsi="Arial"/>
        <w:color w:val="404040"/>
        <w:sz w:val="22"/>
      </w:rPr>
      <w:tblPr/>
      <w:tcPr>
        <w:shd w:val="clear" w:color="F2F2F2" w:fill="F2F2F2"/>
      </w:tcPr>
    </w:tblStylePr>
  </w:style>
  <w:style w:type="table" w:styleId="TableauGrille1Clair">
    <w:name w:val="Grid Table 1 Light"/>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Pr>
    <w:tblStylePr w:type="firstRow">
      <w:rPr>
        <w:b/>
        <w:color w:val="404040"/>
      </w:rPr>
      <w:tblPr/>
      <w:tcPr>
        <w:tcBorders>
          <w:bottom w:val="single" w:sz="12" w:space="0" w:color="6A6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left w:val="single" w:sz="4" w:space="0" w:color="989898"/>
          <w:bottom w:val="single" w:sz="4" w:space="0" w:color="989898"/>
          <w:right w:val="single" w:sz="4" w:space="0" w:color="989898"/>
        </w:tcBorders>
      </w:tcPr>
    </w:tblStylePr>
  </w:style>
  <w:style w:type="table" w:customStyle="1" w:styleId="TableauGrille1Clair-Accentuation11">
    <w:name w:val="Tableau Grille 1 Clair - Accentuation 1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b/>
        <w:color w:val="404040"/>
      </w:rPr>
      <w:tblPr/>
      <w:tcPr>
        <w:tcBorders>
          <w:bottom w:val="single" w:sz="12" w:space="0" w:color="9EC4E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TableauGrille1Clair-Accentuation21">
    <w:name w:val="Tableau Grille 1 Clair - Accentuation 2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b/>
        <w:color w:val="404040"/>
      </w:rPr>
      <w:tblPr/>
      <w:tcPr>
        <w:tcBorders>
          <w:bottom w:val="single" w:sz="12" w:space="0" w:color="F4B286"/>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TableauGrille1Clair-Accentuation31">
    <w:name w:val="Tableau Grille 1 Clair - Accentuation 3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b/>
        <w:color w:val="404040"/>
      </w:rPr>
      <w:tblPr/>
      <w:tcPr>
        <w:tcBorders>
          <w:bottom w:val="single" w:sz="12" w:space="0" w:color="CACAC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TableauGrille1Clair-Accentuation41">
    <w:name w:val="Tableau Grille 1 Clair - Accentuation 4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b/>
        <w:color w:val="404040"/>
      </w:rPr>
      <w:tblPr/>
      <w:tcPr>
        <w:tcBorders>
          <w:bottom w:val="single" w:sz="12" w:space="0" w:color="FFDA6A"/>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TableauGrille1Clair-Accentuation51">
    <w:name w:val="Tableau Grille 1 Clair - Accentuation 5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b/>
        <w:color w:val="404040"/>
      </w:rPr>
      <w:tblPr/>
      <w:tcPr>
        <w:tcBorders>
          <w:bottom w:val="single" w:sz="12" w:space="0" w:color="91ACDC"/>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TableauGrille1Clair-Accentuation61">
    <w:name w:val="Tableau Grille 1 Clair - Accentuation 6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b/>
        <w:color w:val="404040"/>
      </w:rPr>
      <w:tblPr/>
      <w:tcPr>
        <w:tcBorders>
          <w:bottom w:val="single" w:sz="12" w:space="0" w:color="AAD19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table" w:styleId="TableauGrille2">
    <w:name w:val="Grid Table 2"/>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single" w:sz="12" w:space="0" w:color="6A6A6A"/>
          <w:right w:val="none" w:sz="4" w:space="0" w:color="000000"/>
        </w:tcBorders>
        <w:shd w:val="clear" w:color="FFFFFF" w:fill="auto"/>
      </w:tcPr>
    </w:tblStylePr>
    <w:tblStylePr w:type="lastRow">
      <w:rPr>
        <w:b/>
        <w:color w:val="404040"/>
      </w:rPr>
      <w:tblPr/>
      <w:tcPr>
        <w:tcBorders>
          <w:top w:val="single" w:sz="4" w:space="0" w:color="6A6A6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TableauGrille2-Accentuation11">
    <w:name w:val="Tableau Grille 2 - Accentuation 1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single" w:sz="12" w:space="0" w:color="68A2D8"/>
          <w:right w:val="none" w:sz="4" w:space="0" w:color="000000"/>
        </w:tcBorders>
        <w:shd w:val="clear" w:color="FFFFFF" w:fill="auto"/>
      </w:tcPr>
    </w:tblStylePr>
    <w:tblStylePr w:type="lastRow">
      <w:rPr>
        <w:b/>
        <w:color w:val="404040"/>
      </w:rPr>
      <w:tblPr/>
      <w:tcPr>
        <w:tcBorders>
          <w:top w:val="single" w:sz="4" w:space="0" w:color="68A2D8"/>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TableauGrille2-Accentuation21">
    <w:name w:val="Tableau Grille 2 - Accentuation 2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single" w:sz="12" w:space="0" w:color="F4B184"/>
          <w:right w:val="none" w:sz="4" w:space="0" w:color="000000"/>
        </w:tcBorders>
        <w:shd w:val="clear" w:color="FFFFFF" w:fill="auto"/>
      </w:tcPr>
    </w:tblStylePr>
    <w:tblStylePr w:type="lastRow">
      <w:rPr>
        <w:b/>
        <w:color w:val="404040"/>
      </w:rPr>
      <w:tblPr/>
      <w:tcPr>
        <w:tcBorders>
          <w:top w:val="single" w:sz="4" w:space="0" w:color="F4B18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TableauGrille2-Accentuation31">
    <w:name w:val="Tableau Grille 2 - Accentuation 3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single" w:sz="12" w:space="0" w:color="A5A5A5"/>
          <w:right w:val="none" w:sz="4" w:space="0" w:color="000000"/>
        </w:tcBorders>
        <w:shd w:val="clear" w:color="FFFFFF" w:fill="auto"/>
      </w:tcPr>
    </w:tblStylePr>
    <w:tblStylePr w:type="lastRow">
      <w:rPr>
        <w:b/>
        <w:color w:val="404040"/>
      </w:rPr>
      <w:tblPr/>
      <w:tcPr>
        <w:tcBorders>
          <w:top w:val="single" w:sz="4" w:space="0" w:color="A5A5A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TableauGrille2-Accentuation41">
    <w:name w:val="Tableau Grille 2 - Accentuation 4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single" w:sz="12" w:space="0" w:color="FFD865"/>
          <w:right w:val="none" w:sz="4" w:space="0" w:color="000000"/>
        </w:tcBorders>
        <w:shd w:val="clear" w:color="FFFFFF" w:fill="auto"/>
      </w:tcPr>
    </w:tblStylePr>
    <w:tblStylePr w:type="lastRow">
      <w:rPr>
        <w:b/>
        <w:color w:val="404040"/>
      </w:rPr>
      <w:tblPr/>
      <w:tcPr>
        <w:tcBorders>
          <w:top w:val="single" w:sz="4" w:space="0" w:color="FFD86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TableauGrille2-Accentuation51">
    <w:name w:val="Tableau Grille 2 - Accentuation 5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single" w:sz="12" w:space="0" w:color="4472C4"/>
          <w:right w:val="none" w:sz="4" w:space="0" w:color="000000"/>
        </w:tcBorders>
        <w:shd w:val="clear" w:color="FFFFFF" w:fill="auto"/>
      </w:tcPr>
    </w:tblStylePr>
    <w:tblStylePr w:type="lastRow">
      <w:rPr>
        <w:b/>
        <w:color w:val="404040"/>
      </w:rPr>
      <w:tblPr/>
      <w:tcPr>
        <w:tcBorders>
          <w:top w:val="single" w:sz="4" w:space="0" w:color="4472C4"/>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TableauGrille2-Accentuation61">
    <w:name w:val="Tableau Grille 2 - Accentuation 6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single" w:sz="12" w:space="0" w:color="70AD47"/>
          <w:right w:val="none" w:sz="4" w:space="0" w:color="000000"/>
        </w:tcBorders>
        <w:shd w:val="clear" w:color="FFFFFF" w:fill="auto"/>
      </w:tcPr>
    </w:tblStylePr>
    <w:tblStylePr w:type="lastRow">
      <w:rPr>
        <w:b/>
        <w:color w:val="404040"/>
      </w:rPr>
      <w:tblPr/>
      <w:tcPr>
        <w:tcBorders>
          <w:top w:val="single" w:sz="4" w:space="0" w:color="70AD4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styleId="TableauGrille3">
    <w:name w:val="Grid Table 3"/>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bottom w:val="single" w:sz="4" w:space="0" w:color="6A6A6A"/>
        <w:insideH w:val="single" w:sz="4" w:space="0" w:color="6A6A6A"/>
        <w:insideV w:val="single" w:sz="4" w:space="0" w:color="6A6A6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TableauGrille3-Accentuation11">
    <w:name w:val="Tableau Grille 3 - Accentuation 1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bottom w:val="single" w:sz="4" w:space="0" w:color="68A2D8"/>
        <w:insideH w:val="single" w:sz="4" w:space="0" w:color="68A2D8"/>
        <w:insideV w:val="single" w:sz="4" w:space="0" w:color="68A2D8"/>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fill="DDEAF6"/>
      </w:tcPr>
    </w:tblStylePr>
    <w:tblStylePr w:type="band1Horz">
      <w:rPr>
        <w:rFonts w:ascii="Arial" w:hAnsi="Arial"/>
        <w:color w:val="404040"/>
        <w:sz w:val="22"/>
      </w:rPr>
      <w:tblPr/>
      <w:tcPr>
        <w:shd w:val="clear" w:color="DDEAF6" w:fill="DDEAF6"/>
      </w:tcPr>
    </w:tblStylePr>
  </w:style>
  <w:style w:type="table" w:customStyle="1" w:styleId="TableauGrille3-Accentuation21">
    <w:name w:val="Tableau Grille 3 - Accentuation 2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bottom w:val="single" w:sz="4" w:space="0" w:color="F4B184"/>
        <w:insideH w:val="single" w:sz="4" w:space="0" w:color="F4B184"/>
        <w:insideV w:val="single" w:sz="4" w:space="0" w:color="F4B18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TableauGrille3-Accentuation31">
    <w:name w:val="Tableau Grille 3 - Accentuation 3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bottom w:val="single" w:sz="4" w:space="0" w:color="A5A5A5"/>
        <w:insideH w:val="single" w:sz="4" w:space="0" w:color="A5A5A5"/>
        <w:insideV w:val="single" w:sz="4" w:space="0" w:color="A5A5A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TableauGrille3-Accentuation41">
    <w:name w:val="Tableau Grille 3 - Accentuation 4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bottom w:val="single" w:sz="4" w:space="0" w:color="FFD865"/>
        <w:insideH w:val="single" w:sz="4" w:space="0" w:color="FFD865"/>
        <w:insideV w:val="single" w:sz="4" w:space="0" w:color="FFD86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TableauGrille3-Accentuation51">
    <w:name w:val="Tableau Grille 3 - Accentuation 5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bottom w:val="single" w:sz="4" w:space="0" w:color="4472C4"/>
        <w:insideH w:val="single" w:sz="4" w:space="0" w:color="4472C4"/>
        <w:insideV w:val="single" w:sz="4" w:space="0" w:color="4472C4"/>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TableauGrille3-Accentuation61">
    <w:name w:val="Tableau Grille 3 - Accentuation 6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bottom w:val="single" w:sz="4" w:space="0" w:color="70AD47"/>
        <w:insideH w:val="single" w:sz="4" w:space="0" w:color="70AD47"/>
        <w:insideV w:val="single" w:sz="4" w:space="0" w:color="70AD4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styleId="TableauGrille4">
    <w:name w:val="Grid Table 4"/>
    <w:basedOn w:val="TableauNormal"/>
    <w:uiPriority w:val="5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Pr>
    <w:tblStylePr w:type="firstRow">
      <w:rPr>
        <w:rFonts w:ascii="Arial" w:hAnsi="Arial"/>
        <w:b/>
        <w:color w:val="FFFFFF"/>
        <w:sz w:val="22"/>
      </w:rPr>
      <w:tblPr/>
      <w:tcPr>
        <w:tcBorders>
          <w:top w:val="single" w:sz="4" w:space="0" w:color="000000"/>
          <w:left w:val="single" w:sz="4" w:space="0" w:color="000000"/>
          <w:bottom w:val="single" w:sz="4" w:space="0" w:color="000000"/>
          <w:right w:val="single" w:sz="4" w:space="0" w:color="000000"/>
        </w:tcBorders>
        <w:shd w:val="clear" w:color="000000" w:fill="000000"/>
      </w:tcPr>
    </w:tblStylePr>
    <w:tblStylePr w:type="lastRow">
      <w:rPr>
        <w:b/>
        <w:color w:val="404040"/>
      </w:rPr>
      <w:tblPr/>
      <w:tcPr>
        <w:tcBorders>
          <w:top w:val="single" w:sz="4" w:space="0" w:color="00000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fill="CBCBCB"/>
      </w:tcPr>
    </w:tblStylePr>
    <w:tblStylePr w:type="band1Horz">
      <w:rPr>
        <w:rFonts w:ascii="Arial" w:hAnsi="Arial"/>
        <w:color w:val="404040"/>
        <w:sz w:val="22"/>
      </w:rPr>
      <w:tblPr/>
      <w:tcPr>
        <w:shd w:val="clear" w:color="CBCBCB" w:fill="CBCBCB"/>
      </w:tcPr>
    </w:tblStylePr>
  </w:style>
  <w:style w:type="table" w:customStyle="1" w:styleId="TableauGrille4-Accentuation11">
    <w:name w:val="Tableau Grille 4 - Accentuation 11"/>
    <w:basedOn w:val="TableauNormal"/>
    <w:uiPriority w:val="5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insideV w:val="single" w:sz="4" w:space="0" w:color="A2C6E7"/>
      </w:tblBorders>
    </w:tblPr>
    <w:tblStylePr w:type="firstRow">
      <w:rPr>
        <w:rFonts w:ascii="Arial" w:hAnsi="Arial"/>
        <w:b/>
        <w:color w:val="FFFFFF"/>
        <w:sz w:val="22"/>
      </w:rPr>
      <w:tblPr/>
      <w:tcPr>
        <w:tcBorders>
          <w:top w:val="single" w:sz="4" w:space="0" w:color="68A2D8"/>
          <w:left w:val="single" w:sz="4" w:space="0" w:color="68A2D8"/>
          <w:bottom w:val="single" w:sz="4" w:space="0" w:color="68A2D8"/>
          <w:right w:val="single" w:sz="4" w:space="0" w:color="68A2D8"/>
        </w:tcBorders>
        <w:shd w:val="clear" w:color="68A2D8" w:fill="68A2D8"/>
      </w:tcPr>
    </w:tblStylePr>
    <w:tblStylePr w:type="lastRow">
      <w:rPr>
        <w:b/>
        <w:color w:val="404040"/>
      </w:rPr>
      <w:tblPr/>
      <w:tcPr>
        <w:tcBorders>
          <w:top w:val="single" w:sz="4" w:space="0" w:color="68A2D8"/>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fill="DEEBF6"/>
      </w:tcPr>
    </w:tblStylePr>
    <w:tblStylePr w:type="band1Horz">
      <w:rPr>
        <w:rFonts w:ascii="Arial" w:hAnsi="Arial"/>
        <w:color w:val="404040"/>
        <w:sz w:val="22"/>
      </w:rPr>
      <w:tblPr/>
      <w:tcPr>
        <w:shd w:val="clear" w:color="DEEBF6" w:fill="DEEBF6"/>
      </w:tcPr>
    </w:tblStylePr>
  </w:style>
  <w:style w:type="table" w:customStyle="1" w:styleId="TableauGrille4-Accentuation21">
    <w:name w:val="Tableau Grille 4 - Accentuation 21"/>
    <w:basedOn w:val="TableauNormal"/>
    <w:uiPriority w:val="5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insideV w:val="single" w:sz="4" w:space="0" w:color="F4B58A"/>
      </w:tblBorders>
    </w:tblPr>
    <w:tblStylePr w:type="firstRow">
      <w:rPr>
        <w:rFonts w:ascii="Arial" w:hAnsi="Arial"/>
        <w:b/>
        <w:color w:val="FFFFFF"/>
        <w:sz w:val="22"/>
      </w:rPr>
      <w:tblPr/>
      <w:tcPr>
        <w:tcBorders>
          <w:top w:val="single" w:sz="4" w:space="0" w:color="F4B184"/>
          <w:left w:val="single" w:sz="4" w:space="0" w:color="F4B184"/>
          <w:bottom w:val="single" w:sz="4" w:space="0" w:color="F4B184"/>
          <w:right w:val="single" w:sz="4" w:space="0" w:color="F4B184"/>
        </w:tcBorders>
        <w:shd w:val="clear" w:color="F4B184" w:fill="F4B184"/>
      </w:tcPr>
    </w:tblStylePr>
    <w:tblStylePr w:type="lastRow">
      <w:rPr>
        <w:b/>
        <w:color w:val="404040"/>
      </w:rPr>
      <w:tblPr/>
      <w:tcPr>
        <w:tcBorders>
          <w:top w:val="single" w:sz="4" w:space="0" w:color="F4B18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fill="FBE5D6"/>
      </w:tcPr>
    </w:tblStylePr>
    <w:tblStylePr w:type="band1Horz">
      <w:rPr>
        <w:rFonts w:ascii="Arial" w:hAnsi="Arial"/>
        <w:color w:val="404040"/>
        <w:sz w:val="22"/>
      </w:rPr>
      <w:tblPr/>
      <w:tcPr>
        <w:shd w:val="clear" w:color="FBE5D6" w:fill="FBE5D6"/>
      </w:tcPr>
    </w:tblStylePr>
  </w:style>
  <w:style w:type="table" w:customStyle="1" w:styleId="TableauGrille4-Accentuation31">
    <w:name w:val="Tableau Grille 4 - Accentuation 31"/>
    <w:basedOn w:val="TableauNormal"/>
    <w:uiPriority w:val="5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Pr>
    <w:tblStylePr w:type="firstRow">
      <w:rPr>
        <w:rFonts w:ascii="Arial" w:hAnsi="Arial"/>
        <w:b/>
        <w:color w:val="FFFFFF"/>
        <w:sz w:val="22"/>
      </w:rPr>
      <w:tblPr/>
      <w:tcPr>
        <w:tcBorders>
          <w:top w:val="single" w:sz="4" w:space="0" w:color="A5A5A5"/>
          <w:left w:val="single" w:sz="4" w:space="0" w:color="A5A5A5"/>
          <w:bottom w:val="single" w:sz="4" w:space="0" w:color="A5A5A5"/>
          <w:right w:val="single" w:sz="4" w:space="0" w:color="A5A5A5"/>
        </w:tcBorders>
        <w:shd w:val="clear" w:color="A5A5A5" w:fill="A5A5A5"/>
      </w:tcPr>
    </w:tblStylePr>
    <w:tblStylePr w:type="lastRow">
      <w:rPr>
        <w:b/>
        <w:color w:val="404040"/>
      </w:rPr>
      <w:tblPr/>
      <w:tcPr>
        <w:tcBorders>
          <w:top w:val="single" w:sz="4" w:space="0" w:color="A5A5A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fill="ECECEC"/>
      </w:tcPr>
    </w:tblStylePr>
    <w:tblStylePr w:type="band1Horz">
      <w:rPr>
        <w:rFonts w:ascii="Arial" w:hAnsi="Arial"/>
        <w:color w:val="404040"/>
        <w:sz w:val="22"/>
      </w:rPr>
      <w:tblPr/>
      <w:tcPr>
        <w:shd w:val="clear" w:color="ECECEC" w:fill="ECECEC"/>
      </w:tcPr>
    </w:tblStylePr>
  </w:style>
  <w:style w:type="table" w:customStyle="1" w:styleId="TableauGrille4-Accentuation41">
    <w:name w:val="Tableau Grille 4 - Accentuation 41"/>
    <w:basedOn w:val="TableauNormal"/>
    <w:uiPriority w:val="5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insideV w:val="single" w:sz="4" w:space="0" w:color="FFDB6F"/>
      </w:tblBorders>
    </w:tblPr>
    <w:tblStylePr w:type="firstRow">
      <w:rPr>
        <w:rFonts w:ascii="Arial" w:hAnsi="Arial"/>
        <w:b/>
        <w:color w:val="FFFFFF"/>
        <w:sz w:val="22"/>
      </w:rPr>
      <w:tblPr/>
      <w:tcPr>
        <w:tcBorders>
          <w:top w:val="single" w:sz="4" w:space="0" w:color="FFD865"/>
          <w:left w:val="single" w:sz="4" w:space="0" w:color="FFD865"/>
          <w:bottom w:val="single" w:sz="4" w:space="0" w:color="FFD865"/>
          <w:right w:val="single" w:sz="4" w:space="0" w:color="FFD865"/>
        </w:tcBorders>
        <w:shd w:val="clear" w:color="FFD865" w:fill="FFD865"/>
      </w:tcPr>
    </w:tblStylePr>
    <w:tblStylePr w:type="lastRow">
      <w:rPr>
        <w:b/>
        <w:color w:val="404040"/>
      </w:rPr>
      <w:tblPr/>
      <w:tcPr>
        <w:tcBorders>
          <w:top w:val="single" w:sz="4" w:space="0" w:color="FFD86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fill="FFF2CB"/>
      </w:tcPr>
    </w:tblStylePr>
    <w:tblStylePr w:type="band1Horz">
      <w:rPr>
        <w:rFonts w:ascii="Arial" w:hAnsi="Arial"/>
        <w:color w:val="404040"/>
        <w:sz w:val="22"/>
      </w:rPr>
      <w:tblPr/>
      <w:tcPr>
        <w:shd w:val="clear" w:color="FFF2CB" w:fill="FFF2CB"/>
      </w:tcPr>
    </w:tblStylePr>
  </w:style>
  <w:style w:type="table" w:customStyle="1" w:styleId="TableauGrille4-Accentuation51">
    <w:name w:val="Tableau Grille 4 - Accentuation 51"/>
    <w:basedOn w:val="TableauNormal"/>
    <w:uiPriority w:val="5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insideV w:val="single" w:sz="4" w:space="0" w:color="95AFDD"/>
      </w:tblBorders>
    </w:tblPr>
    <w:tblStylePr w:type="firstRow">
      <w:rPr>
        <w:rFonts w:ascii="Arial" w:hAnsi="Arial"/>
        <w:b/>
        <w:color w:val="FFFFFF"/>
        <w:sz w:val="22"/>
      </w:rPr>
      <w:tblPr/>
      <w:tcPr>
        <w:tcBorders>
          <w:top w:val="single" w:sz="4" w:space="0" w:color="4472C4"/>
          <w:left w:val="single" w:sz="4" w:space="0" w:color="4472C4"/>
          <w:bottom w:val="single" w:sz="4" w:space="0" w:color="4472C4"/>
          <w:right w:val="single" w:sz="4" w:space="0" w:color="4472C4"/>
        </w:tcBorders>
        <w:shd w:val="clear" w:color="4472C4" w:fill="4472C4"/>
      </w:tcPr>
    </w:tblStylePr>
    <w:tblStylePr w:type="lastRow">
      <w:rPr>
        <w:b/>
        <w:color w:val="404040"/>
      </w:rPr>
      <w:tblPr/>
      <w:tcPr>
        <w:tcBorders>
          <w:top w:val="single" w:sz="4" w:space="0" w:color="4472C4"/>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fill="D8E2F3"/>
      </w:tcPr>
    </w:tblStylePr>
    <w:tblStylePr w:type="band1Horz">
      <w:rPr>
        <w:rFonts w:ascii="Arial" w:hAnsi="Arial"/>
        <w:color w:val="404040"/>
        <w:sz w:val="22"/>
      </w:rPr>
      <w:tblPr/>
      <w:tcPr>
        <w:shd w:val="clear" w:color="D8E2F3" w:fill="D8E2F3"/>
      </w:tcPr>
    </w:tblStylePr>
  </w:style>
  <w:style w:type="table" w:customStyle="1" w:styleId="TableauGrille4-Accentuation61">
    <w:name w:val="Tableau Grille 4 - Accentuation 61"/>
    <w:basedOn w:val="TableauNormal"/>
    <w:uiPriority w:val="5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insideV w:val="single" w:sz="4" w:space="0" w:color="ADD394"/>
      </w:tblBorders>
    </w:tblPr>
    <w:tblStylePr w:type="firstRow">
      <w:rPr>
        <w:rFonts w:ascii="Arial" w:hAnsi="Arial"/>
        <w:b/>
        <w:color w:val="FFFFFF"/>
        <w:sz w:val="22"/>
      </w:rPr>
      <w:tblPr/>
      <w:tcPr>
        <w:tcBorders>
          <w:top w:val="single" w:sz="4" w:space="0" w:color="70AD47"/>
          <w:left w:val="single" w:sz="4" w:space="0" w:color="70AD47"/>
          <w:bottom w:val="single" w:sz="4" w:space="0" w:color="70AD47"/>
          <w:right w:val="single" w:sz="4" w:space="0" w:color="70AD47"/>
        </w:tcBorders>
        <w:shd w:val="clear" w:color="70AD47" w:fill="70AD47"/>
      </w:tcPr>
    </w:tblStylePr>
    <w:tblStylePr w:type="lastRow">
      <w:rPr>
        <w:b/>
        <w:color w:val="404040"/>
      </w:rPr>
      <w:tblPr/>
      <w:tcPr>
        <w:tcBorders>
          <w:top w:val="single" w:sz="4" w:space="0" w:color="70AD4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fill="E1EFD8"/>
      </w:tcPr>
    </w:tblStylePr>
    <w:tblStylePr w:type="band1Horz">
      <w:rPr>
        <w:rFonts w:ascii="Arial" w:hAnsi="Arial"/>
        <w:color w:val="404040"/>
        <w:sz w:val="22"/>
      </w:rPr>
      <w:tblPr/>
      <w:tcPr>
        <w:shd w:val="clear" w:color="E1EFD8" w:fill="E1EFD8"/>
      </w:tcPr>
    </w:tblStylePr>
  </w:style>
  <w:style w:type="table" w:styleId="TableauGrille5Fonc">
    <w:name w:val="Grid Table 5 Dark"/>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Pr>
    <w:tblStylePr w:type="firstRow">
      <w:rPr>
        <w:rFonts w:ascii="Arial" w:hAnsi="Arial"/>
        <w:b/>
        <w:color w:val="FFFFFF"/>
        <w:sz w:val="22"/>
      </w:rPr>
      <w:tblPr/>
      <w:tcPr>
        <w:shd w:val="clear" w:color="000000" w:fill="000000"/>
      </w:tcPr>
    </w:tblStylePr>
    <w:tblStylePr w:type="lastRow">
      <w:rPr>
        <w:rFonts w:ascii="Arial" w:hAnsi="Arial"/>
        <w:b/>
        <w:color w:val="FFFFFF"/>
        <w:sz w:val="22"/>
      </w:rPr>
      <w:tblPr/>
      <w:tcPr>
        <w:tcBorders>
          <w:top w:val="single" w:sz="4" w:space="0" w:color="FFFFFF"/>
        </w:tcBorders>
        <w:shd w:val="clear" w:color="000000" w:fill="000000"/>
      </w:tcPr>
    </w:tblStylePr>
    <w:tblStylePr w:type="firstCol">
      <w:rPr>
        <w:rFonts w:ascii="Arial" w:hAnsi="Arial"/>
        <w:b/>
        <w:color w:val="FFFFFF"/>
        <w:sz w:val="22"/>
      </w:rPr>
      <w:tblPr/>
      <w:tcPr>
        <w:shd w:val="clear" w:color="000000" w:fill="000000"/>
      </w:tcPr>
    </w:tblStylePr>
    <w:tblStylePr w:type="lastCol">
      <w:rPr>
        <w:rFonts w:ascii="Arial" w:hAnsi="Arial"/>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TableauGrille5Fonc-Accentuation11">
    <w:name w:val="Tableau Grille 5 Foncé - Accentuation 1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DEAF6" w:fill="DDEAF6"/>
    </w:tblPr>
    <w:tblStylePr w:type="firstRow">
      <w:rPr>
        <w:rFonts w:ascii="Arial" w:hAnsi="Arial"/>
        <w:b/>
        <w:color w:val="FFFFFF"/>
        <w:sz w:val="22"/>
      </w:rPr>
      <w:tblPr/>
      <w:tcPr>
        <w:shd w:val="clear" w:color="5B9BD5" w:fill="5B9BD5"/>
      </w:tcPr>
    </w:tblStylePr>
    <w:tblStylePr w:type="lastRow">
      <w:rPr>
        <w:rFonts w:ascii="Arial" w:hAnsi="Arial"/>
        <w:b/>
        <w:color w:val="FFFFFF"/>
        <w:sz w:val="22"/>
      </w:rPr>
      <w:tblPr/>
      <w:tcPr>
        <w:tcBorders>
          <w:top w:val="single" w:sz="4" w:space="0" w:color="FFFFFF"/>
        </w:tcBorders>
        <w:shd w:val="clear" w:color="5B9BD5" w:fill="5B9BD5"/>
      </w:tcPr>
    </w:tblStylePr>
    <w:tblStylePr w:type="firstCol">
      <w:rPr>
        <w:rFonts w:ascii="Arial" w:hAnsi="Arial"/>
        <w:b/>
        <w:color w:val="FFFFFF"/>
        <w:sz w:val="22"/>
      </w:rPr>
      <w:tblPr/>
      <w:tcPr>
        <w:shd w:val="clear" w:color="5B9BD5" w:fill="5B9BD5"/>
      </w:tcPr>
    </w:tblStylePr>
    <w:tblStylePr w:type="lastCol">
      <w:rPr>
        <w:rFonts w:ascii="Arial" w:hAnsi="Arial"/>
        <w:b/>
        <w:color w:val="FFFFFF"/>
        <w:sz w:val="22"/>
      </w:rPr>
      <w:tblPr/>
      <w:tcPr>
        <w:shd w:val="clear" w:color="5B9BD5" w:fill="5B9BD5"/>
      </w:tcPr>
    </w:tblStylePr>
    <w:tblStylePr w:type="band1Vert">
      <w:tblPr/>
      <w:tcPr>
        <w:shd w:val="clear" w:color="B3D0EB" w:fill="B3D0EB"/>
      </w:tcPr>
    </w:tblStylePr>
    <w:tblStylePr w:type="band1Horz">
      <w:tblPr/>
      <w:tcPr>
        <w:shd w:val="clear" w:color="B3D0EB" w:fill="B3D0EB"/>
      </w:tcPr>
    </w:tblStylePr>
  </w:style>
  <w:style w:type="table" w:customStyle="1" w:styleId="TableauGrille5Fonc-Accentuation21">
    <w:name w:val="Tableau Grille 5 Foncé - Accentuation 2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BE5D6" w:fill="FBE5D6"/>
    </w:tblPr>
    <w:tblStylePr w:type="firstRow">
      <w:rPr>
        <w:rFonts w:ascii="Arial" w:hAnsi="Arial"/>
        <w:b/>
        <w:color w:val="FFFFFF"/>
        <w:sz w:val="22"/>
      </w:rPr>
      <w:tblPr/>
      <w:tcPr>
        <w:shd w:val="clear" w:color="ED7D31" w:fill="ED7D31"/>
      </w:tcPr>
    </w:tblStylePr>
    <w:tblStylePr w:type="lastRow">
      <w:rPr>
        <w:rFonts w:ascii="Arial" w:hAnsi="Arial"/>
        <w:b/>
        <w:color w:val="FFFFFF"/>
        <w:sz w:val="22"/>
      </w:rPr>
      <w:tblPr/>
      <w:tcPr>
        <w:tcBorders>
          <w:top w:val="single" w:sz="4" w:space="0" w:color="FFFFFF"/>
        </w:tcBorders>
        <w:shd w:val="clear" w:color="ED7D31" w:fill="ED7D31"/>
      </w:tcPr>
    </w:tblStylePr>
    <w:tblStylePr w:type="firstCol">
      <w:rPr>
        <w:rFonts w:ascii="Arial" w:hAnsi="Arial"/>
        <w:b/>
        <w:color w:val="FFFFFF"/>
        <w:sz w:val="22"/>
      </w:rPr>
      <w:tblPr/>
      <w:tcPr>
        <w:shd w:val="clear" w:color="ED7D31" w:fill="ED7D31"/>
      </w:tcPr>
    </w:tblStylePr>
    <w:tblStylePr w:type="lastCol">
      <w:rPr>
        <w:rFonts w:ascii="Arial" w:hAnsi="Arial"/>
        <w:b/>
        <w:color w:val="FFFFFF"/>
        <w:sz w:val="22"/>
      </w:rPr>
      <w:tblPr/>
      <w:tcPr>
        <w:shd w:val="clear" w:color="ED7D31" w:fill="ED7D31"/>
      </w:tcPr>
    </w:tblStylePr>
    <w:tblStylePr w:type="band1Vert">
      <w:tblPr/>
      <w:tcPr>
        <w:shd w:val="clear" w:color="F6C3A0" w:fill="F6C3A0"/>
      </w:tcPr>
    </w:tblStylePr>
    <w:tblStylePr w:type="band1Horz">
      <w:tblPr/>
      <w:tcPr>
        <w:shd w:val="clear" w:color="F6C3A0" w:fill="F6C3A0"/>
      </w:tcPr>
    </w:tblStylePr>
  </w:style>
  <w:style w:type="table" w:customStyle="1" w:styleId="TableauGrille5Fonc-Accentuation31">
    <w:name w:val="Tableau Grille 5 Foncé - Accentuation 3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CECEC" w:fill="ECECEC"/>
    </w:tblPr>
    <w:tblStylePr w:type="firstRow">
      <w:rPr>
        <w:rFonts w:ascii="Arial" w:hAnsi="Arial"/>
        <w:b/>
        <w:color w:val="FFFFFF"/>
        <w:sz w:val="22"/>
      </w:rPr>
      <w:tblPr/>
      <w:tcPr>
        <w:shd w:val="clear" w:color="A5A5A5" w:fill="A5A5A5"/>
      </w:tcPr>
    </w:tblStylePr>
    <w:tblStylePr w:type="lastRow">
      <w:rPr>
        <w:rFonts w:ascii="Arial" w:hAnsi="Arial"/>
        <w:b/>
        <w:color w:val="FFFFFF"/>
        <w:sz w:val="22"/>
      </w:rPr>
      <w:tblPr/>
      <w:tcPr>
        <w:tcBorders>
          <w:top w:val="single" w:sz="4" w:space="0" w:color="FFFFFF"/>
        </w:tcBorders>
        <w:shd w:val="clear" w:color="A5A5A5" w:fill="A5A5A5"/>
      </w:tcPr>
    </w:tblStylePr>
    <w:tblStylePr w:type="firstCol">
      <w:rPr>
        <w:rFonts w:ascii="Arial" w:hAnsi="Arial"/>
        <w:b/>
        <w:color w:val="FFFFFF"/>
        <w:sz w:val="22"/>
      </w:rPr>
      <w:tblPr/>
      <w:tcPr>
        <w:shd w:val="clear" w:color="A5A5A5" w:fill="A5A5A5"/>
      </w:tcPr>
    </w:tblStylePr>
    <w:tblStylePr w:type="lastCol">
      <w:rPr>
        <w:rFonts w:ascii="Arial" w:hAnsi="Arial"/>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table" w:customStyle="1" w:styleId="TableauGrille5Fonc-Accentuation41">
    <w:name w:val="Tableau Grille 5 Foncé - Accentuation 4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FF2CB" w:fill="FFF2CB"/>
    </w:tblPr>
    <w:tblStylePr w:type="firstRow">
      <w:rPr>
        <w:rFonts w:ascii="Arial" w:hAnsi="Arial"/>
        <w:b/>
        <w:color w:val="FFFFFF"/>
        <w:sz w:val="22"/>
      </w:rPr>
      <w:tblPr/>
      <w:tcPr>
        <w:shd w:val="clear" w:color="FFC000" w:fill="FFC000"/>
      </w:tcPr>
    </w:tblStylePr>
    <w:tblStylePr w:type="lastRow">
      <w:rPr>
        <w:rFonts w:ascii="Arial" w:hAnsi="Arial"/>
        <w:b/>
        <w:color w:val="FFFFFF"/>
        <w:sz w:val="22"/>
      </w:rPr>
      <w:tblPr/>
      <w:tcPr>
        <w:tcBorders>
          <w:top w:val="single" w:sz="4" w:space="0" w:color="FFFFFF"/>
        </w:tcBorders>
        <w:shd w:val="clear" w:color="FFC000" w:fill="FFC000"/>
      </w:tcPr>
    </w:tblStylePr>
    <w:tblStylePr w:type="firstCol">
      <w:rPr>
        <w:rFonts w:ascii="Arial" w:hAnsi="Arial"/>
        <w:b/>
        <w:color w:val="FFFFFF"/>
        <w:sz w:val="22"/>
      </w:rPr>
      <w:tblPr/>
      <w:tcPr>
        <w:shd w:val="clear" w:color="FFC000" w:fill="FFC000"/>
      </w:tcPr>
    </w:tblStylePr>
    <w:tblStylePr w:type="lastCol">
      <w:rPr>
        <w:rFonts w:ascii="Arial" w:hAnsi="Arial"/>
        <w:b/>
        <w:color w:val="FFFFFF"/>
        <w:sz w:val="22"/>
      </w:rPr>
      <w:tblPr/>
      <w:tcPr>
        <w:shd w:val="clear" w:color="FFC000" w:fill="FFC000"/>
      </w:tcPr>
    </w:tblStylePr>
    <w:tblStylePr w:type="band1Vert">
      <w:tblPr/>
      <w:tcPr>
        <w:shd w:val="clear" w:color="FFE28A" w:fill="FFE28A"/>
      </w:tcPr>
    </w:tblStylePr>
    <w:tblStylePr w:type="band1Horz">
      <w:tblPr/>
      <w:tcPr>
        <w:shd w:val="clear" w:color="FFE28A" w:fill="FFE28A"/>
      </w:tcPr>
    </w:tblStylePr>
  </w:style>
  <w:style w:type="table" w:customStyle="1" w:styleId="TableauGrille5Fonc-Accentuation51">
    <w:name w:val="Tableau Grille 5 Foncé - Accentuation 5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8E2F3" w:fill="D8E2F3"/>
    </w:tblPr>
    <w:tblStylePr w:type="firstRow">
      <w:rPr>
        <w:rFonts w:ascii="Arial" w:hAnsi="Arial"/>
        <w:b/>
        <w:color w:val="FFFFFF"/>
        <w:sz w:val="22"/>
      </w:rPr>
      <w:tblPr/>
      <w:tcPr>
        <w:shd w:val="clear" w:color="4472C4" w:fill="4472C4"/>
      </w:tcPr>
    </w:tblStylePr>
    <w:tblStylePr w:type="lastRow">
      <w:rPr>
        <w:rFonts w:ascii="Arial" w:hAnsi="Arial"/>
        <w:b/>
        <w:color w:val="FFFFFF"/>
        <w:sz w:val="22"/>
      </w:rPr>
      <w:tblPr/>
      <w:tcPr>
        <w:tcBorders>
          <w:top w:val="single" w:sz="4" w:space="0" w:color="FFFFFF"/>
        </w:tcBorders>
        <w:shd w:val="clear" w:color="4472C4" w:fill="4472C4"/>
      </w:tcPr>
    </w:tblStylePr>
    <w:tblStylePr w:type="firstCol">
      <w:rPr>
        <w:rFonts w:ascii="Arial" w:hAnsi="Arial"/>
        <w:b/>
        <w:color w:val="FFFFFF"/>
        <w:sz w:val="22"/>
      </w:rPr>
      <w:tblPr/>
      <w:tcPr>
        <w:shd w:val="clear" w:color="4472C4" w:fill="4472C4"/>
      </w:tcPr>
    </w:tblStylePr>
    <w:tblStylePr w:type="lastCol">
      <w:rPr>
        <w:rFonts w:ascii="Arial" w:hAnsi="Arial"/>
        <w:b/>
        <w:color w:val="FFFFFF"/>
        <w:sz w:val="22"/>
      </w:rPr>
      <w:tblPr/>
      <w:tcPr>
        <w:shd w:val="clear" w:color="4472C4" w:fill="4472C4"/>
      </w:tcPr>
    </w:tblStylePr>
    <w:tblStylePr w:type="band1Vert">
      <w:tblPr/>
      <w:tcPr>
        <w:shd w:val="clear" w:color="A9BEE4" w:fill="A9BEE4"/>
      </w:tcPr>
    </w:tblStylePr>
    <w:tblStylePr w:type="band1Horz">
      <w:tblPr/>
      <w:tcPr>
        <w:shd w:val="clear" w:color="A9BEE4" w:fill="A9BEE4"/>
      </w:tcPr>
    </w:tblStylePr>
  </w:style>
  <w:style w:type="table" w:customStyle="1" w:styleId="TableauGrille5Fonc-Accentuation61">
    <w:name w:val="Tableau Grille 5 Foncé - Accentuation 6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1EFD8" w:fill="E1EFD8"/>
    </w:tblPr>
    <w:tblStylePr w:type="firstRow">
      <w:rPr>
        <w:rFonts w:ascii="Arial" w:hAnsi="Arial"/>
        <w:b/>
        <w:color w:val="FFFFFF"/>
        <w:sz w:val="22"/>
      </w:rPr>
      <w:tblPr/>
      <w:tcPr>
        <w:shd w:val="clear" w:color="70AD47" w:fill="70AD47"/>
      </w:tcPr>
    </w:tblStylePr>
    <w:tblStylePr w:type="lastRow">
      <w:rPr>
        <w:rFonts w:ascii="Arial" w:hAnsi="Arial"/>
        <w:b/>
        <w:color w:val="FFFFFF"/>
        <w:sz w:val="22"/>
      </w:rPr>
      <w:tblPr/>
      <w:tcPr>
        <w:tcBorders>
          <w:top w:val="single" w:sz="4" w:space="0" w:color="FFFFFF"/>
        </w:tcBorders>
        <w:shd w:val="clear" w:color="70AD47" w:fill="70AD47"/>
      </w:tcPr>
    </w:tblStylePr>
    <w:tblStylePr w:type="firstCol">
      <w:rPr>
        <w:rFonts w:ascii="Arial" w:hAnsi="Arial"/>
        <w:b/>
        <w:color w:val="FFFFFF"/>
        <w:sz w:val="22"/>
      </w:rPr>
      <w:tblPr/>
      <w:tcPr>
        <w:shd w:val="clear" w:color="70AD47" w:fill="70AD47"/>
      </w:tcPr>
    </w:tblStylePr>
    <w:tblStylePr w:type="lastCol">
      <w:rPr>
        <w:rFonts w:ascii="Arial" w:hAnsi="Arial"/>
        <w:b/>
        <w:color w:val="FFFFFF"/>
        <w:sz w:val="22"/>
      </w:rPr>
      <w:tblPr/>
      <w:tcPr>
        <w:shd w:val="clear" w:color="70AD47" w:fill="70AD47"/>
      </w:tcPr>
    </w:tblStylePr>
    <w:tblStylePr w:type="band1Vert">
      <w:tblPr/>
      <w:tcPr>
        <w:shd w:val="clear" w:color="BCDBA8" w:fill="BCDBA8"/>
      </w:tcPr>
    </w:tblStylePr>
    <w:tblStylePr w:type="band1Horz">
      <w:tblPr/>
      <w:tcPr>
        <w:shd w:val="clear" w:color="BCDBA8" w:fill="BCDBA8"/>
      </w:tcPr>
    </w:tblStylePr>
  </w:style>
  <w:style w:type="table" w:styleId="TableauGrille6Couleur">
    <w:name w:val="Grid Table 6 Colorful"/>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blStylePr w:type="firstRow">
      <w:rPr>
        <w:b/>
        <w:color w:val="7F7F7F"/>
      </w:rPr>
      <w:tblPr/>
      <w:tcPr>
        <w:tcBorders>
          <w:bottom w:val="single" w:sz="12" w:space="0" w:color="7F7F7F"/>
        </w:tcBorders>
      </w:tcPr>
    </w:tblStylePr>
    <w:tblStylePr w:type="lastRow">
      <w:rPr>
        <w:b/>
        <w:color w:val="7F7F7F"/>
      </w:rPr>
    </w:tblStylePr>
    <w:tblStylePr w:type="firstCol">
      <w:rPr>
        <w:b/>
        <w:color w:val="7F7F7F"/>
      </w:rPr>
    </w:tblStylePr>
    <w:tblStylePr w:type="lastCol">
      <w:rPr>
        <w:b/>
        <w:color w:val="7F7F7F"/>
      </w:rPr>
    </w:tblStylePr>
    <w:tblStylePr w:type="band1Vert">
      <w:tblPr/>
      <w:tcPr>
        <w:shd w:val="clear" w:color="CBCBCB" w:fill="CBCBCB"/>
      </w:tcPr>
    </w:tblStylePr>
    <w:tblStylePr w:type="band1Horz">
      <w:rPr>
        <w:rFonts w:ascii="Arial" w:hAnsi="Arial"/>
        <w:color w:val="7F7F7F"/>
        <w:sz w:val="22"/>
      </w:rPr>
      <w:tblPr/>
      <w:tcPr>
        <w:shd w:val="clear" w:color="CBCBCB" w:fill="CBCBCB"/>
      </w:tcPr>
    </w:tblStylePr>
    <w:tblStylePr w:type="band2Horz">
      <w:rPr>
        <w:rFonts w:ascii="Arial" w:hAnsi="Arial"/>
        <w:color w:val="7F7F7F"/>
        <w:sz w:val="22"/>
      </w:rPr>
    </w:tblStylePr>
  </w:style>
  <w:style w:type="table" w:customStyle="1" w:styleId="TableauGrille6Couleur-Accentuation11">
    <w:name w:val="Tableau Grille 6 Couleur - Accentuation 1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ACCCEA"/>
        <w:left w:val="single" w:sz="4" w:space="0" w:color="ACCCEA"/>
        <w:bottom w:val="single" w:sz="4" w:space="0" w:color="ACCCEA"/>
        <w:right w:val="single" w:sz="4" w:space="0" w:color="ACCCEA"/>
        <w:insideH w:val="single" w:sz="4" w:space="0" w:color="ACCCEA"/>
        <w:insideV w:val="single" w:sz="4" w:space="0" w:color="ACCCEA"/>
      </w:tblBorders>
    </w:tblPr>
    <w:tblStylePr w:type="firstRow">
      <w:rPr>
        <w:b/>
        <w:color w:val="ACCCEA"/>
      </w:rPr>
      <w:tblPr/>
      <w:tcPr>
        <w:tcBorders>
          <w:bottom w:val="single" w:sz="12" w:space="0" w:color="ACCCEA"/>
        </w:tcBorders>
      </w:tcPr>
    </w:tblStylePr>
    <w:tblStylePr w:type="lastRow">
      <w:rPr>
        <w:b/>
        <w:color w:val="ACCCEA"/>
      </w:rPr>
    </w:tblStylePr>
    <w:tblStylePr w:type="firstCol">
      <w:rPr>
        <w:b/>
        <w:color w:val="ACCCEA"/>
      </w:rPr>
    </w:tblStylePr>
    <w:tblStylePr w:type="lastCol">
      <w:rPr>
        <w:b/>
        <w:color w:val="ACCCEA"/>
      </w:r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TableauGrille6Couleur-Accentuation21">
    <w:name w:val="Tableau Grille 6 Couleur - Accentuation 2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4B184"/>
        <w:left w:val="single" w:sz="4" w:space="0" w:color="F4B184"/>
        <w:bottom w:val="single" w:sz="4" w:space="0" w:color="F4B184"/>
        <w:right w:val="single" w:sz="4" w:space="0" w:color="F4B184"/>
        <w:insideH w:val="single" w:sz="4" w:space="0" w:color="F4B184"/>
        <w:insideV w:val="single" w:sz="4" w:space="0" w:color="F4B184"/>
      </w:tblBorders>
    </w:tblPr>
    <w:tblStylePr w:type="firstRow">
      <w:rPr>
        <w:b/>
        <w:color w:val="F4B184"/>
      </w:rPr>
      <w:tblPr/>
      <w:tcPr>
        <w:tcBorders>
          <w:bottom w:val="single" w:sz="12" w:space="0" w:color="F4B184"/>
        </w:tcBorders>
      </w:tcPr>
    </w:tblStylePr>
    <w:tblStylePr w:type="lastRow">
      <w:rPr>
        <w:b/>
        <w:color w:val="F4B184"/>
      </w:rPr>
    </w:tblStylePr>
    <w:tblStylePr w:type="firstCol">
      <w:rPr>
        <w:b/>
        <w:color w:val="F4B184"/>
      </w:rPr>
    </w:tblStylePr>
    <w:tblStylePr w:type="lastCol">
      <w:rPr>
        <w:b/>
        <w:color w:val="F4B184"/>
      </w:r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TableauGrille6Couleur-Accentuation31">
    <w:name w:val="Tableau Grille 6 Couleur - Accentuation 3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Pr>
    <w:tblStylePr w:type="firstRow">
      <w:rPr>
        <w:b/>
        <w:color w:val="A5A5A5"/>
      </w:rPr>
      <w:tblPr/>
      <w:tcPr>
        <w:tcBorders>
          <w:bottom w:val="single" w:sz="12" w:space="0" w:color="A5A5A5"/>
        </w:tcBorders>
      </w:tcPr>
    </w:tblStylePr>
    <w:tblStylePr w:type="lastRow">
      <w:rPr>
        <w:b/>
        <w:color w:val="A5A5A5"/>
      </w:rPr>
    </w:tblStylePr>
    <w:tblStylePr w:type="firstCol">
      <w:rPr>
        <w:b/>
        <w:color w:val="A5A5A5"/>
      </w:rPr>
    </w:tblStylePr>
    <w:tblStylePr w:type="lastCol">
      <w:rPr>
        <w:b/>
        <w:color w:val="A5A5A5"/>
      </w:r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TableauGrille6Couleur-Accentuation41">
    <w:name w:val="Tableau Grille 6 Couleur - Accentuation 4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FD865"/>
        <w:left w:val="single" w:sz="4" w:space="0" w:color="FFD865"/>
        <w:bottom w:val="single" w:sz="4" w:space="0" w:color="FFD865"/>
        <w:right w:val="single" w:sz="4" w:space="0" w:color="FFD865"/>
        <w:insideH w:val="single" w:sz="4" w:space="0" w:color="FFD865"/>
        <w:insideV w:val="single" w:sz="4" w:space="0" w:color="FFD865"/>
      </w:tblBorders>
    </w:tblPr>
    <w:tblStylePr w:type="firstRow">
      <w:rPr>
        <w:b/>
        <w:color w:val="FFD865"/>
      </w:rPr>
      <w:tblPr/>
      <w:tcPr>
        <w:tcBorders>
          <w:bottom w:val="single" w:sz="12" w:space="0" w:color="FFD865"/>
        </w:tcBorders>
      </w:tcPr>
    </w:tblStylePr>
    <w:tblStylePr w:type="lastRow">
      <w:rPr>
        <w:b/>
        <w:color w:val="FFD865"/>
      </w:rPr>
    </w:tblStylePr>
    <w:tblStylePr w:type="firstCol">
      <w:rPr>
        <w:b/>
        <w:color w:val="FFD865"/>
      </w:rPr>
    </w:tblStylePr>
    <w:tblStylePr w:type="lastCol">
      <w:rPr>
        <w:b/>
        <w:color w:val="FFD865"/>
      </w:r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TableauGrille6Couleur-Accentuation51">
    <w:name w:val="Tableau Grille 6 Couleur - Accentuation 5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Pr>
    <w:tblStylePr w:type="firstRow">
      <w:rPr>
        <w:b/>
        <w:color w:val="254175"/>
      </w:rPr>
      <w:tblPr/>
      <w:tcPr>
        <w:tcBorders>
          <w:bottom w:val="single" w:sz="12" w:space="0" w:color="4472C4"/>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TableauGrille6Couleur-Accentuation61">
    <w:name w:val="Tableau Grille 6 Couleur - Accentuation 6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70AD47"/>
        <w:left w:val="single" w:sz="4" w:space="0" w:color="70AD47"/>
        <w:bottom w:val="single" w:sz="4" w:space="0" w:color="70AD47"/>
        <w:right w:val="single" w:sz="4" w:space="0" w:color="70AD47"/>
        <w:insideH w:val="single" w:sz="4" w:space="0" w:color="70AD47"/>
        <w:insideV w:val="single" w:sz="4" w:space="0" w:color="70AD47"/>
      </w:tblBorders>
    </w:tblPr>
    <w:tblStylePr w:type="firstRow">
      <w:rPr>
        <w:b/>
        <w:color w:val="254175"/>
      </w:rPr>
      <w:tblPr/>
      <w:tcPr>
        <w:tcBorders>
          <w:bottom w:val="single" w:sz="12" w:space="0" w:color="70AD47"/>
        </w:tcBorders>
      </w:tcPr>
    </w:tblStylePr>
    <w:tblStylePr w:type="lastRow">
      <w:rPr>
        <w:b/>
        <w:color w:val="254175"/>
      </w:rPr>
    </w:tblStylePr>
    <w:tblStylePr w:type="firstCol">
      <w:rPr>
        <w:b/>
        <w:color w:val="254175"/>
      </w:rPr>
    </w:tblStylePr>
    <w:tblStylePr w:type="lastCol">
      <w:rPr>
        <w:b/>
        <w:color w:val="254175"/>
      </w:rPr>
    </w:tblStylePr>
    <w:tblStylePr w:type="band1Vert">
      <w:tblPr/>
      <w:tcPr>
        <w:shd w:val="clear" w:color="E1EFD8" w:fill="E1EFD8"/>
      </w:tcPr>
    </w:tblStylePr>
    <w:tblStylePr w:type="band1Horz">
      <w:rPr>
        <w:rFonts w:ascii="Arial" w:hAnsi="Arial"/>
        <w:color w:val="254175"/>
        <w:sz w:val="22"/>
      </w:rPr>
      <w:tblPr/>
      <w:tcPr>
        <w:shd w:val="clear" w:color="E1EFD8" w:fill="E1EFD8"/>
      </w:tcPr>
    </w:tblStylePr>
    <w:tblStylePr w:type="band2Horz">
      <w:rPr>
        <w:rFonts w:ascii="Arial" w:hAnsi="Arial"/>
        <w:color w:val="254175"/>
        <w:sz w:val="22"/>
      </w:rPr>
    </w:tblStylePr>
  </w:style>
  <w:style w:type="table" w:styleId="TableauGrille7Couleur">
    <w:name w:val="Grid Table 7 Colorful"/>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bottom w:val="single" w:sz="4" w:space="0" w:color="7F7F7F"/>
        <w:right w:val="single" w:sz="4" w:space="0" w:color="7F7F7F"/>
        <w:insideH w:val="single" w:sz="4" w:space="0" w:color="7F7F7F"/>
        <w:insideV w:val="single" w:sz="4" w:space="0" w:color="7F7F7F"/>
      </w:tblBorders>
    </w:tblPr>
    <w:tblStylePr w:type="firstRow">
      <w:rPr>
        <w:rFonts w:ascii="Arial" w:hAnsi="Arial"/>
        <w:b/>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b/>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F2F2F2" w:fill="F2F2F2"/>
      </w:tcPr>
    </w:tblStylePr>
    <w:tblStylePr w:type="band1Horz">
      <w:rPr>
        <w:rFonts w:ascii="Arial" w:hAnsi="Arial"/>
        <w:color w:val="7F7F7F"/>
        <w:sz w:val="22"/>
      </w:rPr>
      <w:tblPr/>
      <w:tcPr>
        <w:shd w:val="clear" w:color="F2F2F2" w:fill="F2F2F2"/>
      </w:tcPr>
    </w:tblStylePr>
    <w:tblStylePr w:type="band2Horz">
      <w:rPr>
        <w:rFonts w:ascii="Arial" w:hAnsi="Arial"/>
        <w:color w:val="7F7F7F"/>
        <w:sz w:val="22"/>
      </w:rPr>
    </w:tblStylePr>
  </w:style>
  <w:style w:type="table" w:customStyle="1" w:styleId="TableauGrille7Couleur-Accentuation11">
    <w:name w:val="Tableau Grille 7 Couleur - Accentuation 1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bottom w:val="single" w:sz="4" w:space="0" w:color="ACCCEA"/>
        <w:right w:val="single" w:sz="4" w:space="0" w:color="ACCCEA"/>
        <w:insideH w:val="single" w:sz="4" w:space="0" w:color="ACCCEA"/>
        <w:insideV w:val="single" w:sz="4" w:space="0" w:color="ACCCEA"/>
      </w:tblBorders>
    </w:tblPr>
    <w:tblStylePr w:type="firstRow">
      <w:rPr>
        <w:rFonts w:ascii="Arial" w:hAnsi="Arial"/>
        <w:b/>
        <w:color w:val="ACCCEA"/>
        <w:sz w:val="22"/>
      </w:rPr>
      <w:tblPr/>
      <w:tcPr>
        <w:tcBorders>
          <w:top w:val="none" w:sz="4" w:space="0" w:color="000000"/>
          <w:left w:val="none" w:sz="4" w:space="0" w:color="000000"/>
          <w:bottom w:val="single" w:sz="4" w:space="0" w:color="ACCCEA"/>
          <w:right w:val="none" w:sz="4" w:space="0" w:color="000000"/>
        </w:tcBorders>
        <w:shd w:val="clear" w:color="FFFFFF" w:fill="FFFFFF"/>
      </w:tcPr>
    </w:tblStylePr>
    <w:tblStylePr w:type="lastRow">
      <w:rPr>
        <w:rFonts w:ascii="Arial" w:hAnsi="Arial"/>
        <w:b/>
        <w:color w:val="ACCCEA"/>
        <w:sz w:val="22"/>
      </w:rPr>
      <w:tblPr/>
      <w:tcPr>
        <w:tcBorders>
          <w:top w:val="single" w:sz="4" w:space="0" w:color="ACCCEA"/>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CCCEA"/>
        <w:sz w:val="22"/>
      </w:rPr>
      <w:tblPr/>
      <w:tcPr>
        <w:tcBorders>
          <w:top w:val="none" w:sz="4" w:space="0" w:color="000000"/>
          <w:left w:val="none" w:sz="4" w:space="0" w:color="000000"/>
          <w:bottom w:val="none" w:sz="4" w:space="0" w:color="000000"/>
          <w:right w:val="single" w:sz="4" w:space="0" w:color="ACCCEA"/>
        </w:tcBorders>
        <w:shd w:val="clear" w:color="FFFFFF" w:fill="auto"/>
      </w:tcPr>
    </w:tblStylePr>
    <w:tblStylePr w:type="lastCol">
      <w:rPr>
        <w:rFonts w:ascii="Arial" w:hAnsi="Arial"/>
        <w:i/>
        <w:color w:val="ACCCEA"/>
        <w:sz w:val="22"/>
      </w:rPr>
      <w:tblPr/>
      <w:tcPr>
        <w:tcBorders>
          <w:top w:val="none" w:sz="4" w:space="0" w:color="000000"/>
          <w:left w:val="single" w:sz="4" w:space="0" w:color="ACCCEA"/>
          <w:bottom w:val="none" w:sz="4" w:space="0" w:color="000000"/>
          <w:right w:val="none" w:sz="4" w:space="0" w:color="000000"/>
        </w:tcBorders>
        <w:shd w:val="clear" w:color="FFFFFF" w:fill="auto"/>
      </w:tcPr>
    </w:tblStylePr>
    <w:tblStylePr w:type="band1Vert">
      <w:tblPr/>
      <w:tcPr>
        <w:shd w:val="clear" w:color="DDEAF6" w:fill="DDEAF6"/>
      </w:tcPr>
    </w:tblStylePr>
    <w:tblStylePr w:type="band1Horz">
      <w:rPr>
        <w:rFonts w:ascii="Arial" w:hAnsi="Arial"/>
        <w:color w:val="ACCCEA"/>
        <w:sz w:val="22"/>
      </w:rPr>
      <w:tblPr/>
      <w:tcPr>
        <w:shd w:val="clear" w:color="DDEAF6" w:fill="DDEAF6"/>
      </w:tcPr>
    </w:tblStylePr>
    <w:tblStylePr w:type="band2Horz">
      <w:rPr>
        <w:rFonts w:ascii="Arial" w:hAnsi="Arial"/>
        <w:color w:val="ACCCEA"/>
        <w:sz w:val="22"/>
      </w:rPr>
    </w:tblStylePr>
  </w:style>
  <w:style w:type="table" w:customStyle="1" w:styleId="TableauGrille7Couleur-Accentuation21">
    <w:name w:val="Tableau Grille 7 Couleur - Accentuation 2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bottom w:val="single" w:sz="4" w:space="0" w:color="F4B184"/>
        <w:right w:val="single" w:sz="4" w:space="0" w:color="F4B184"/>
        <w:insideH w:val="single" w:sz="4" w:space="0" w:color="F4B184"/>
        <w:insideV w:val="single" w:sz="4" w:space="0" w:color="F4B184"/>
      </w:tblBorders>
    </w:tblPr>
    <w:tblStylePr w:type="firstRow">
      <w:rPr>
        <w:rFonts w:ascii="Arial" w:hAnsi="Arial"/>
        <w:b/>
        <w:color w:val="F4B184"/>
        <w:sz w:val="22"/>
      </w:rPr>
      <w:tblPr/>
      <w:tcPr>
        <w:tcBorders>
          <w:top w:val="none" w:sz="4" w:space="0" w:color="000000"/>
          <w:left w:val="none" w:sz="4" w:space="0" w:color="000000"/>
          <w:bottom w:val="single" w:sz="4" w:space="0" w:color="F4B184"/>
          <w:right w:val="none" w:sz="4" w:space="0" w:color="000000"/>
        </w:tcBorders>
        <w:shd w:val="clear" w:color="FFFFFF" w:fill="FFFFFF"/>
      </w:tcPr>
    </w:tblStylePr>
    <w:tblStylePr w:type="lastRow">
      <w:rPr>
        <w:rFonts w:ascii="Arial" w:hAnsi="Arial"/>
        <w:b/>
        <w:color w:val="F4B184"/>
        <w:sz w:val="22"/>
      </w:rPr>
      <w:tblPr/>
      <w:tcPr>
        <w:tcBorders>
          <w:top w:val="single" w:sz="4" w:space="0" w:color="F4B184"/>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4B184"/>
        <w:sz w:val="22"/>
      </w:rPr>
      <w:tblPr/>
      <w:tcPr>
        <w:tcBorders>
          <w:top w:val="none" w:sz="4" w:space="0" w:color="000000"/>
          <w:left w:val="none" w:sz="4" w:space="0" w:color="000000"/>
          <w:bottom w:val="none" w:sz="4" w:space="0" w:color="000000"/>
          <w:right w:val="single" w:sz="4" w:space="0" w:color="F4B184"/>
        </w:tcBorders>
        <w:shd w:val="clear" w:color="FFFFFF" w:fill="auto"/>
      </w:tcPr>
    </w:tblStylePr>
    <w:tblStylePr w:type="lastCol">
      <w:rPr>
        <w:rFonts w:ascii="Arial" w:hAnsi="Arial"/>
        <w:i/>
        <w:color w:val="F4B184"/>
        <w:sz w:val="22"/>
      </w:rPr>
      <w:tblPr/>
      <w:tcPr>
        <w:tcBorders>
          <w:top w:val="none" w:sz="4" w:space="0" w:color="000000"/>
          <w:left w:val="single" w:sz="4" w:space="0" w:color="F4B184"/>
          <w:bottom w:val="none" w:sz="4" w:space="0" w:color="000000"/>
          <w:right w:val="none" w:sz="4" w:space="0" w:color="000000"/>
        </w:tcBorders>
        <w:shd w:val="clear" w:color="FFFFFF" w:fill="auto"/>
      </w:tcPr>
    </w:tblStylePr>
    <w:tblStylePr w:type="band1Vert">
      <w:tblPr/>
      <w:tcPr>
        <w:shd w:val="clear" w:color="FBE5D6" w:fill="FBE5D6"/>
      </w:tcPr>
    </w:tblStylePr>
    <w:tblStylePr w:type="band1Horz">
      <w:rPr>
        <w:rFonts w:ascii="Arial" w:hAnsi="Arial"/>
        <w:color w:val="F4B184"/>
        <w:sz w:val="22"/>
      </w:rPr>
      <w:tblPr/>
      <w:tcPr>
        <w:shd w:val="clear" w:color="FBE5D6" w:fill="FBE5D6"/>
      </w:tcPr>
    </w:tblStylePr>
    <w:tblStylePr w:type="band2Horz">
      <w:rPr>
        <w:rFonts w:ascii="Arial" w:hAnsi="Arial"/>
        <w:color w:val="F4B184"/>
        <w:sz w:val="22"/>
      </w:rPr>
    </w:tblStylePr>
  </w:style>
  <w:style w:type="table" w:customStyle="1" w:styleId="TableauGrille7Couleur-Accentuation31">
    <w:name w:val="Tableau Grille 7 Couleur - Accentuation 3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bottom w:val="single" w:sz="4" w:space="0" w:color="A5A5A5"/>
        <w:right w:val="single" w:sz="4" w:space="0" w:color="A5A5A5"/>
        <w:insideH w:val="single" w:sz="4" w:space="0" w:color="A5A5A5"/>
        <w:insideV w:val="single" w:sz="4" w:space="0" w:color="A5A5A5"/>
      </w:tblBorders>
    </w:tblPr>
    <w:tblStylePr w:type="firstRow">
      <w:rPr>
        <w:rFonts w:ascii="Arial" w:hAnsi="Arial"/>
        <w:b/>
        <w:color w:val="A5A5A5"/>
        <w:sz w:val="22"/>
      </w:rPr>
      <w:tblPr/>
      <w:tcPr>
        <w:tcBorders>
          <w:top w:val="none" w:sz="4" w:space="0" w:color="000000"/>
          <w:left w:val="none" w:sz="4" w:space="0" w:color="000000"/>
          <w:bottom w:val="single" w:sz="4" w:space="0" w:color="A5A5A5"/>
          <w:right w:val="none" w:sz="4" w:space="0" w:color="000000"/>
        </w:tcBorders>
        <w:shd w:val="clear" w:color="FFFFFF" w:fill="FFFFFF"/>
      </w:tcPr>
    </w:tblStylePr>
    <w:tblStylePr w:type="lastRow">
      <w:rPr>
        <w:rFonts w:ascii="Arial" w:hAnsi="Arial"/>
        <w:b/>
        <w:color w:val="A5A5A5"/>
        <w:sz w:val="22"/>
      </w:rPr>
      <w:tblPr/>
      <w:tcPr>
        <w:tcBorders>
          <w:top w:val="single" w:sz="4" w:space="0" w:color="A5A5A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5A5A5"/>
        <w:sz w:val="22"/>
      </w:rPr>
      <w:tblPr/>
      <w:tcPr>
        <w:tcBorders>
          <w:top w:val="none" w:sz="4" w:space="0" w:color="000000"/>
          <w:left w:val="none" w:sz="4" w:space="0" w:color="000000"/>
          <w:bottom w:val="none" w:sz="4" w:space="0" w:color="000000"/>
          <w:right w:val="single" w:sz="4" w:space="0" w:color="A5A5A5"/>
        </w:tcBorders>
        <w:shd w:val="clear" w:color="FFFFFF" w:fill="auto"/>
      </w:tcPr>
    </w:tblStylePr>
    <w:tblStylePr w:type="lastCol">
      <w:rPr>
        <w:rFonts w:ascii="Arial" w:hAnsi="Arial"/>
        <w:i/>
        <w:color w:val="A5A5A5"/>
        <w:sz w:val="22"/>
      </w:rPr>
      <w:tblPr/>
      <w:tcPr>
        <w:tcBorders>
          <w:top w:val="none" w:sz="4" w:space="0" w:color="000000"/>
          <w:left w:val="single" w:sz="4" w:space="0" w:color="A5A5A5"/>
          <w:bottom w:val="none" w:sz="4" w:space="0" w:color="000000"/>
          <w:right w:val="none" w:sz="4" w:space="0" w:color="000000"/>
        </w:tcBorders>
        <w:shd w:val="clear" w:color="FFFFFF" w:fill="auto"/>
      </w:tcPr>
    </w:tblStylePr>
    <w:tblStylePr w:type="band1Vert">
      <w:tblPr/>
      <w:tcPr>
        <w:shd w:val="clear" w:color="ECECEC" w:fill="ECECEC"/>
      </w:tcPr>
    </w:tblStylePr>
    <w:tblStylePr w:type="band1Horz">
      <w:rPr>
        <w:rFonts w:ascii="Arial" w:hAnsi="Arial"/>
        <w:color w:val="A5A5A5"/>
        <w:sz w:val="22"/>
      </w:rPr>
      <w:tblPr/>
      <w:tcPr>
        <w:shd w:val="clear" w:color="ECECEC" w:fill="ECECEC"/>
      </w:tcPr>
    </w:tblStylePr>
    <w:tblStylePr w:type="band2Horz">
      <w:rPr>
        <w:rFonts w:ascii="Arial" w:hAnsi="Arial"/>
        <w:color w:val="A5A5A5"/>
        <w:sz w:val="22"/>
      </w:rPr>
    </w:tblStylePr>
  </w:style>
  <w:style w:type="table" w:customStyle="1" w:styleId="TableauGrille7Couleur-Accentuation41">
    <w:name w:val="Tableau Grille 7 Couleur - Accentuation 4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bottom w:val="single" w:sz="4" w:space="0" w:color="FFD865"/>
        <w:right w:val="single" w:sz="4" w:space="0" w:color="FFD865"/>
        <w:insideH w:val="single" w:sz="4" w:space="0" w:color="FFD865"/>
        <w:insideV w:val="single" w:sz="4" w:space="0" w:color="FFD865"/>
      </w:tblBorders>
    </w:tblPr>
    <w:tblStylePr w:type="firstRow">
      <w:rPr>
        <w:rFonts w:ascii="Arial" w:hAnsi="Arial"/>
        <w:b/>
        <w:color w:val="FFD865"/>
        <w:sz w:val="22"/>
      </w:rPr>
      <w:tblPr/>
      <w:tcPr>
        <w:tcBorders>
          <w:top w:val="none" w:sz="4" w:space="0" w:color="000000"/>
          <w:left w:val="none" w:sz="4" w:space="0" w:color="000000"/>
          <w:bottom w:val="single" w:sz="4" w:space="0" w:color="FFD865"/>
          <w:right w:val="none" w:sz="4" w:space="0" w:color="000000"/>
        </w:tcBorders>
        <w:shd w:val="clear" w:color="FFFFFF" w:fill="FFFFFF"/>
      </w:tcPr>
    </w:tblStylePr>
    <w:tblStylePr w:type="lastRow">
      <w:rPr>
        <w:rFonts w:ascii="Arial" w:hAnsi="Arial"/>
        <w:b/>
        <w:color w:val="FFD865"/>
        <w:sz w:val="22"/>
      </w:rPr>
      <w:tblPr/>
      <w:tcPr>
        <w:tcBorders>
          <w:top w:val="single" w:sz="4" w:space="0" w:color="FFD86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FD865"/>
        <w:sz w:val="22"/>
      </w:rPr>
      <w:tblPr/>
      <w:tcPr>
        <w:tcBorders>
          <w:top w:val="none" w:sz="4" w:space="0" w:color="000000"/>
          <w:left w:val="none" w:sz="4" w:space="0" w:color="000000"/>
          <w:bottom w:val="none" w:sz="4" w:space="0" w:color="000000"/>
          <w:right w:val="single" w:sz="4" w:space="0" w:color="FFD865"/>
        </w:tcBorders>
        <w:shd w:val="clear" w:color="FFFFFF" w:fill="auto"/>
      </w:tcPr>
    </w:tblStylePr>
    <w:tblStylePr w:type="lastCol">
      <w:rPr>
        <w:rFonts w:ascii="Arial" w:hAnsi="Arial"/>
        <w:i/>
        <w:color w:val="FFD865"/>
        <w:sz w:val="22"/>
      </w:rPr>
      <w:tblPr/>
      <w:tcPr>
        <w:tcBorders>
          <w:top w:val="none" w:sz="4" w:space="0" w:color="000000"/>
          <w:left w:val="single" w:sz="4" w:space="0" w:color="FFD865"/>
          <w:bottom w:val="none" w:sz="4" w:space="0" w:color="000000"/>
          <w:right w:val="none" w:sz="4" w:space="0" w:color="000000"/>
        </w:tcBorders>
        <w:shd w:val="clear" w:color="FFFFFF" w:fill="auto"/>
      </w:tcPr>
    </w:tblStylePr>
    <w:tblStylePr w:type="band1Vert">
      <w:tblPr/>
      <w:tcPr>
        <w:shd w:val="clear" w:color="FFF2CB" w:fill="FFF2CB"/>
      </w:tcPr>
    </w:tblStylePr>
    <w:tblStylePr w:type="band1Horz">
      <w:rPr>
        <w:rFonts w:ascii="Arial" w:hAnsi="Arial"/>
        <w:color w:val="FFD865"/>
        <w:sz w:val="22"/>
      </w:rPr>
      <w:tblPr/>
      <w:tcPr>
        <w:shd w:val="clear" w:color="FFF2CB" w:fill="FFF2CB"/>
      </w:tcPr>
    </w:tblStylePr>
    <w:tblStylePr w:type="band2Horz">
      <w:rPr>
        <w:rFonts w:ascii="Arial" w:hAnsi="Arial"/>
        <w:color w:val="FFD865"/>
        <w:sz w:val="22"/>
      </w:rPr>
    </w:tblStylePr>
  </w:style>
  <w:style w:type="table" w:customStyle="1" w:styleId="TableauGrille7Couleur-Accentuation51">
    <w:name w:val="Tableau Grille 7 Couleur - Accentuation 5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bottom w:val="single" w:sz="4" w:space="0" w:color="95AFDD"/>
        <w:right w:val="single" w:sz="4" w:space="0" w:color="95AFDD"/>
        <w:insideH w:val="single" w:sz="4" w:space="0" w:color="95AFDD"/>
        <w:insideV w:val="single" w:sz="4" w:space="0" w:color="95AFDD"/>
      </w:tblBorders>
    </w:tblPr>
    <w:tblStylePr w:type="firstRow">
      <w:rPr>
        <w:rFonts w:ascii="Arial" w:hAnsi="Arial"/>
        <w:b/>
        <w:color w:val="254175"/>
        <w:sz w:val="22"/>
      </w:rPr>
      <w:tblPr/>
      <w:tcPr>
        <w:tcBorders>
          <w:top w:val="none" w:sz="4" w:space="0" w:color="000000"/>
          <w:left w:val="none" w:sz="4" w:space="0" w:color="000000"/>
          <w:bottom w:val="single" w:sz="4" w:space="0" w:color="95AFDD"/>
          <w:right w:val="none" w:sz="4" w:space="0" w:color="000000"/>
        </w:tcBorders>
        <w:shd w:val="clear" w:color="FFFFFF" w:fill="FFFFFF"/>
      </w:tcPr>
    </w:tblStylePr>
    <w:tblStylePr w:type="lastRow">
      <w:rPr>
        <w:rFonts w:ascii="Arial" w:hAnsi="Arial"/>
        <w:b/>
        <w:color w:val="254175"/>
        <w:sz w:val="22"/>
      </w:rPr>
      <w:tblPr/>
      <w:tcPr>
        <w:tcBorders>
          <w:top w:val="single" w:sz="4" w:space="0" w:color="95AFDD"/>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54175"/>
        <w:sz w:val="22"/>
      </w:rPr>
      <w:tblPr/>
      <w:tcPr>
        <w:tcBorders>
          <w:top w:val="none" w:sz="4" w:space="0" w:color="000000"/>
          <w:left w:val="none" w:sz="4" w:space="0" w:color="000000"/>
          <w:bottom w:val="none" w:sz="4" w:space="0" w:color="000000"/>
          <w:right w:val="single" w:sz="4" w:space="0" w:color="95AFDD"/>
        </w:tcBorders>
        <w:shd w:val="clear" w:color="FFFFFF" w:fill="auto"/>
      </w:tcPr>
    </w:tblStylePr>
    <w:tblStylePr w:type="lastCol">
      <w:rPr>
        <w:rFonts w:ascii="Arial" w:hAnsi="Arial"/>
        <w:i/>
        <w:color w:val="254175"/>
        <w:sz w:val="22"/>
      </w:rPr>
      <w:tblPr/>
      <w:tcPr>
        <w:tcBorders>
          <w:top w:val="none" w:sz="4" w:space="0" w:color="000000"/>
          <w:left w:val="single" w:sz="4" w:space="0" w:color="95AFDD"/>
          <w:bottom w:val="none" w:sz="4" w:space="0" w:color="000000"/>
          <w:right w:val="none" w:sz="4" w:space="0" w:color="000000"/>
        </w:tcBorders>
        <w:shd w:val="clear" w:color="FFFFFF" w:fill="auto"/>
      </w:tcPr>
    </w:tblStylePr>
    <w:tblStylePr w:type="band1Vert">
      <w:tblPr/>
      <w:tcPr>
        <w:shd w:val="clear" w:color="D8E2F3" w:fill="D8E2F3"/>
      </w:tcPr>
    </w:tblStylePr>
    <w:tblStylePr w:type="band1Horz">
      <w:rPr>
        <w:rFonts w:ascii="Arial" w:hAnsi="Arial"/>
        <w:color w:val="254175"/>
        <w:sz w:val="22"/>
      </w:rPr>
      <w:tblPr/>
      <w:tcPr>
        <w:shd w:val="clear" w:color="D8E2F3" w:fill="D8E2F3"/>
      </w:tcPr>
    </w:tblStylePr>
    <w:tblStylePr w:type="band2Horz">
      <w:rPr>
        <w:rFonts w:ascii="Arial" w:hAnsi="Arial"/>
        <w:color w:val="254175"/>
        <w:sz w:val="22"/>
      </w:rPr>
    </w:tblStylePr>
  </w:style>
  <w:style w:type="table" w:customStyle="1" w:styleId="TableauGrille7Couleur-Accentuation61">
    <w:name w:val="Tableau Grille 7 Couleur - Accentuation 6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bottom w:val="single" w:sz="4" w:space="0" w:color="ADD394"/>
        <w:right w:val="single" w:sz="4" w:space="0" w:color="ADD394"/>
        <w:insideH w:val="single" w:sz="4" w:space="0" w:color="ADD394"/>
        <w:insideV w:val="single" w:sz="4" w:space="0" w:color="ADD394"/>
      </w:tblBorders>
    </w:tblPr>
    <w:tblStylePr w:type="firstRow">
      <w:rPr>
        <w:rFonts w:ascii="Arial" w:hAnsi="Arial"/>
        <w:b/>
        <w:color w:val="416429"/>
        <w:sz w:val="22"/>
      </w:rPr>
      <w:tblPr/>
      <w:tcPr>
        <w:tcBorders>
          <w:top w:val="none" w:sz="4" w:space="0" w:color="000000"/>
          <w:left w:val="none" w:sz="4" w:space="0" w:color="000000"/>
          <w:bottom w:val="single" w:sz="4" w:space="0" w:color="ADD394"/>
          <w:right w:val="none" w:sz="4" w:space="0" w:color="000000"/>
        </w:tcBorders>
        <w:shd w:val="clear" w:color="FFFFFF" w:fill="FFFFFF"/>
      </w:tcPr>
    </w:tblStylePr>
    <w:tblStylePr w:type="lastRow">
      <w:rPr>
        <w:rFonts w:ascii="Arial" w:hAnsi="Arial"/>
        <w:b/>
        <w:color w:val="416429"/>
        <w:sz w:val="22"/>
      </w:rPr>
      <w:tblPr/>
      <w:tcPr>
        <w:tcBorders>
          <w:top w:val="single" w:sz="4" w:space="0" w:color="ADD394"/>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416429"/>
        <w:sz w:val="22"/>
      </w:rPr>
      <w:tblPr/>
      <w:tcPr>
        <w:tcBorders>
          <w:top w:val="none" w:sz="4" w:space="0" w:color="000000"/>
          <w:left w:val="none" w:sz="4" w:space="0" w:color="000000"/>
          <w:bottom w:val="none" w:sz="4" w:space="0" w:color="000000"/>
          <w:right w:val="single" w:sz="4" w:space="0" w:color="ADD394"/>
        </w:tcBorders>
        <w:shd w:val="clear" w:color="FFFFFF" w:fill="auto"/>
      </w:tcPr>
    </w:tblStylePr>
    <w:tblStylePr w:type="lastCol">
      <w:rPr>
        <w:rFonts w:ascii="Arial" w:hAnsi="Arial"/>
        <w:i/>
        <w:color w:val="416429"/>
        <w:sz w:val="22"/>
      </w:rPr>
      <w:tblPr/>
      <w:tcPr>
        <w:tcBorders>
          <w:top w:val="none" w:sz="4" w:space="0" w:color="000000"/>
          <w:left w:val="single" w:sz="4" w:space="0" w:color="ADD394"/>
          <w:bottom w:val="none" w:sz="4" w:space="0" w:color="000000"/>
          <w:right w:val="none" w:sz="4" w:space="0" w:color="000000"/>
        </w:tcBorders>
        <w:shd w:val="clear" w:color="FFFFFF" w:fill="auto"/>
      </w:tcPr>
    </w:tblStylePr>
    <w:tblStylePr w:type="band1Vert">
      <w:tblPr/>
      <w:tcPr>
        <w:shd w:val="clear" w:color="E1EFD8" w:fill="E1EFD8"/>
      </w:tcPr>
    </w:tblStylePr>
    <w:tblStylePr w:type="band1Horz">
      <w:rPr>
        <w:rFonts w:ascii="Arial" w:hAnsi="Arial"/>
        <w:color w:val="416429"/>
        <w:sz w:val="22"/>
      </w:rPr>
      <w:tblPr/>
      <w:tcPr>
        <w:shd w:val="clear" w:color="E1EFD8" w:fill="E1EFD8"/>
      </w:tcPr>
    </w:tblStylePr>
    <w:tblStylePr w:type="band2Horz">
      <w:rPr>
        <w:rFonts w:ascii="Arial" w:hAnsi="Arial"/>
        <w:color w:val="416429"/>
        <w:sz w:val="22"/>
      </w:rPr>
    </w:tblStylePr>
  </w:style>
  <w:style w:type="table" w:styleId="TableauListe1Clair">
    <w:name w:val="List Table 1 Light"/>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right w:val="none" w:sz="4" w:space="0" w:color="000000"/>
        </w:tcBorders>
      </w:tcPr>
    </w:tblStylePr>
    <w:tblStylePr w:type="lastRow">
      <w:rPr>
        <w:b/>
        <w:color w:val="404040"/>
      </w:rPr>
      <w:tblPr/>
      <w:tcPr>
        <w:tcBorders>
          <w:top w:val="single" w:sz="4" w:space="0" w:color="000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TableauListe1Clair-Accentuation11">
    <w:name w:val="Tableau Liste 1 Clair - Accentuation 1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Pr>
    <w:tblStylePr w:type="firstRow">
      <w:rPr>
        <w:b/>
        <w:color w:val="404040"/>
      </w:rPr>
      <w:tblPr/>
      <w:tcPr>
        <w:tcBorders>
          <w:top w:val="none" w:sz="4" w:space="0" w:color="000000"/>
          <w:left w:val="none" w:sz="4" w:space="0" w:color="000000"/>
          <w:bottom w:val="single" w:sz="4" w:space="0" w:color="5B9BD5"/>
          <w:right w:val="none" w:sz="4" w:space="0" w:color="000000"/>
        </w:tcBorders>
      </w:tcPr>
    </w:tblStylePr>
    <w:tblStylePr w:type="lastRow">
      <w:rPr>
        <w:b/>
        <w:color w:val="404040"/>
      </w:rPr>
      <w:tblPr/>
      <w:tcPr>
        <w:tcBorders>
          <w:top w:val="single" w:sz="4" w:space="0" w:color="5B9BD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cPr>
    </w:tblStylePr>
    <w:tblStylePr w:type="band1Horz">
      <w:tblPr/>
      <w:tcPr>
        <w:shd w:val="clear" w:color="D5E5F4" w:fill="D5E5F4"/>
      </w:tcPr>
    </w:tblStylePr>
  </w:style>
  <w:style w:type="table" w:customStyle="1" w:styleId="TableauListe1Clair-Accentuation21">
    <w:name w:val="Tableau Liste 1 Clair - Accentuation 2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Pr>
    <w:tblStylePr w:type="firstRow">
      <w:rPr>
        <w:b/>
        <w:color w:val="404040"/>
      </w:rPr>
      <w:tblPr/>
      <w:tcPr>
        <w:tcBorders>
          <w:top w:val="none" w:sz="4" w:space="0" w:color="000000"/>
          <w:left w:val="none" w:sz="4" w:space="0" w:color="000000"/>
          <w:bottom w:val="single" w:sz="4" w:space="0" w:color="ED7D31"/>
          <w:right w:val="none" w:sz="4" w:space="0" w:color="000000"/>
        </w:tcBorders>
      </w:tcPr>
    </w:tblStylePr>
    <w:tblStylePr w:type="lastRow">
      <w:rPr>
        <w:b/>
        <w:color w:val="404040"/>
      </w:rPr>
      <w:tblPr/>
      <w:tcPr>
        <w:tcBorders>
          <w:top w:val="single" w:sz="4" w:space="0" w:color="ED7D3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cPr>
    </w:tblStylePr>
    <w:tblStylePr w:type="band1Horz">
      <w:tblPr/>
      <w:tcPr>
        <w:shd w:val="clear" w:color="FADECB" w:fill="FADECB"/>
      </w:tcPr>
    </w:tblStylePr>
  </w:style>
  <w:style w:type="table" w:customStyle="1" w:styleId="TableauListe1Clair-Accentuation31">
    <w:name w:val="Tableau Liste 1 Clair - Accentuation 3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Pr>
    <w:tblStylePr w:type="firstRow">
      <w:rPr>
        <w:b/>
        <w:color w:val="404040"/>
      </w:rPr>
      <w:tblPr/>
      <w:tcPr>
        <w:tcBorders>
          <w:top w:val="none" w:sz="4" w:space="0" w:color="000000"/>
          <w:left w:val="none" w:sz="4" w:space="0" w:color="000000"/>
          <w:bottom w:val="single" w:sz="4" w:space="0" w:color="A5A5A5"/>
          <w:right w:val="none" w:sz="4" w:space="0" w:color="000000"/>
        </w:tcBorders>
      </w:tcPr>
    </w:tblStylePr>
    <w:tblStylePr w:type="lastRow">
      <w:rPr>
        <w:b/>
        <w:color w:val="404040"/>
      </w:rPr>
      <w:tblPr/>
      <w:tcPr>
        <w:tcBorders>
          <w:top w:val="single" w:sz="4" w:space="0" w:color="A5A5A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table" w:customStyle="1" w:styleId="TableauListe1Clair-Accentuation41">
    <w:name w:val="Tableau Liste 1 Clair - Accentuation 4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Pr>
    <w:tblStylePr w:type="firstRow">
      <w:rPr>
        <w:b/>
        <w:color w:val="404040"/>
      </w:rPr>
      <w:tblPr/>
      <w:tcPr>
        <w:tcBorders>
          <w:top w:val="none" w:sz="4" w:space="0" w:color="000000"/>
          <w:left w:val="none" w:sz="4" w:space="0" w:color="000000"/>
          <w:bottom w:val="single" w:sz="4" w:space="0" w:color="FFC000"/>
          <w:right w:val="none" w:sz="4" w:space="0" w:color="000000"/>
        </w:tcBorders>
      </w:tcPr>
    </w:tblStylePr>
    <w:tblStylePr w:type="lastRow">
      <w:rPr>
        <w:b/>
        <w:color w:val="404040"/>
      </w:rPr>
      <w:tblPr/>
      <w:tcPr>
        <w:tcBorders>
          <w:top w:val="single" w:sz="4" w:space="0" w:color="FFC000"/>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cPr>
    </w:tblStylePr>
    <w:tblStylePr w:type="band1Horz">
      <w:tblPr/>
      <w:tcPr>
        <w:shd w:val="clear" w:color="FFEFBF" w:fill="FFEFBF"/>
      </w:tcPr>
    </w:tblStylePr>
  </w:style>
  <w:style w:type="table" w:customStyle="1" w:styleId="TableauListe1Clair-Accentuation51">
    <w:name w:val="Tableau Liste 1 Clair - Accentuation 5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Pr>
    <w:tblStylePr w:type="firstRow">
      <w:rPr>
        <w:b/>
        <w:color w:val="404040"/>
      </w:rPr>
      <w:tblPr/>
      <w:tcPr>
        <w:tcBorders>
          <w:top w:val="none" w:sz="4" w:space="0" w:color="000000"/>
          <w:left w:val="none" w:sz="4" w:space="0" w:color="000000"/>
          <w:bottom w:val="single" w:sz="4" w:space="0" w:color="4472C4"/>
          <w:right w:val="none" w:sz="4" w:space="0" w:color="000000"/>
        </w:tcBorders>
      </w:tcPr>
    </w:tblStylePr>
    <w:tblStylePr w:type="lastRow">
      <w:rPr>
        <w:b/>
        <w:color w:val="404040"/>
      </w:rPr>
      <w:tblPr/>
      <w:tcPr>
        <w:tcBorders>
          <w:top w:val="single" w:sz="4" w:space="0" w:color="4472C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cPr>
    </w:tblStylePr>
    <w:tblStylePr w:type="band1Horz">
      <w:tblPr/>
      <w:tcPr>
        <w:shd w:val="clear" w:color="CFDBF0" w:fill="CFDBF0"/>
      </w:tcPr>
    </w:tblStylePr>
  </w:style>
  <w:style w:type="table" w:customStyle="1" w:styleId="TableauListe1Clair-Accentuation61">
    <w:name w:val="Tableau Liste 1 Clair - Accentuation 6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Pr>
    <w:tblStylePr w:type="firstRow">
      <w:rPr>
        <w:b/>
        <w:color w:val="404040"/>
      </w:rPr>
      <w:tblPr/>
      <w:tcPr>
        <w:tcBorders>
          <w:top w:val="none" w:sz="4" w:space="0" w:color="000000"/>
          <w:left w:val="none" w:sz="4" w:space="0" w:color="000000"/>
          <w:bottom w:val="single" w:sz="4" w:space="0" w:color="70AD47"/>
          <w:right w:val="none" w:sz="4" w:space="0" w:color="000000"/>
        </w:tcBorders>
      </w:tcPr>
    </w:tblStylePr>
    <w:tblStylePr w:type="lastRow">
      <w:rPr>
        <w:b/>
        <w:color w:val="404040"/>
      </w:rPr>
      <w:tblPr/>
      <w:tcPr>
        <w:tcBorders>
          <w:top w:val="single" w:sz="4" w:space="0" w:color="70AD47"/>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cPr>
    </w:tblStylePr>
    <w:tblStylePr w:type="band1Horz">
      <w:tblPr/>
      <w:tcPr>
        <w:shd w:val="clear" w:color="DAEBCF" w:fill="DAEBCF"/>
      </w:tcPr>
    </w:tblStylePr>
  </w:style>
  <w:style w:type="table" w:styleId="TableauListe2">
    <w:name w:val="List Table 2"/>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6F6F6F"/>
        <w:bottom w:val="single" w:sz="4" w:space="0" w:color="6F6F6F"/>
        <w:insideH w:val="single" w:sz="4" w:space="0" w:color="6F6F6F"/>
      </w:tblBorders>
    </w:tblPr>
    <w:tblStylePr w:type="fir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lastRow">
      <w:rPr>
        <w:rFonts w:ascii="Arial" w:hAnsi="Arial"/>
        <w:b/>
        <w:color w:val="404040"/>
        <w:sz w:val="22"/>
      </w:rPr>
      <w:tblPr/>
      <w:tcPr>
        <w:tcBorders>
          <w:top w:val="single" w:sz="4" w:space="0" w:color="6F6F6F"/>
          <w:left w:val="none" w:sz="4" w:space="0" w:color="000000"/>
          <w:bottom w:val="single" w:sz="4" w:space="0" w:color="6F6F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TableauListe2-Accentuation11">
    <w:name w:val="Tableau Liste 2 - Accentuation 1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A2C6E7"/>
        <w:bottom w:val="single" w:sz="4" w:space="0" w:color="A2C6E7"/>
        <w:insideH w:val="single" w:sz="4" w:space="0" w:color="A2C6E7"/>
      </w:tblBorders>
    </w:tblPr>
    <w:tblStylePr w:type="fir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lastRow">
      <w:rPr>
        <w:rFonts w:ascii="Arial" w:hAnsi="Arial"/>
        <w:b/>
        <w:color w:val="404040"/>
        <w:sz w:val="22"/>
      </w:rPr>
      <w:tblPr/>
      <w:tcPr>
        <w:tcBorders>
          <w:top w:val="single" w:sz="4" w:space="0" w:color="A2C6E7"/>
          <w:left w:val="none" w:sz="4" w:space="0" w:color="000000"/>
          <w:bottom w:val="single" w:sz="4" w:space="0" w:color="A2C6E7"/>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TableauListe2-Accentuation21">
    <w:name w:val="Tableau Liste 2 - Accentuation 2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4B58A"/>
        <w:bottom w:val="single" w:sz="4" w:space="0" w:color="F4B58A"/>
        <w:insideH w:val="single" w:sz="4" w:space="0" w:color="F4B58A"/>
      </w:tblBorders>
    </w:tblPr>
    <w:tblStylePr w:type="fir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lastRow">
      <w:rPr>
        <w:rFonts w:ascii="Arial" w:hAnsi="Arial"/>
        <w:b/>
        <w:color w:val="404040"/>
        <w:sz w:val="22"/>
      </w:rPr>
      <w:tblPr/>
      <w:tcPr>
        <w:tcBorders>
          <w:top w:val="single" w:sz="4" w:space="0" w:color="F4B58A"/>
          <w:left w:val="none" w:sz="4" w:space="0" w:color="000000"/>
          <w:bottom w:val="single" w:sz="4" w:space="0" w:color="F4B58A"/>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TableauListe2-Accentuation31">
    <w:name w:val="Tableau Liste 2 - Accentuation 3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CCCCCC"/>
        <w:bottom w:val="single" w:sz="4" w:space="0" w:color="CCCCCC"/>
        <w:insideH w:val="single" w:sz="4" w:space="0" w:color="CCCCCC"/>
      </w:tblBorders>
    </w:tblPr>
    <w:tblStylePr w:type="fir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lastRow">
      <w:rPr>
        <w:rFonts w:ascii="Arial" w:hAnsi="Arial"/>
        <w:b/>
        <w:color w:val="404040"/>
        <w:sz w:val="22"/>
      </w:rPr>
      <w:tblPr/>
      <w:tcPr>
        <w:tcBorders>
          <w:top w:val="single" w:sz="4" w:space="0" w:color="CCCCCC"/>
          <w:left w:val="none" w:sz="4" w:space="0" w:color="000000"/>
          <w:bottom w:val="single" w:sz="4" w:space="0" w:color="CCCCCC"/>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TableauListe2-Accentuation41">
    <w:name w:val="Tableau Liste 2 - Accentuation 4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FDB6F"/>
        <w:bottom w:val="single" w:sz="4" w:space="0" w:color="FFDB6F"/>
        <w:insideH w:val="single" w:sz="4" w:space="0" w:color="FFDB6F"/>
      </w:tblBorders>
    </w:tblPr>
    <w:tblStylePr w:type="fir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lastRow">
      <w:rPr>
        <w:rFonts w:ascii="Arial" w:hAnsi="Arial"/>
        <w:b/>
        <w:color w:val="404040"/>
        <w:sz w:val="22"/>
      </w:rPr>
      <w:tblPr/>
      <w:tcPr>
        <w:tcBorders>
          <w:top w:val="single" w:sz="4" w:space="0" w:color="FFDB6F"/>
          <w:left w:val="none" w:sz="4" w:space="0" w:color="000000"/>
          <w:bottom w:val="single" w:sz="4" w:space="0" w:color="FFDB6F"/>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TableauListe2-Accentuation51">
    <w:name w:val="Tableau Liste 2 - Accentuation 5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95AFDD"/>
        <w:bottom w:val="single" w:sz="4" w:space="0" w:color="95AFDD"/>
        <w:insideH w:val="single" w:sz="4" w:space="0" w:color="95AFDD"/>
      </w:tblBorders>
    </w:tblPr>
    <w:tblStylePr w:type="fir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lastRow">
      <w:rPr>
        <w:rFonts w:ascii="Arial" w:hAnsi="Arial"/>
        <w:b/>
        <w:color w:val="404040"/>
        <w:sz w:val="22"/>
      </w:rPr>
      <w:tblPr/>
      <w:tcPr>
        <w:tcBorders>
          <w:top w:val="single" w:sz="4" w:space="0" w:color="95AFDD"/>
          <w:left w:val="none" w:sz="4" w:space="0" w:color="000000"/>
          <w:bottom w:val="single" w:sz="4" w:space="0" w:color="95AFDD"/>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TableauListe2-Accentuation61">
    <w:name w:val="Tableau Liste 2 - Accentuation 6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ADD394"/>
        <w:bottom w:val="single" w:sz="4" w:space="0" w:color="ADD394"/>
        <w:insideH w:val="single" w:sz="4" w:space="0" w:color="ADD394"/>
      </w:tblBorders>
    </w:tblPr>
    <w:tblStylePr w:type="fir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lastRow">
      <w:rPr>
        <w:rFonts w:ascii="Arial" w:hAnsi="Arial"/>
        <w:b/>
        <w:color w:val="404040"/>
        <w:sz w:val="22"/>
      </w:rPr>
      <w:tblPr/>
      <w:tcPr>
        <w:tcBorders>
          <w:top w:val="single" w:sz="4" w:space="0" w:color="ADD394"/>
          <w:left w:val="none" w:sz="4" w:space="0" w:color="000000"/>
          <w:bottom w:val="single" w:sz="4" w:space="0" w:color="ADD394"/>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styleId="TableauListe3">
    <w:name w:val="List Table 3"/>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right w:val="single" w:sz="4" w:space="0" w:color="000000"/>
        </w:tcBorders>
      </w:tcPr>
    </w:tblStylePr>
    <w:tblStylePr w:type="band1Horz">
      <w:rPr>
        <w:rFonts w:ascii="Arial" w:hAnsi="Arial"/>
        <w:color w:val="404040"/>
        <w:sz w:val="22"/>
      </w:rPr>
      <w:tblPr/>
      <w:tcPr>
        <w:tcBorders>
          <w:top w:val="single" w:sz="4" w:space="0" w:color="000000"/>
          <w:bottom w:val="single" w:sz="4" w:space="0" w:color="000000"/>
        </w:tcBorders>
      </w:tcPr>
    </w:tblStylePr>
  </w:style>
  <w:style w:type="table" w:customStyle="1" w:styleId="TableauListe3-Accentuation11">
    <w:name w:val="Tableau Liste 3 - Accentuation 1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right w:val="single" w:sz="4" w:space="0" w:color="5B9BD5"/>
        </w:tcBorders>
      </w:tcPr>
    </w:tblStylePr>
    <w:tblStylePr w:type="band1Horz">
      <w:rPr>
        <w:rFonts w:ascii="Arial" w:hAnsi="Arial"/>
        <w:color w:val="404040"/>
        <w:sz w:val="22"/>
      </w:rPr>
      <w:tblPr/>
      <w:tcPr>
        <w:tcBorders>
          <w:top w:val="single" w:sz="4" w:space="0" w:color="5B9BD5"/>
          <w:bottom w:val="single" w:sz="4" w:space="0" w:color="5B9BD5"/>
        </w:tcBorders>
      </w:tcPr>
    </w:tblStylePr>
  </w:style>
  <w:style w:type="table" w:customStyle="1" w:styleId="TableauListe3-Accentuation21">
    <w:name w:val="Tableau Liste 3 - Accentuation 2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4B184"/>
        <w:left w:val="single" w:sz="4" w:space="0" w:color="F4B184"/>
        <w:bottom w:val="single" w:sz="4" w:space="0" w:color="F4B184"/>
        <w:right w:val="single" w:sz="4" w:space="0" w:color="F4B184"/>
      </w:tblBorders>
    </w:tblPr>
    <w:tblStylePr w:type="firstRow">
      <w:rPr>
        <w:rFonts w:ascii="Arial" w:hAnsi="Arial"/>
        <w:b/>
        <w:color w:val="FFFFFF"/>
        <w:sz w:val="22"/>
      </w:rPr>
      <w:tbl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right w:val="single" w:sz="4" w:space="0" w:color="F4B184"/>
        </w:tcBorders>
      </w:tcPr>
    </w:tblStylePr>
    <w:tblStylePr w:type="band1Horz">
      <w:rPr>
        <w:rFonts w:ascii="Arial" w:hAnsi="Arial"/>
        <w:color w:val="404040"/>
        <w:sz w:val="22"/>
      </w:rPr>
      <w:tblPr/>
      <w:tcPr>
        <w:tcBorders>
          <w:top w:val="single" w:sz="4" w:space="0" w:color="F4B184"/>
          <w:bottom w:val="single" w:sz="4" w:space="0" w:color="F4B184"/>
        </w:tcBorders>
      </w:tcPr>
    </w:tblStylePr>
  </w:style>
  <w:style w:type="table" w:customStyle="1" w:styleId="TableauListe3-Accentuation31">
    <w:name w:val="Tableau Liste 3 - Accentuation 3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C9C9C9"/>
        <w:left w:val="single" w:sz="4" w:space="0" w:color="C9C9C9"/>
        <w:bottom w:val="single" w:sz="4" w:space="0" w:color="C9C9C9"/>
        <w:right w:val="single" w:sz="4" w:space="0" w:color="C9C9C9"/>
      </w:tblBorders>
    </w:tblPr>
    <w:tblStylePr w:type="firstRow">
      <w:rPr>
        <w:rFonts w:ascii="Arial" w:hAnsi="Arial"/>
        <w:b/>
        <w:color w:val="FFFFFF"/>
        <w:sz w:val="22"/>
      </w:rPr>
      <w:tbl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right w:val="single" w:sz="4" w:space="0" w:color="C9C9C9"/>
        </w:tcBorders>
      </w:tcPr>
    </w:tblStylePr>
    <w:tblStylePr w:type="band1Horz">
      <w:rPr>
        <w:rFonts w:ascii="Arial" w:hAnsi="Arial"/>
        <w:color w:val="404040"/>
        <w:sz w:val="22"/>
      </w:rPr>
      <w:tblPr/>
      <w:tcPr>
        <w:tcBorders>
          <w:top w:val="single" w:sz="4" w:space="0" w:color="C9C9C9"/>
          <w:bottom w:val="single" w:sz="4" w:space="0" w:color="C9C9C9"/>
        </w:tcBorders>
      </w:tcPr>
    </w:tblStylePr>
  </w:style>
  <w:style w:type="table" w:customStyle="1" w:styleId="TableauListe3-Accentuation41">
    <w:name w:val="Tableau Liste 3 - Accentuation 4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FD865"/>
        <w:left w:val="single" w:sz="4" w:space="0" w:color="FFD865"/>
        <w:bottom w:val="single" w:sz="4" w:space="0" w:color="FFD865"/>
        <w:right w:val="single" w:sz="4" w:space="0" w:color="FFD865"/>
      </w:tblBorders>
    </w:tblPr>
    <w:tblStylePr w:type="firstRow">
      <w:rPr>
        <w:rFonts w:ascii="Arial" w:hAnsi="Arial"/>
        <w:b/>
        <w:color w:val="FFFFFF"/>
        <w:sz w:val="22"/>
      </w:rPr>
      <w:tbl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right w:val="single" w:sz="4" w:space="0" w:color="FFD865"/>
        </w:tcBorders>
      </w:tcPr>
    </w:tblStylePr>
    <w:tblStylePr w:type="band1Horz">
      <w:rPr>
        <w:rFonts w:ascii="Arial" w:hAnsi="Arial"/>
        <w:color w:val="404040"/>
        <w:sz w:val="22"/>
      </w:rPr>
      <w:tblPr/>
      <w:tcPr>
        <w:tcBorders>
          <w:top w:val="single" w:sz="4" w:space="0" w:color="FFD865"/>
          <w:bottom w:val="single" w:sz="4" w:space="0" w:color="FFD865"/>
        </w:tcBorders>
      </w:tcPr>
    </w:tblStylePr>
  </w:style>
  <w:style w:type="table" w:customStyle="1" w:styleId="TableauListe3-Accentuation51">
    <w:name w:val="Tableau Liste 3 - Accentuation 5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8DA9DB"/>
        <w:left w:val="single" w:sz="4" w:space="0" w:color="8DA9DB"/>
        <w:bottom w:val="single" w:sz="4" w:space="0" w:color="8DA9DB"/>
        <w:right w:val="single" w:sz="4" w:space="0" w:color="8DA9DB"/>
      </w:tblBorders>
    </w:tblPr>
    <w:tblStylePr w:type="firstRow">
      <w:rPr>
        <w:rFonts w:ascii="Arial" w:hAnsi="Arial"/>
        <w:b/>
        <w:color w:val="FFFFFF"/>
        <w:sz w:val="22"/>
      </w:rPr>
      <w:tblPr/>
      <w:tcPr>
        <w:shd w:val="clear" w:color="8DA9DB" w:fill="8DA9D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right w:val="single" w:sz="4" w:space="0" w:color="8DA9DB"/>
        </w:tcBorders>
      </w:tcPr>
    </w:tblStylePr>
    <w:tblStylePr w:type="band1Horz">
      <w:rPr>
        <w:rFonts w:ascii="Arial" w:hAnsi="Arial"/>
        <w:color w:val="404040"/>
        <w:sz w:val="22"/>
      </w:rPr>
      <w:tblPr/>
      <w:tcPr>
        <w:tcBorders>
          <w:top w:val="single" w:sz="4" w:space="0" w:color="8DA9DB"/>
          <w:bottom w:val="single" w:sz="4" w:space="0" w:color="8DA9DB"/>
        </w:tcBorders>
      </w:tcPr>
    </w:tblStylePr>
  </w:style>
  <w:style w:type="table" w:customStyle="1" w:styleId="TableauListe3-Accentuation61">
    <w:name w:val="Tableau Liste 3 - Accentuation 6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A9D08E"/>
        <w:left w:val="single" w:sz="4" w:space="0" w:color="A9D08E"/>
        <w:bottom w:val="single" w:sz="4" w:space="0" w:color="A9D08E"/>
        <w:right w:val="single" w:sz="4" w:space="0" w:color="A9D08E"/>
      </w:tblBorders>
    </w:tblPr>
    <w:tblStylePr w:type="firstRow">
      <w:rPr>
        <w:rFonts w:ascii="Arial" w:hAnsi="Arial"/>
        <w:b/>
        <w:color w:val="FFFFFF"/>
        <w:sz w:val="22"/>
      </w:rPr>
      <w:tbl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right w:val="single" w:sz="4" w:space="0" w:color="A9D08E"/>
        </w:tcBorders>
      </w:tcPr>
    </w:tblStylePr>
    <w:tblStylePr w:type="band1Horz">
      <w:rPr>
        <w:rFonts w:ascii="Arial" w:hAnsi="Arial"/>
        <w:color w:val="404040"/>
        <w:sz w:val="22"/>
      </w:rPr>
      <w:tblPr/>
      <w:tcPr>
        <w:tcBorders>
          <w:top w:val="single" w:sz="4" w:space="0" w:color="A9D08E"/>
          <w:bottom w:val="single" w:sz="4" w:space="0" w:color="A9D08E"/>
        </w:tcBorders>
      </w:tcPr>
    </w:tblStylePr>
  </w:style>
  <w:style w:type="table" w:styleId="TableauListe4">
    <w:name w:val="List Table 4"/>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tblBorders>
    </w:tblPr>
    <w:tblStylePr w:type="firstRow">
      <w:rPr>
        <w:rFonts w:ascii="Arial" w:hAnsi="Arial"/>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fill="BFBFBF"/>
      </w:tcPr>
    </w:tblStylePr>
    <w:tblStylePr w:type="band1Horz">
      <w:rPr>
        <w:rFonts w:ascii="Arial" w:hAnsi="Arial"/>
        <w:color w:val="404040"/>
        <w:sz w:val="22"/>
      </w:rPr>
      <w:tblPr/>
      <w:tcPr>
        <w:shd w:val="clear" w:color="BFBFBF" w:fill="BFBFBF"/>
      </w:tcPr>
    </w:tblStylePr>
  </w:style>
  <w:style w:type="table" w:customStyle="1" w:styleId="TableauListe4-Accentuation11">
    <w:name w:val="Tableau Liste 4 - Accentuation 1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A2C6E7"/>
        <w:left w:val="single" w:sz="4" w:space="0" w:color="A2C6E7"/>
        <w:bottom w:val="single" w:sz="4" w:space="0" w:color="A2C6E7"/>
        <w:right w:val="single" w:sz="4" w:space="0" w:color="A2C6E7"/>
        <w:insideH w:val="single" w:sz="4" w:space="0" w:color="A2C6E7"/>
      </w:tblBorders>
    </w:tblPr>
    <w:tblStylePr w:type="firstRow">
      <w:rPr>
        <w:rFonts w:ascii="Arial" w:hAnsi="Arial"/>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fill="D5E5F4"/>
      </w:tcPr>
    </w:tblStylePr>
    <w:tblStylePr w:type="band1Horz">
      <w:rPr>
        <w:rFonts w:ascii="Arial" w:hAnsi="Arial"/>
        <w:color w:val="404040"/>
        <w:sz w:val="22"/>
      </w:rPr>
      <w:tblPr/>
      <w:tcPr>
        <w:shd w:val="clear" w:color="D5E5F4" w:fill="D5E5F4"/>
      </w:tcPr>
    </w:tblStylePr>
  </w:style>
  <w:style w:type="table" w:customStyle="1" w:styleId="TableauListe4-Accentuation21">
    <w:name w:val="Tableau Liste 4 - Accentuation 2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4B58A"/>
        <w:left w:val="single" w:sz="4" w:space="0" w:color="F4B58A"/>
        <w:bottom w:val="single" w:sz="4" w:space="0" w:color="F4B58A"/>
        <w:right w:val="single" w:sz="4" w:space="0" w:color="F4B58A"/>
        <w:insideH w:val="single" w:sz="4" w:space="0" w:color="F4B58A"/>
      </w:tblBorders>
    </w:tblPr>
    <w:tblStylePr w:type="firstRow">
      <w:rPr>
        <w:rFonts w:ascii="Arial" w:hAnsi="Arial"/>
        <w:b/>
        <w:color w:val="FFFFFF"/>
        <w:sz w:val="22"/>
      </w:rPr>
      <w:tbl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fill="FADECB"/>
      </w:tcPr>
    </w:tblStylePr>
    <w:tblStylePr w:type="band1Horz">
      <w:rPr>
        <w:rFonts w:ascii="Arial" w:hAnsi="Arial"/>
        <w:color w:val="404040"/>
        <w:sz w:val="22"/>
      </w:rPr>
      <w:tblPr/>
      <w:tcPr>
        <w:shd w:val="clear" w:color="FADECB" w:fill="FADECB"/>
      </w:tcPr>
    </w:tblStylePr>
  </w:style>
  <w:style w:type="table" w:customStyle="1" w:styleId="TableauListe4-Accentuation31">
    <w:name w:val="Tableau Liste 4 - Accentuation 3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CCCCCC"/>
        <w:left w:val="single" w:sz="4" w:space="0" w:color="CCCCCC"/>
        <w:bottom w:val="single" w:sz="4" w:space="0" w:color="CCCCCC"/>
        <w:right w:val="single" w:sz="4" w:space="0" w:color="CCCCCC"/>
        <w:insideH w:val="single" w:sz="4" w:space="0" w:color="CCCCCC"/>
      </w:tblBorders>
    </w:tblPr>
    <w:tblStylePr w:type="firstRow">
      <w:rPr>
        <w:rFonts w:ascii="Arial" w:hAnsi="Arial"/>
        <w:b/>
        <w:color w:val="FFFFFF"/>
        <w:sz w:val="22"/>
      </w:rPr>
      <w:tbl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fill="E8E8E8"/>
      </w:tcPr>
    </w:tblStylePr>
    <w:tblStylePr w:type="band1Horz">
      <w:rPr>
        <w:rFonts w:ascii="Arial" w:hAnsi="Arial"/>
        <w:color w:val="404040"/>
        <w:sz w:val="22"/>
      </w:rPr>
      <w:tblPr/>
      <w:tcPr>
        <w:shd w:val="clear" w:color="E8E8E8" w:fill="E8E8E8"/>
      </w:tcPr>
    </w:tblStylePr>
  </w:style>
  <w:style w:type="table" w:customStyle="1" w:styleId="TableauListe4-Accentuation41">
    <w:name w:val="Tableau Liste 4 - Accentuation 4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FDB6F"/>
        <w:left w:val="single" w:sz="4" w:space="0" w:color="FFDB6F"/>
        <w:bottom w:val="single" w:sz="4" w:space="0" w:color="FFDB6F"/>
        <w:right w:val="single" w:sz="4" w:space="0" w:color="FFDB6F"/>
        <w:insideH w:val="single" w:sz="4" w:space="0" w:color="FFDB6F"/>
      </w:tblBorders>
    </w:tblPr>
    <w:tblStylePr w:type="firstRow">
      <w:rPr>
        <w:rFonts w:ascii="Arial" w:hAnsi="Arial"/>
        <w:b/>
        <w:color w:val="FFFFFF"/>
        <w:sz w:val="22"/>
      </w:rPr>
      <w:tbl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fill="FFEFBF"/>
      </w:tcPr>
    </w:tblStylePr>
    <w:tblStylePr w:type="band1Horz">
      <w:rPr>
        <w:rFonts w:ascii="Arial" w:hAnsi="Arial"/>
        <w:color w:val="404040"/>
        <w:sz w:val="22"/>
      </w:rPr>
      <w:tblPr/>
      <w:tcPr>
        <w:shd w:val="clear" w:color="FFEFBF" w:fill="FFEFBF"/>
      </w:tcPr>
    </w:tblStylePr>
  </w:style>
  <w:style w:type="table" w:customStyle="1" w:styleId="TableauListe4-Accentuation51">
    <w:name w:val="Tableau Liste 4 - Accentuation 5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95AFDD"/>
        <w:left w:val="single" w:sz="4" w:space="0" w:color="95AFDD"/>
        <w:bottom w:val="single" w:sz="4" w:space="0" w:color="95AFDD"/>
        <w:right w:val="single" w:sz="4" w:space="0" w:color="95AFDD"/>
        <w:insideH w:val="single" w:sz="4" w:space="0" w:color="95AFDD"/>
      </w:tblBorders>
    </w:tblPr>
    <w:tblStylePr w:type="firstRow">
      <w:rPr>
        <w:rFonts w:ascii="Arial" w:hAnsi="Arial"/>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fill="CFDBF0"/>
      </w:tcPr>
    </w:tblStylePr>
    <w:tblStylePr w:type="band1Horz">
      <w:rPr>
        <w:rFonts w:ascii="Arial" w:hAnsi="Arial"/>
        <w:color w:val="404040"/>
        <w:sz w:val="22"/>
      </w:rPr>
      <w:tblPr/>
      <w:tcPr>
        <w:shd w:val="clear" w:color="CFDBF0" w:fill="CFDBF0"/>
      </w:tcPr>
    </w:tblStylePr>
  </w:style>
  <w:style w:type="table" w:customStyle="1" w:styleId="TableauListe4-Accentuation61">
    <w:name w:val="Tableau Liste 4 - Accentuation 6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ADD394"/>
        <w:left w:val="single" w:sz="4" w:space="0" w:color="ADD394"/>
        <w:bottom w:val="single" w:sz="4" w:space="0" w:color="ADD394"/>
        <w:right w:val="single" w:sz="4" w:space="0" w:color="ADD394"/>
        <w:insideH w:val="single" w:sz="4" w:space="0" w:color="ADD394"/>
      </w:tblBorders>
    </w:tblPr>
    <w:tblStylePr w:type="firstRow">
      <w:rPr>
        <w:rFonts w:ascii="Arial" w:hAnsi="Arial"/>
        <w:b/>
        <w:color w:val="FFFFFF"/>
        <w:sz w:val="22"/>
      </w:rPr>
      <w:tbl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fill="DAEBCF"/>
      </w:tcPr>
    </w:tblStylePr>
    <w:tblStylePr w:type="band1Horz">
      <w:rPr>
        <w:rFonts w:ascii="Arial" w:hAnsi="Arial"/>
        <w:color w:val="404040"/>
        <w:sz w:val="22"/>
      </w:rPr>
      <w:tblPr/>
      <w:tcPr>
        <w:shd w:val="clear" w:color="DAEBCF" w:fill="DAEBCF"/>
      </w:tcPr>
    </w:tblStylePr>
  </w:style>
  <w:style w:type="table" w:styleId="TableauListe5Fonc">
    <w:name w:val="List Table 5 Dark"/>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32" w:space="0" w:color="7F7F7F"/>
        <w:left w:val="single" w:sz="32" w:space="0" w:color="7F7F7F"/>
        <w:bottom w:val="single" w:sz="32" w:space="0" w:color="7F7F7F"/>
        <w:right w:val="single" w:sz="32" w:space="0" w:color="7F7F7F"/>
      </w:tblBorders>
      <w:shd w:val="clear" w:color="7F7F7F" w:fill="7F7F7F"/>
    </w:tblPr>
    <w:tblStylePr w:type="firstRow">
      <w:rPr>
        <w:rFonts w:ascii="Arial" w:hAnsi="Arial"/>
        <w:b/>
        <w:color w:val="FFFFFF"/>
        <w:sz w:val="22"/>
      </w:rPr>
      <w:tblPr/>
      <w:tcPr>
        <w:tcBorders>
          <w:top w:val="single" w:sz="32" w:space="0" w:color="7F7F7F"/>
          <w:bottom w:val="single" w:sz="12" w:space="0" w:color="FFFFFF"/>
        </w:tcBorders>
        <w:shd w:val="clear" w:color="7F7F7F" w:fill="7F7F7F"/>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7F7F7F"/>
          <w:right w:val="single" w:sz="4" w:space="0" w:color="FFFFFF"/>
        </w:tcBorders>
      </w:tcPr>
    </w:tblStylePr>
    <w:tblStylePr w:type="lastCol">
      <w:tblPr/>
      <w:tcPr>
        <w:tcBorders>
          <w:left w:val="single" w:sz="4" w:space="0" w:color="FFFFFF"/>
          <w:right w:val="single" w:sz="32" w:space="0" w:color="7F7F7F"/>
        </w:tcBorders>
      </w:tcPr>
    </w:tblStylePr>
    <w:tblStylePr w:type="band1Vert">
      <w:tblPr/>
      <w:tcPr>
        <w:tcBorders>
          <w:left w:val="single" w:sz="4" w:space="0" w:color="FFFFFF"/>
          <w:right w:val="single" w:sz="4" w:space="0" w:color="FFFFFF"/>
        </w:tcBorders>
        <w:shd w:val="clear" w:color="7F7F7F" w:fill="7F7F7F"/>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7F7F7F" w:fill="7F7F7F"/>
      </w:tcPr>
    </w:tblStylePr>
    <w:tblStylePr w:type="band2Horz">
      <w:tblPr/>
      <w:tcPr>
        <w:tcBorders>
          <w:top w:val="single" w:sz="4" w:space="0" w:color="FFFFFF"/>
          <w:bottom w:val="single" w:sz="4" w:space="0" w:color="FFFFFF"/>
        </w:tcBorders>
        <w:shd w:val="clear" w:color="7F7F7F" w:fill="7F7F7F"/>
      </w:tcPr>
    </w:tblStylePr>
  </w:style>
  <w:style w:type="table" w:customStyle="1" w:styleId="TableauListe5Fonc-Accentuation11">
    <w:name w:val="Tableau Liste 5 Foncé - Accentuation 1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32" w:space="0" w:color="5B9BD5"/>
        <w:left w:val="single" w:sz="32" w:space="0" w:color="5B9BD5"/>
        <w:bottom w:val="single" w:sz="32" w:space="0" w:color="5B9BD5"/>
        <w:right w:val="single" w:sz="32" w:space="0" w:color="5B9BD5"/>
      </w:tblBorders>
      <w:shd w:val="clear" w:color="5B9BD5" w:fill="5B9BD5"/>
    </w:tblPr>
    <w:tblStylePr w:type="firstRow">
      <w:rPr>
        <w:rFonts w:ascii="Arial" w:hAnsi="Arial"/>
        <w:b/>
        <w:color w:val="FFFFFF"/>
        <w:sz w:val="22"/>
      </w:rPr>
      <w:tblPr/>
      <w:tcPr>
        <w:tcBorders>
          <w:top w:val="single" w:sz="32" w:space="0" w:color="5B9BD5"/>
          <w:bottom w:val="single" w:sz="12" w:space="0" w:color="FFFFFF"/>
        </w:tcBorders>
        <w:shd w:val="clear" w:color="5B9BD5" w:fill="5B9BD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5B9BD5"/>
          <w:right w:val="single" w:sz="4" w:space="0" w:color="FFFFFF"/>
        </w:tcBorders>
      </w:tcPr>
    </w:tblStylePr>
    <w:tblStylePr w:type="lastCol">
      <w:tblPr/>
      <w:tcPr>
        <w:tcBorders>
          <w:left w:val="single" w:sz="4" w:space="0" w:color="FFFFFF"/>
          <w:right w:val="single" w:sz="32" w:space="0" w:color="5B9BD5"/>
        </w:tcBorders>
      </w:tcPr>
    </w:tblStylePr>
    <w:tblStylePr w:type="band1Vert">
      <w:tblPr/>
      <w:tcPr>
        <w:tcBorders>
          <w:left w:val="single" w:sz="4" w:space="0" w:color="FFFFFF"/>
          <w:right w:val="single" w:sz="4" w:space="0" w:color="FFFFFF"/>
        </w:tcBorders>
        <w:shd w:val="clear" w:color="5B9BD5" w:fill="5B9BD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5B9BD5" w:fill="5B9BD5"/>
      </w:tcPr>
    </w:tblStylePr>
    <w:tblStylePr w:type="band2Horz">
      <w:tblPr/>
      <w:tcPr>
        <w:tcBorders>
          <w:top w:val="single" w:sz="4" w:space="0" w:color="FFFFFF"/>
          <w:bottom w:val="single" w:sz="4" w:space="0" w:color="FFFFFF"/>
        </w:tcBorders>
        <w:shd w:val="clear" w:color="5B9BD5" w:fill="5B9BD5"/>
      </w:tcPr>
    </w:tblStylePr>
  </w:style>
  <w:style w:type="table" w:customStyle="1" w:styleId="TableauListe5Fonc-Accentuation21">
    <w:name w:val="Tableau Liste 5 Foncé - Accentuation 2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32" w:space="0" w:color="F4B184"/>
        <w:left w:val="single" w:sz="32" w:space="0" w:color="F4B184"/>
        <w:bottom w:val="single" w:sz="32" w:space="0" w:color="F4B184"/>
        <w:right w:val="single" w:sz="32" w:space="0" w:color="F4B184"/>
      </w:tblBorders>
      <w:shd w:val="clear" w:color="F4B184" w:fill="F4B184"/>
    </w:tblPr>
    <w:tblStylePr w:type="firstRow">
      <w:rPr>
        <w:rFonts w:ascii="Arial" w:hAnsi="Arial"/>
        <w:b/>
        <w:color w:val="FFFFFF"/>
        <w:sz w:val="22"/>
      </w:rPr>
      <w:tblPr/>
      <w:tcPr>
        <w:tcBorders>
          <w:top w:val="single" w:sz="32" w:space="0" w:color="F4B184"/>
          <w:bottom w:val="single" w:sz="12" w:space="0" w:color="FFFFFF"/>
        </w:tcBorders>
        <w:shd w:val="clear" w:color="F4B184" w:fill="F4B184"/>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4B184"/>
          <w:right w:val="single" w:sz="4" w:space="0" w:color="FFFFFF"/>
        </w:tcBorders>
      </w:tcPr>
    </w:tblStylePr>
    <w:tblStylePr w:type="lastCol">
      <w:tblPr/>
      <w:tcPr>
        <w:tcBorders>
          <w:left w:val="single" w:sz="4" w:space="0" w:color="FFFFFF"/>
          <w:right w:val="single" w:sz="32" w:space="0" w:color="F4B184"/>
        </w:tcBorders>
      </w:tcPr>
    </w:tblStylePr>
    <w:tblStylePr w:type="band1Vert">
      <w:tblPr/>
      <w:tcPr>
        <w:tcBorders>
          <w:left w:val="single" w:sz="4" w:space="0" w:color="FFFFFF"/>
          <w:right w:val="single" w:sz="4" w:space="0" w:color="FFFFFF"/>
        </w:tcBorders>
        <w:shd w:val="clear" w:color="F4B184" w:fill="F4B184"/>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4B184" w:fill="F4B184"/>
      </w:tcPr>
    </w:tblStylePr>
    <w:tblStylePr w:type="band2Horz">
      <w:tblPr/>
      <w:tcPr>
        <w:tcBorders>
          <w:top w:val="single" w:sz="4" w:space="0" w:color="FFFFFF"/>
          <w:bottom w:val="single" w:sz="4" w:space="0" w:color="FFFFFF"/>
        </w:tcBorders>
        <w:shd w:val="clear" w:color="F4B184" w:fill="F4B184"/>
      </w:tcPr>
    </w:tblStylePr>
  </w:style>
  <w:style w:type="table" w:customStyle="1" w:styleId="TableauListe5Fonc-Accentuation31">
    <w:name w:val="Tableau Liste 5 Foncé - Accentuation 3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32" w:space="0" w:color="C9C9C9"/>
        <w:left w:val="single" w:sz="32" w:space="0" w:color="C9C9C9"/>
        <w:bottom w:val="single" w:sz="32" w:space="0" w:color="C9C9C9"/>
        <w:right w:val="single" w:sz="32" w:space="0" w:color="C9C9C9"/>
      </w:tblBorders>
      <w:shd w:val="clear" w:color="C9C9C9" w:fill="C9C9C9"/>
    </w:tblPr>
    <w:tblStylePr w:type="firstRow">
      <w:rPr>
        <w:rFonts w:ascii="Arial" w:hAnsi="Arial"/>
        <w:b/>
        <w:color w:val="FFFFFF"/>
        <w:sz w:val="22"/>
      </w:rPr>
      <w:tblPr/>
      <w:tcPr>
        <w:tcBorders>
          <w:top w:val="single" w:sz="32" w:space="0" w:color="C9C9C9"/>
          <w:bottom w:val="single" w:sz="12" w:space="0" w:color="FFFFFF"/>
        </w:tcBorders>
        <w:shd w:val="clear" w:color="C9C9C9" w:fill="C9C9C9"/>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C9C9C9"/>
          <w:right w:val="single" w:sz="4" w:space="0" w:color="FFFFFF"/>
        </w:tcBorders>
      </w:tcPr>
    </w:tblStylePr>
    <w:tblStylePr w:type="lastCol">
      <w:tblPr/>
      <w:tcPr>
        <w:tcBorders>
          <w:left w:val="single" w:sz="4" w:space="0" w:color="FFFFFF"/>
          <w:right w:val="single" w:sz="32" w:space="0" w:color="C9C9C9"/>
        </w:tcBorders>
      </w:tcPr>
    </w:tblStylePr>
    <w:tblStylePr w:type="band1Vert">
      <w:tblPr/>
      <w:tcPr>
        <w:tcBorders>
          <w:left w:val="single" w:sz="4" w:space="0" w:color="FFFFFF"/>
          <w:right w:val="single" w:sz="4" w:space="0" w:color="FFFFFF"/>
        </w:tcBorders>
        <w:shd w:val="clear" w:color="C9C9C9" w:fill="C9C9C9"/>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C9C9C9" w:fill="C9C9C9"/>
      </w:tcPr>
    </w:tblStylePr>
    <w:tblStylePr w:type="band2Horz">
      <w:tblPr/>
      <w:tcPr>
        <w:tcBorders>
          <w:top w:val="single" w:sz="4" w:space="0" w:color="FFFFFF"/>
          <w:bottom w:val="single" w:sz="4" w:space="0" w:color="FFFFFF"/>
        </w:tcBorders>
        <w:shd w:val="clear" w:color="C9C9C9" w:fill="C9C9C9"/>
      </w:tcPr>
    </w:tblStylePr>
  </w:style>
  <w:style w:type="table" w:customStyle="1" w:styleId="TableauListe5Fonc-Accentuation41">
    <w:name w:val="Tableau Liste 5 Foncé - Accentuation 4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32" w:space="0" w:color="FFD865"/>
        <w:left w:val="single" w:sz="32" w:space="0" w:color="FFD865"/>
        <w:bottom w:val="single" w:sz="32" w:space="0" w:color="FFD865"/>
        <w:right w:val="single" w:sz="32" w:space="0" w:color="FFD865"/>
      </w:tblBorders>
      <w:shd w:val="clear" w:color="FFD865" w:fill="FFD865"/>
    </w:tblPr>
    <w:tblStylePr w:type="firstRow">
      <w:rPr>
        <w:rFonts w:ascii="Arial" w:hAnsi="Arial"/>
        <w:b/>
        <w:color w:val="FFFFFF"/>
        <w:sz w:val="22"/>
      </w:rPr>
      <w:tblPr/>
      <w:tcPr>
        <w:tcBorders>
          <w:top w:val="single" w:sz="32" w:space="0" w:color="FFD865"/>
          <w:bottom w:val="single" w:sz="12" w:space="0" w:color="FFFFFF"/>
        </w:tcBorders>
        <w:shd w:val="clear" w:color="FFD865" w:fill="FFD865"/>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FFD865"/>
          <w:right w:val="single" w:sz="4" w:space="0" w:color="FFFFFF"/>
        </w:tcBorders>
      </w:tcPr>
    </w:tblStylePr>
    <w:tblStylePr w:type="lastCol">
      <w:tblPr/>
      <w:tcPr>
        <w:tcBorders>
          <w:left w:val="single" w:sz="4" w:space="0" w:color="FFFFFF"/>
          <w:right w:val="single" w:sz="32" w:space="0" w:color="FFD865"/>
        </w:tcBorders>
      </w:tcPr>
    </w:tblStylePr>
    <w:tblStylePr w:type="band1Vert">
      <w:tblPr/>
      <w:tcPr>
        <w:tcBorders>
          <w:left w:val="single" w:sz="4" w:space="0" w:color="FFFFFF"/>
          <w:right w:val="single" w:sz="4" w:space="0" w:color="FFFFFF"/>
        </w:tcBorders>
        <w:shd w:val="clear" w:color="FFD865" w:fill="FFD865"/>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FFD865" w:fill="FFD865"/>
      </w:tcPr>
    </w:tblStylePr>
    <w:tblStylePr w:type="band2Horz">
      <w:tblPr/>
      <w:tcPr>
        <w:tcBorders>
          <w:top w:val="single" w:sz="4" w:space="0" w:color="FFFFFF"/>
          <w:bottom w:val="single" w:sz="4" w:space="0" w:color="FFFFFF"/>
        </w:tcBorders>
        <w:shd w:val="clear" w:color="FFD865" w:fill="FFD865"/>
      </w:tcPr>
    </w:tblStylePr>
  </w:style>
  <w:style w:type="table" w:customStyle="1" w:styleId="TableauListe5Fonc-Accentuation51">
    <w:name w:val="Tableau Liste 5 Foncé - Accentuation 5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32" w:space="0" w:color="8DA9DB"/>
        <w:left w:val="single" w:sz="32" w:space="0" w:color="8DA9DB"/>
        <w:bottom w:val="single" w:sz="32" w:space="0" w:color="8DA9DB"/>
        <w:right w:val="single" w:sz="32" w:space="0" w:color="8DA9DB"/>
      </w:tblBorders>
      <w:shd w:val="clear" w:color="8DA9DB" w:fill="8DA9DB"/>
    </w:tblPr>
    <w:tblStylePr w:type="firstRow">
      <w:rPr>
        <w:rFonts w:ascii="Arial" w:hAnsi="Arial"/>
        <w:b/>
        <w:color w:val="FFFFFF"/>
        <w:sz w:val="22"/>
      </w:rPr>
      <w:tblPr/>
      <w:tcPr>
        <w:tcBorders>
          <w:top w:val="single" w:sz="32" w:space="0" w:color="8DA9DB"/>
          <w:bottom w:val="single" w:sz="12" w:space="0" w:color="FFFFFF"/>
        </w:tcBorders>
        <w:shd w:val="clear" w:color="8DA9DB" w:fill="8DA9DB"/>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8DA9DB"/>
          <w:right w:val="single" w:sz="4" w:space="0" w:color="FFFFFF"/>
        </w:tcBorders>
      </w:tcPr>
    </w:tblStylePr>
    <w:tblStylePr w:type="lastCol">
      <w:tblPr/>
      <w:tcPr>
        <w:tcBorders>
          <w:left w:val="single" w:sz="4" w:space="0" w:color="FFFFFF"/>
          <w:right w:val="single" w:sz="32" w:space="0" w:color="8DA9DB"/>
        </w:tcBorders>
      </w:tcPr>
    </w:tblStylePr>
    <w:tblStylePr w:type="band1Vert">
      <w:tblPr/>
      <w:tcPr>
        <w:tcBorders>
          <w:left w:val="single" w:sz="4" w:space="0" w:color="FFFFFF"/>
          <w:right w:val="single" w:sz="4" w:space="0" w:color="FFFFFF"/>
        </w:tcBorders>
        <w:shd w:val="clear" w:color="8DA9DB" w:fill="8DA9DB"/>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8DA9DB" w:fill="8DA9DB"/>
      </w:tcPr>
    </w:tblStylePr>
    <w:tblStylePr w:type="band2Horz">
      <w:tblPr/>
      <w:tcPr>
        <w:tcBorders>
          <w:top w:val="single" w:sz="4" w:space="0" w:color="FFFFFF"/>
          <w:bottom w:val="single" w:sz="4" w:space="0" w:color="FFFFFF"/>
        </w:tcBorders>
        <w:shd w:val="clear" w:color="8DA9DB" w:fill="8DA9DB"/>
      </w:tcPr>
    </w:tblStylePr>
  </w:style>
  <w:style w:type="table" w:customStyle="1" w:styleId="TableauListe5Fonc-Accentuation61">
    <w:name w:val="Tableau Liste 5 Foncé - Accentuation 6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32" w:space="0" w:color="A9D08E"/>
        <w:left w:val="single" w:sz="32" w:space="0" w:color="A9D08E"/>
        <w:bottom w:val="single" w:sz="32" w:space="0" w:color="A9D08E"/>
        <w:right w:val="single" w:sz="32" w:space="0" w:color="A9D08E"/>
      </w:tblBorders>
      <w:shd w:val="clear" w:color="A9D08E" w:fill="A9D08E"/>
    </w:tblPr>
    <w:tblStylePr w:type="firstRow">
      <w:rPr>
        <w:rFonts w:ascii="Arial" w:hAnsi="Arial"/>
        <w:b/>
        <w:color w:val="FFFFFF"/>
        <w:sz w:val="22"/>
      </w:rPr>
      <w:tblPr/>
      <w:tcPr>
        <w:tcBorders>
          <w:top w:val="single" w:sz="32" w:space="0" w:color="A9D08E"/>
          <w:bottom w:val="single" w:sz="12" w:space="0" w:color="FFFFFF"/>
        </w:tcBorders>
        <w:shd w:val="clear" w:color="A9D08E" w:fill="A9D08E"/>
      </w:tcPr>
    </w:tblStylePr>
    <w:tblStylePr w:type="lastRow">
      <w:rPr>
        <w:rFonts w:ascii="Arial" w:hAnsi="Arial"/>
        <w:b/>
        <w:color w:val="FFFFFF"/>
        <w:sz w:val="22"/>
      </w:rPr>
    </w:tblStylePr>
    <w:tblStylePr w:type="firstCol">
      <w:rPr>
        <w:rFonts w:ascii="Arial" w:hAnsi="Arial"/>
        <w:b/>
        <w:color w:val="FFFFFF"/>
        <w:sz w:val="22"/>
      </w:rPr>
      <w:tblPr/>
      <w:tcPr>
        <w:tcBorders>
          <w:left w:val="single" w:sz="32" w:space="0" w:color="A9D08E"/>
          <w:right w:val="single" w:sz="4" w:space="0" w:color="FFFFFF"/>
        </w:tcBorders>
      </w:tcPr>
    </w:tblStylePr>
    <w:tblStylePr w:type="lastCol">
      <w:tblPr/>
      <w:tcPr>
        <w:tcBorders>
          <w:left w:val="single" w:sz="4" w:space="0" w:color="FFFFFF"/>
          <w:right w:val="single" w:sz="32" w:space="0" w:color="A9D08E"/>
        </w:tcBorders>
      </w:tcPr>
    </w:tblStylePr>
    <w:tblStylePr w:type="band1Vert">
      <w:tblPr/>
      <w:tcPr>
        <w:tcBorders>
          <w:left w:val="single" w:sz="4" w:space="0" w:color="FFFFFF"/>
          <w:right w:val="single" w:sz="4" w:space="0" w:color="FFFFFF"/>
        </w:tcBorders>
        <w:shd w:val="clear" w:color="A9D08E" w:fill="A9D08E"/>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shd w:val="clear" w:color="A9D08E" w:fill="A9D08E"/>
      </w:tcPr>
    </w:tblStylePr>
    <w:tblStylePr w:type="band2Horz">
      <w:tblPr/>
      <w:tcPr>
        <w:tcBorders>
          <w:top w:val="single" w:sz="4" w:space="0" w:color="FFFFFF"/>
          <w:bottom w:val="single" w:sz="4" w:space="0" w:color="FFFFFF"/>
        </w:tcBorders>
        <w:shd w:val="clear" w:color="A9D08E" w:fill="A9D08E"/>
      </w:tcPr>
    </w:tblStylePr>
  </w:style>
  <w:style w:type="table" w:styleId="TableauListe6Couleur">
    <w:name w:val="List Table 6 Colorful"/>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7F7F7F"/>
        <w:bottom w:val="single" w:sz="4" w:space="0" w:color="7F7F7F"/>
      </w:tblBorders>
    </w:tblPr>
    <w:tblStylePr w:type="firstRow">
      <w:rPr>
        <w:b/>
        <w:color w:val="000000"/>
      </w:rPr>
      <w:tblPr/>
      <w:tcPr>
        <w:tcBorders>
          <w:bottom w:val="single" w:sz="4" w:space="0" w:color="7F7F7F"/>
        </w:tcBorders>
      </w:tcPr>
    </w:tblStylePr>
    <w:tblStylePr w:type="lastRow">
      <w:rPr>
        <w:b/>
        <w:color w:val="000000"/>
      </w:rPr>
      <w:tblPr/>
      <w:tcPr>
        <w:tcBorders>
          <w:top w:val="single" w:sz="4" w:space="0" w:color="7F7F7F"/>
        </w:tcBorders>
      </w:tcPr>
    </w:tblStylePr>
    <w:tblStylePr w:type="firstCol">
      <w:rPr>
        <w:b/>
        <w:color w:val="000000"/>
      </w:rPr>
    </w:tblStylePr>
    <w:tblStylePr w:type="lastCol">
      <w:rPr>
        <w:b/>
        <w:color w:val="000000"/>
      </w:rPr>
    </w:tblStylePr>
    <w:tblStylePr w:type="band1Vert">
      <w:tblPr/>
      <w:tcPr>
        <w:shd w:val="clear" w:color="BFBFBF" w:fill="BFBFBF"/>
      </w:tcPr>
    </w:tblStylePr>
    <w:tblStylePr w:type="band1Horz">
      <w:rPr>
        <w:rFonts w:ascii="Arial" w:hAnsi="Arial"/>
        <w:color w:val="000000"/>
        <w:sz w:val="22"/>
      </w:rPr>
      <w:tblPr/>
      <w:tcPr>
        <w:shd w:val="clear" w:color="BFBFBF" w:fill="BFBFBF"/>
      </w:tcPr>
    </w:tblStylePr>
    <w:tblStylePr w:type="band2Horz">
      <w:rPr>
        <w:rFonts w:ascii="Arial" w:hAnsi="Arial"/>
        <w:color w:val="000000"/>
        <w:sz w:val="22"/>
      </w:rPr>
    </w:tblStylePr>
  </w:style>
  <w:style w:type="table" w:customStyle="1" w:styleId="TableauListe6Couleur-Accentuation11">
    <w:name w:val="Tableau Liste 6 Couleur - Accentuation 1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5B9BD5"/>
        <w:bottom w:val="single" w:sz="4" w:space="0" w:color="5B9BD5"/>
      </w:tblBorders>
    </w:tblPr>
    <w:tblStylePr w:type="firstRow">
      <w:rPr>
        <w:b/>
        <w:color w:val="245A8D"/>
      </w:rPr>
      <w:tblPr/>
      <w:tcPr>
        <w:tcBorders>
          <w:bottom w:val="single" w:sz="4" w:space="0" w:color="5B9BD5"/>
        </w:tcBorders>
      </w:tcPr>
    </w:tblStylePr>
    <w:tblStylePr w:type="lastRow">
      <w:rPr>
        <w:b/>
        <w:color w:val="245A8D"/>
      </w:rPr>
      <w:tblPr/>
      <w:tcPr>
        <w:tcBorders>
          <w:top w:val="single" w:sz="4" w:space="0" w:color="5B9BD5"/>
        </w:tcBorders>
      </w:tcPr>
    </w:tblStylePr>
    <w:tblStylePr w:type="firstCol">
      <w:rPr>
        <w:b/>
        <w:color w:val="245A8D"/>
      </w:rPr>
    </w:tblStylePr>
    <w:tblStylePr w:type="lastCol">
      <w:rPr>
        <w:b/>
        <w:color w:val="245A8D"/>
      </w:r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TableauListe6Couleur-Accentuation21">
    <w:name w:val="Tableau Liste 6 Couleur - Accentuation 2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4B184"/>
        <w:bottom w:val="single" w:sz="4" w:space="0" w:color="F4B184"/>
      </w:tblBorders>
    </w:tblPr>
    <w:tblStylePr w:type="firstRow">
      <w:rPr>
        <w:b/>
        <w:color w:val="F4B184"/>
      </w:rPr>
      <w:tblPr/>
      <w:tcPr>
        <w:tcBorders>
          <w:bottom w:val="single" w:sz="4" w:space="0" w:color="F4B184"/>
        </w:tcBorders>
      </w:tcPr>
    </w:tblStylePr>
    <w:tblStylePr w:type="lastRow">
      <w:rPr>
        <w:b/>
        <w:color w:val="F4B184"/>
      </w:rPr>
      <w:tblPr/>
      <w:tcPr>
        <w:tcBorders>
          <w:top w:val="single" w:sz="4" w:space="0" w:color="F4B184"/>
        </w:tcBorders>
      </w:tcPr>
    </w:tblStylePr>
    <w:tblStylePr w:type="firstCol">
      <w:rPr>
        <w:b/>
        <w:color w:val="F4B184"/>
      </w:rPr>
    </w:tblStylePr>
    <w:tblStylePr w:type="lastCol">
      <w:rPr>
        <w:b/>
        <w:color w:val="F4B184"/>
      </w:r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TableauListe6Couleur-Accentuation31">
    <w:name w:val="Tableau Liste 6 Couleur - Accentuation 3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C9C9C9"/>
        <w:bottom w:val="single" w:sz="4" w:space="0" w:color="C9C9C9"/>
      </w:tblBorders>
    </w:tblPr>
    <w:tblStylePr w:type="firstRow">
      <w:rPr>
        <w:b/>
        <w:color w:val="C9C9C9"/>
      </w:rPr>
      <w:tblPr/>
      <w:tcPr>
        <w:tcBorders>
          <w:bottom w:val="single" w:sz="4" w:space="0" w:color="C9C9C9"/>
        </w:tcBorders>
      </w:tcPr>
    </w:tblStylePr>
    <w:tblStylePr w:type="lastRow">
      <w:rPr>
        <w:b/>
        <w:color w:val="C9C9C9"/>
      </w:rPr>
      <w:tblPr/>
      <w:tcPr>
        <w:tcBorders>
          <w:top w:val="single" w:sz="4" w:space="0" w:color="C9C9C9"/>
        </w:tcBorders>
      </w:tcPr>
    </w:tblStylePr>
    <w:tblStylePr w:type="firstCol">
      <w:rPr>
        <w:b/>
        <w:color w:val="C9C9C9"/>
      </w:rPr>
    </w:tblStylePr>
    <w:tblStylePr w:type="lastCol">
      <w:rPr>
        <w:b/>
        <w:color w:val="C9C9C9"/>
      </w:r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TableauListe6Couleur-Accentuation41">
    <w:name w:val="Tableau Liste 6 Couleur - Accentuation 4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FD865"/>
        <w:bottom w:val="single" w:sz="4" w:space="0" w:color="FFD865"/>
      </w:tblBorders>
    </w:tblPr>
    <w:tblStylePr w:type="firstRow">
      <w:rPr>
        <w:b/>
        <w:color w:val="FFD865"/>
      </w:rPr>
      <w:tblPr/>
      <w:tcPr>
        <w:tcBorders>
          <w:bottom w:val="single" w:sz="4" w:space="0" w:color="FFD865"/>
        </w:tcBorders>
      </w:tcPr>
    </w:tblStylePr>
    <w:tblStylePr w:type="lastRow">
      <w:rPr>
        <w:b/>
        <w:color w:val="FFD865"/>
      </w:rPr>
      <w:tblPr/>
      <w:tcPr>
        <w:tcBorders>
          <w:top w:val="single" w:sz="4" w:space="0" w:color="FFD865"/>
        </w:tcBorders>
      </w:tcPr>
    </w:tblStylePr>
    <w:tblStylePr w:type="firstCol">
      <w:rPr>
        <w:b/>
        <w:color w:val="FFD865"/>
      </w:rPr>
    </w:tblStylePr>
    <w:tblStylePr w:type="lastCol">
      <w:rPr>
        <w:b/>
        <w:color w:val="FFD865"/>
      </w:r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TableauListe6Couleur-Accentuation51">
    <w:name w:val="Tableau Liste 6 Couleur - Accentuation 5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8DA9DB"/>
        <w:bottom w:val="single" w:sz="4" w:space="0" w:color="8DA9DB"/>
      </w:tblBorders>
    </w:tblPr>
    <w:tblStylePr w:type="firstRow">
      <w:rPr>
        <w:b/>
        <w:color w:val="8DA9DB"/>
      </w:rPr>
      <w:tblPr/>
      <w:tcPr>
        <w:tcBorders>
          <w:bottom w:val="single" w:sz="4" w:space="0" w:color="8DA9DB"/>
        </w:tcBorders>
      </w:tcPr>
    </w:tblStylePr>
    <w:tblStylePr w:type="lastRow">
      <w:rPr>
        <w:b/>
        <w:color w:val="8DA9DB"/>
      </w:rPr>
      <w:tblPr/>
      <w:tcPr>
        <w:tcBorders>
          <w:top w:val="single" w:sz="4" w:space="0" w:color="8DA9DB"/>
        </w:tcBorders>
      </w:tcPr>
    </w:tblStylePr>
    <w:tblStylePr w:type="firstCol">
      <w:rPr>
        <w:b/>
        <w:color w:val="8DA9DB"/>
      </w:rPr>
    </w:tblStylePr>
    <w:tblStylePr w:type="lastCol">
      <w:rPr>
        <w:b/>
        <w:color w:val="8DA9DB"/>
      </w:r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TableauListe6Couleur-Accentuation61">
    <w:name w:val="Tableau Liste 6 Couleur - Accentuation 6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A9D08E"/>
        <w:bottom w:val="single" w:sz="4" w:space="0" w:color="A9D08E"/>
      </w:tblBorders>
    </w:tblPr>
    <w:tblStylePr w:type="firstRow">
      <w:rPr>
        <w:b/>
        <w:color w:val="A9D08E"/>
      </w:rPr>
      <w:tblPr/>
      <w:tcPr>
        <w:tcBorders>
          <w:bottom w:val="single" w:sz="4" w:space="0" w:color="A9D08E"/>
        </w:tcBorders>
      </w:tcPr>
    </w:tblStylePr>
    <w:tblStylePr w:type="lastRow">
      <w:rPr>
        <w:b/>
        <w:color w:val="A9D08E"/>
      </w:rPr>
      <w:tblPr/>
      <w:tcPr>
        <w:tcBorders>
          <w:top w:val="single" w:sz="4" w:space="0" w:color="A9D08E"/>
        </w:tcBorders>
      </w:tcPr>
    </w:tblStylePr>
    <w:tblStylePr w:type="firstCol">
      <w:rPr>
        <w:b/>
        <w:color w:val="A9D08E"/>
      </w:rPr>
    </w:tblStylePr>
    <w:tblStylePr w:type="lastCol">
      <w:rPr>
        <w:b/>
        <w:color w:val="A9D08E"/>
      </w:r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styleId="TableauListe7Couleur">
    <w:name w:val="List Table 7 Colorful"/>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right w:val="single" w:sz="4" w:space="0" w:color="7F7F7F"/>
      </w:tblBorders>
    </w:tblPr>
    <w:tblStylePr w:type="firstRow">
      <w:rPr>
        <w:rFonts w:ascii="Arial" w:hAnsi="Arial"/>
        <w:i/>
        <w:color w:val="7F7F7F"/>
        <w:sz w:val="22"/>
      </w:rPr>
      <w:tblPr/>
      <w:tcPr>
        <w:tcBorders>
          <w:top w:val="none" w:sz="4" w:space="0" w:color="000000"/>
          <w:left w:val="none" w:sz="4" w:space="0" w:color="000000"/>
          <w:bottom w:val="single" w:sz="4" w:space="0" w:color="7F7F7F"/>
          <w:right w:val="none" w:sz="4" w:space="0" w:color="000000"/>
        </w:tcBorders>
        <w:shd w:val="clear" w:color="FFFFFF" w:fill="FFFFFF"/>
      </w:tcPr>
    </w:tblStylePr>
    <w:tblStylePr w:type="lastRow">
      <w:rPr>
        <w:rFonts w:ascii="Arial" w:hAnsi="Arial"/>
        <w:i/>
        <w:color w:val="7F7F7F"/>
        <w:sz w:val="22"/>
      </w:rPr>
      <w:tblPr/>
      <w:tcPr>
        <w:tcBorders>
          <w:top w:val="single" w:sz="4" w:space="0" w:color="7F7F7F"/>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7F7F7F"/>
        <w:sz w:val="22"/>
      </w:rPr>
      <w:tblPr/>
      <w:tcPr>
        <w:tcBorders>
          <w:top w:val="none" w:sz="4" w:space="0" w:color="000000"/>
          <w:left w:val="none" w:sz="4" w:space="0" w:color="000000"/>
          <w:bottom w:val="none" w:sz="4" w:space="0" w:color="000000"/>
          <w:right w:val="single" w:sz="4" w:space="0" w:color="7F7F7F"/>
        </w:tcBorders>
        <w:shd w:val="clear" w:color="FFFFFF" w:fill="auto"/>
      </w:tcPr>
    </w:tblStylePr>
    <w:tblStylePr w:type="lastCol">
      <w:rPr>
        <w:rFonts w:ascii="Arial" w:hAnsi="Arial"/>
        <w:i/>
        <w:color w:val="7F7F7F"/>
        <w:sz w:val="22"/>
      </w:rPr>
      <w:tblPr/>
      <w:tcPr>
        <w:tcBorders>
          <w:top w:val="none" w:sz="4" w:space="0" w:color="000000"/>
          <w:left w:val="single" w:sz="4" w:space="0" w:color="7F7F7F"/>
          <w:bottom w:val="none" w:sz="4" w:space="0" w:color="000000"/>
          <w:right w:val="none" w:sz="4" w:space="0" w:color="000000"/>
        </w:tcBorders>
        <w:shd w:val="clear" w:color="FFFFFF" w:fill="auto"/>
      </w:tcPr>
    </w:tblStylePr>
    <w:tblStylePr w:type="band1Vert">
      <w:tblPr/>
      <w:tcPr>
        <w:shd w:val="clear" w:color="BFBFBF" w:fill="BFBFBF"/>
      </w:tcPr>
    </w:tblStylePr>
    <w:tblStylePr w:type="band1Horz">
      <w:rPr>
        <w:rFonts w:ascii="Arial" w:hAnsi="Arial"/>
        <w:color w:val="7F7F7F"/>
        <w:sz w:val="22"/>
      </w:rPr>
      <w:tblPr/>
      <w:tcPr>
        <w:shd w:val="clear" w:color="BFBFBF" w:fill="BFBFBF"/>
      </w:tcPr>
    </w:tblStylePr>
    <w:tblStylePr w:type="band2Horz">
      <w:rPr>
        <w:rFonts w:ascii="Arial" w:hAnsi="Arial"/>
        <w:color w:val="7F7F7F"/>
        <w:sz w:val="22"/>
      </w:rPr>
    </w:tblStylePr>
  </w:style>
  <w:style w:type="table" w:customStyle="1" w:styleId="TableauListe7Couleur-Accentuation11">
    <w:name w:val="Tableau Liste 7 Couleur - Accentuation 1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right w:val="single" w:sz="4" w:space="0" w:color="5B9BD5"/>
      </w:tblBorders>
    </w:tblPr>
    <w:tblStylePr w:type="firstRow">
      <w:rPr>
        <w:rFonts w:ascii="Arial" w:hAnsi="Arial"/>
        <w:i/>
        <w:color w:val="245A8D"/>
        <w:sz w:val="22"/>
      </w:rPr>
      <w:tblPr/>
      <w:tcPr>
        <w:tcBorders>
          <w:top w:val="none" w:sz="4" w:space="0" w:color="000000"/>
          <w:left w:val="none" w:sz="4" w:space="0" w:color="000000"/>
          <w:bottom w:val="single" w:sz="4" w:space="0" w:color="5B9BD5"/>
          <w:right w:val="none" w:sz="4" w:space="0" w:color="000000"/>
        </w:tcBorders>
        <w:shd w:val="clear" w:color="FFFFFF" w:fill="FFFFFF"/>
      </w:tcPr>
    </w:tblStylePr>
    <w:tblStylePr w:type="lastRow">
      <w:rPr>
        <w:rFonts w:ascii="Arial" w:hAnsi="Arial"/>
        <w:i/>
        <w:color w:val="245A8D"/>
        <w:sz w:val="22"/>
      </w:rPr>
      <w:tblPr/>
      <w:tcPr>
        <w:tcBorders>
          <w:top w:val="single" w:sz="4" w:space="0" w:color="5B9BD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245A8D"/>
        <w:sz w:val="22"/>
      </w:rPr>
      <w:tblPr/>
      <w:tcPr>
        <w:tcBorders>
          <w:top w:val="none" w:sz="4" w:space="0" w:color="000000"/>
          <w:left w:val="none" w:sz="4" w:space="0" w:color="000000"/>
          <w:bottom w:val="none" w:sz="4" w:space="0" w:color="000000"/>
          <w:right w:val="single" w:sz="4" w:space="0" w:color="5B9BD5"/>
        </w:tcBorders>
        <w:shd w:val="clear" w:color="FFFFFF" w:fill="auto"/>
      </w:tcPr>
    </w:tblStylePr>
    <w:tblStylePr w:type="lastCol">
      <w:rPr>
        <w:rFonts w:ascii="Arial" w:hAnsi="Arial"/>
        <w:i/>
        <w:color w:val="245A8D"/>
        <w:sz w:val="22"/>
      </w:rPr>
      <w:tblPr/>
      <w:tcPr>
        <w:tcBorders>
          <w:top w:val="none" w:sz="4" w:space="0" w:color="000000"/>
          <w:left w:val="single" w:sz="4" w:space="0" w:color="5B9BD5"/>
          <w:bottom w:val="none" w:sz="4" w:space="0" w:color="000000"/>
          <w:right w:val="none" w:sz="4" w:space="0" w:color="000000"/>
        </w:tcBorders>
        <w:shd w:val="clear" w:color="FFFFFF" w:fill="auto"/>
      </w:tcPr>
    </w:tblStylePr>
    <w:tblStylePr w:type="band1Vert">
      <w:tblPr/>
      <w:tcPr>
        <w:shd w:val="clear" w:color="D5E5F4" w:fill="D5E5F4"/>
      </w:tcPr>
    </w:tblStylePr>
    <w:tblStylePr w:type="band1Horz">
      <w:rPr>
        <w:rFonts w:ascii="Arial" w:hAnsi="Arial"/>
        <w:color w:val="245A8D"/>
        <w:sz w:val="22"/>
      </w:rPr>
      <w:tblPr/>
      <w:tcPr>
        <w:shd w:val="clear" w:color="D5E5F4" w:fill="D5E5F4"/>
      </w:tcPr>
    </w:tblStylePr>
    <w:tblStylePr w:type="band2Horz">
      <w:rPr>
        <w:rFonts w:ascii="Arial" w:hAnsi="Arial"/>
        <w:color w:val="245A8D"/>
        <w:sz w:val="22"/>
      </w:rPr>
    </w:tblStylePr>
  </w:style>
  <w:style w:type="table" w:customStyle="1" w:styleId="TableauListe7Couleur-Accentuation21">
    <w:name w:val="Tableau Liste 7 Couleur - Accentuation 2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right w:val="single" w:sz="4" w:space="0" w:color="F4B184"/>
      </w:tblBorders>
    </w:tblPr>
    <w:tblStylePr w:type="firstRow">
      <w:rPr>
        <w:rFonts w:ascii="Arial" w:hAnsi="Arial"/>
        <w:i/>
        <w:color w:val="F4B184"/>
        <w:sz w:val="22"/>
      </w:rPr>
      <w:tblPr/>
      <w:tcPr>
        <w:tcBorders>
          <w:top w:val="none" w:sz="4" w:space="0" w:color="000000"/>
          <w:left w:val="none" w:sz="4" w:space="0" w:color="000000"/>
          <w:bottom w:val="single" w:sz="4" w:space="0" w:color="F4B184"/>
          <w:right w:val="none" w:sz="4" w:space="0" w:color="000000"/>
        </w:tcBorders>
        <w:shd w:val="clear" w:color="FFFFFF" w:fill="FFFFFF"/>
      </w:tcPr>
    </w:tblStylePr>
    <w:tblStylePr w:type="lastRow">
      <w:rPr>
        <w:rFonts w:ascii="Arial" w:hAnsi="Arial"/>
        <w:i/>
        <w:color w:val="F4B184"/>
        <w:sz w:val="22"/>
      </w:rPr>
      <w:tblPr/>
      <w:tcPr>
        <w:tcBorders>
          <w:top w:val="single" w:sz="4" w:space="0" w:color="F4B184"/>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4B184"/>
        <w:sz w:val="22"/>
      </w:rPr>
      <w:tblPr/>
      <w:tcPr>
        <w:tcBorders>
          <w:top w:val="none" w:sz="4" w:space="0" w:color="000000"/>
          <w:left w:val="none" w:sz="4" w:space="0" w:color="000000"/>
          <w:bottom w:val="none" w:sz="4" w:space="0" w:color="000000"/>
          <w:right w:val="single" w:sz="4" w:space="0" w:color="F4B184"/>
        </w:tcBorders>
        <w:shd w:val="clear" w:color="FFFFFF" w:fill="auto"/>
      </w:tcPr>
    </w:tblStylePr>
    <w:tblStylePr w:type="lastCol">
      <w:rPr>
        <w:rFonts w:ascii="Arial" w:hAnsi="Arial"/>
        <w:i/>
        <w:color w:val="F4B184"/>
        <w:sz w:val="22"/>
      </w:rPr>
      <w:tblPr/>
      <w:tcPr>
        <w:tcBorders>
          <w:top w:val="none" w:sz="4" w:space="0" w:color="000000"/>
          <w:left w:val="single" w:sz="4" w:space="0" w:color="F4B184"/>
          <w:bottom w:val="none" w:sz="4" w:space="0" w:color="000000"/>
          <w:right w:val="none" w:sz="4" w:space="0" w:color="000000"/>
        </w:tcBorders>
        <w:shd w:val="clear" w:color="FFFFFF" w:fill="auto"/>
      </w:tcPr>
    </w:tblStylePr>
    <w:tblStylePr w:type="band1Vert">
      <w:tblPr/>
      <w:tcPr>
        <w:shd w:val="clear" w:color="FADECB" w:fill="FADECB"/>
      </w:tcPr>
    </w:tblStylePr>
    <w:tblStylePr w:type="band1Horz">
      <w:rPr>
        <w:rFonts w:ascii="Arial" w:hAnsi="Arial"/>
        <w:color w:val="F4B184"/>
        <w:sz w:val="22"/>
      </w:rPr>
      <w:tblPr/>
      <w:tcPr>
        <w:shd w:val="clear" w:color="FADECB" w:fill="FADECB"/>
      </w:tcPr>
    </w:tblStylePr>
    <w:tblStylePr w:type="band2Horz">
      <w:rPr>
        <w:rFonts w:ascii="Arial" w:hAnsi="Arial"/>
        <w:color w:val="F4B184"/>
        <w:sz w:val="22"/>
      </w:rPr>
    </w:tblStylePr>
  </w:style>
  <w:style w:type="table" w:customStyle="1" w:styleId="TableauListe7Couleur-Accentuation31">
    <w:name w:val="Tableau Liste 7 Couleur - Accentuation 3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right w:val="single" w:sz="4" w:space="0" w:color="C9C9C9"/>
      </w:tblBorders>
    </w:tblPr>
    <w:tblStylePr w:type="firstRow">
      <w:rPr>
        <w:rFonts w:ascii="Arial" w:hAnsi="Arial"/>
        <w:i/>
        <w:color w:val="C9C9C9"/>
        <w:sz w:val="22"/>
      </w:rPr>
      <w:tblPr/>
      <w:tcPr>
        <w:tcBorders>
          <w:top w:val="none" w:sz="4" w:space="0" w:color="000000"/>
          <w:left w:val="none" w:sz="4" w:space="0" w:color="000000"/>
          <w:bottom w:val="single" w:sz="4" w:space="0" w:color="C9C9C9"/>
          <w:right w:val="none" w:sz="4" w:space="0" w:color="000000"/>
        </w:tcBorders>
        <w:shd w:val="clear" w:color="FFFFFF" w:fill="FFFFFF"/>
      </w:tcPr>
    </w:tblStylePr>
    <w:tblStylePr w:type="lastRow">
      <w:rPr>
        <w:rFonts w:ascii="Arial" w:hAnsi="Arial"/>
        <w:i/>
        <w:color w:val="C9C9C9"/>
        <w:sz w:val="22"/>
      </w:rPr>
      <w:tblPr/>
      <w:tcPr>
        <w:tcBorders>
          <w:top w:val="single" w:sz="4" w:space="0" w:color="C9C9C9"/>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C9C9C9"/>
        <w:sz w:val="22"/>
      </w:rPr>
      <w:tblPr/>
      <w:tcPr>
        <w:tcBorders>
          <w:top w:val="none" w:sz="4" w:space="0" w:color="000000"/>
          <w:left w:val="none" w:sz="4" w:space="0" w:color="000000"/>
          <w:bottom w:val="none" w:sz="4" w:space="0" w:color="000000"/>
          <w:right w:val="single" w:sz="4" w:space="0" w:color="C9C9C9"/>
        </w:tcBorders>
        <w:shd w:val="clear" w:color="FFFFFF" w:fill="auto"/>
      </w:tcPr>
    </w:tblStylePr>
    <w:tblStylePr w:type="lastCol">
      <w:rPr>
        <w:rFonts w:ascii="Arial" w:hAnsi="Arial"/>
        <w:i/>
        <w:color w:val="C9C9C9"/>
        <w:sz w:val="22"/>
      </w:rPr>
      <w:tblPr/>
      <w:tcPr>
        <w:tcBorders>
          <w:top w:val="none" w:sz="4" w:space="0" w:color="000000"/>
          <w:left w:val="single" w:sz="4" w:space="0" w:color="C9C9C9"/>
          <w:bottom w:val="none" w:sz="4" w:space="0" w:color="000000"/>
          <w:right w:val="none" w:sz="4" w:space="0" w:color="000000"/>
        </w:tcBorders>
        <w:shd w:val="clear" w:color="FFFFFF" w:fill="auto"/>
      </w:tcPr>
    </w:tblStylePr>
    <w:tblStylePr w:type="band1Vert">
      <w:tblPr/>
      <w:tcPr>
        <w:shd w:val="clear" w:color="E8E8E8" w:fill="E8E8E8"/>
      </w:tcPr>
    </w:tblStylePr>
    <w:tblStylePr w:type="band1Horz">
      <w:rPr>
        <w:rFonts w:ascii="Arial" w:hAnsi="Arial"/>
        <w:color w:val="C9C9C9"/>
        <w:sz w:val="22"/>
      </w:rPr>
      <w:tblPr/>
      <w:tcPr>
        <w:shd w:val="clear" w:color="E8E8E8" w:fill="E8E8E8"/>
      </w:tcPr>
    </w:tblStylePr>
    <w:tblStylePr w:type="band2Horz">
      <w:rPr>
        <w:rFonts w:ascii="Arial" w:hAnsi="Arial"/>
        <w:color w:val="C9C9C9"/>
        <w:sz w:val="22"/>
      </w:rPr>
    </w:tblStylePr>
  </w:style>
  <w:style w:type="table" w:customStyle="1" w:styleId="TableauListe7Couleur-Accentuation41">
    <w:name w:val="Tableau Liste 7 Couleur - Accentuation 4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right w:val="single" w:sz="4" w:space="0" w:color="FFD865"/>
      </w:tblBorders>
    </w:tblPr>
    <w:tblStylePr w:type="firstRow">
      <w:rPr>
        <w:rFonts w:ascii="Arial" w:hAnsi="Arial"/>
        <w:i/>
        <w:color w:val="FFD865"/>
        <w:sz w:val="22"/>
      </w:rPr>
      <w:tblPr/>
      <w:tcPr>
        <w:tcBorders>
          <w:top w:val="none" w:sz="4" w:space="0" w:color="000000"/>
          <w:left w:val="none" w:sz="4" w:space="0" w:color="000000"/>
          <w:bottom w:val="single" w:sz="4" w:space="0" w:color="FFD865"/>
          <w:right w:val="none" w:sz="4" w:space="0" w:color="000000"/>
        </w:tcBorders>
        <w:shd w:val="clear" w:color="FFFFFF" w:fill="FFFFFF"/>
      </w:tcPr>
    </w:tblStylePr>
    <w:tblStylePr w:type="lastRow">
      <w:rPr>
        <w:rFonts w:ascii="Arial" w:hAnsi="Arial"/>
        <w:i/>
        <w:color w:val="FFD865"/>
        <w:sz w:val="22"/>
      </w:rPr>
      <w:tblPr/>
      <w:tcPr>
        <w:tcBorders>
          <w:top w:val="single" w:sz="4" w:space="0" w:color="FFD865"/>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FFD865"/>
        <w:sz w:val="22"/>
      </w:rPr>
      <w:tblPr/>
      <w:tcPr>
        <w:tcBorders>
          <w:top w:val="none" w:sz="4" w:space="0" w:color="000000"/>
          <w:left w:val="none" w:sz="4" w:space="0" w:color="000000"/>
          <w:bottom w:val="none" w:sz="4" w:space="0" w:color="000000"/>
          <w:right w:val="single" w:sz="4" w:space="0" w:color="FFD865"/>
        </w:tcBorders>
        <w:shd w:val="clear" w:color="FFFFFF" w:fill="auto"/>
      </w:tcPr>
    </w:tblStylePr>
    <w:tblStylePr w:type="lastCol">
      <w:rPr>
        <w:rFonts w:ascii="Arial" w:hAnsi="Arial"/>
        <w:i/>
        <w:color w:val="FFD865"/>
        <w:sz w:val="22"/>
      </w:rPr>
      <w:tblPr/>
      <w:tcPr>
        <w:tcBorders>
          <w:top w:val="none" w:sz="4" w:space="0" w:color="000000"/>
          <w:left w:val="single" w:sz="4" w:space="0" w:color="FFD865"/>
          <w:bottom w:val="none" w:sz="4" w:space="0" w:color="000000"/>
          <w:right w:val="none" w:sz="4" w:space="0" w:color="000000"/>
        </w:tcBorders>
        <w:shd w:val="clear" w:color="FFFFFF" w:fill="auto"/>
      </w:tcPr>
    </w:tblStylePr>
    <w:tblStylePr w:type="band1Vert">
      <w:tblPr/>
      <w:tcPr>
        <w:shd w:val="clear" w:color="FFEFBF" w:fill="FFEFBF"/>
      </w:tcPr>
    </w:tblStylePr>
    <w:tblStylePr w:type="band1Horz">
      <w:rPr>
        <w:rFonts w:ascii="Arial" w:hAnsi="Arial"/>
        <w:color w:val="FFD865"/>
        <w:sz w:val="22"/>
      </w:rPr>
      <w:tblPr/>
      <w:tcPr>
        <w:shd w:val="clear" w:color="FFEFBF" w:fill="FFEFBF"/>
      </w:tcPr>
    </w:tblStylePr>
    <w:tblStylePr w:type="band2Horz">
      <w:rPr>
        <w:rFonts w:ascii="Arial" w:hAnsi="Arial"/>
        <w:color w:val="FFD865"/>
        <w:sz w:val="22"/>
      </w:rPr>
    </w:tblStylePr>
  </w:style>
  <w:style w:type="table" w:customStyle="1" w:styleId="TableauListe7Couleur-Accentuation51">
    <w:name w:val="Tableau Liste 7 Couleur - Accentuation 5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right w:val="single" w:sz="4" w:space="0" w:color="8DA9DB"/>
      </w:tblBorders>
    </w:tblPr>
    <w:tblStylePr w:type="firstRow">
      <w:rPr>
        <w:rFonts w:ascii="Arial" w:hAnsi="Arial"/>
        <w:i/>
        <w:color w:val="8DA9DB"/>
        <w:sz w:val="22"/>
      </w:rPr>
      <w:tblPr/>
      <w:tcPr>
        <w:tcBorders>
          <w:top w:val="none" w:sz="4" w:space="0" w:color="000000"/>
          <w:left w:val="none" w:sz="4" w:space="0" w:color="000000"/>
          <w:bottom w:val="single" w:sz="4" w:space="0" w:color="8DA9DB"/>
          <w:right w:val="none" w:sz="4" w:space="0" w:color="000000"/>
        </w:tcBorders>
        <w:shd w:val="clear" w:color="FFFFFF" w:fill="FFFFFF"/>
      </w:tcPr>
    </w:tblStylePr>
    <w:tblStylePr w:type="lastRow">
      <w:rPr>
        <w:rFonts w:ascii="Arial" w:hAnsi="Arial"/>
        <w:i/>
        <w:color w:val="8DA9DB"/>
        <w:sz w:val="22"/>
      </w:rPr>
      <w:tblPr/>
      <w:tcPr>
        <w:tcBorders>
          <w:top w:val="single" w:sz="4" w:space="0" w:color="8DA9DB"/>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8DA9DB"/>
        <w:sz w:val="22"/>
      </w:rPr>
      <w:tblPr/>
      <w:tcPr>
        <w:tcBorders>
          <w:top w:val="none" w:sz="4" w:space="0" w:color="000000"/>
          <w:left w:val="none" w:sz="4" w:space="0" w:color="000000"/>
          <w:bottom w:val="none" w:sz="4" w:space="0" w:color="000000"/>
          <w:right w:val="single" w:sz="4" w:space="0" w:color="8DA9DB"/>
        </w:tcBorders>
        <w:shd w:val="clear" w:color="FFFFFF" w:fill="auto"/>
      </w:tcPr>
    </w:tblStylePr>
    <w:tblStylePr w:type="lastCol">
      <w:rPr>
        <w:rFonts w:ascii="Arial" w:hAnsi="Arial"/>
        <w:i/>
        <w:color w:val="8DA9DB"/>
        <w:sz w:val="22"/>
      </w:rPr>
      <w:tblPr/>
      <w:tcPr>
        <w:tcBorders>
          <w:top w:val="none" w:sz="4" w:space="0" w:color="000000"/>
          <w:left w:val="single" w:sz="4" w:space="0" w:color="8DA9DB"/>
          <w:bottom w:val="none" w:sz="4" w:space="0" w:color="000000"/>
          <w:right w:val="none" w:sz="4" w:space="0" w:color="000000"/>
        </w:tcBorders>
        <w:shd w:val="clear" w:color="FFFFFF" w:fill="auto"/>
      </w:tcPr>
    </w:tblStylePr>
    <w:tblStylePr w:type="band1Vert">
      <w:tblPr/>
      <w:tcPr>
        <w:shd w:val="clear" w:color="CFDBF0" w:fill="CFDBF0"/>
      </w:tcPr>
    </w:tblStylePr>
    <w:tblStylePr w:type="band1Horz">
      <w:rPr>
        <w:rFonts w:ascii="Arial" w:hAnsi="Arial"/>
        <w:color w:val="8DA9DB"/>
        <w:sz w:val="22"/>
      </w:rPr>
      <w:tblPr/>
      <w:tcPr>
        <w:shd w:val="clear" w:color="CFDBF0" w:fill="CFDBF0"/>
      </w:tcPr>
    </w:tblStylePr>
    <w:tblStylePr w:type="band2Horz">
      <w:rPr>
        <w:rFonts w:ascii="Arial" w:hAnsi="Arial"/>
        <w:color w:val="8DA9DB"/>
        <w:sz w:val="22"/>
      </w:rPr>
    </w:tblStylePr>
  </w:style>
  <w:style w:type="table" w:customStyle="1" w:styleId="TableauListe7Couleur-Accentuation61">
    <w:name w:val="Tableau Liste 7 Couleur - Accentuation 6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right w:val="single" w:sz="4" w:space="0" w:color="A9D08E"/>
      </w:tblBorders>
    </w:tblPr>
    <w:tblStylePr w:type="firstRow">
      <w:rPr>
        <w:rFonts w:ascii="Arial" w:hAnsi="Arial"/>
        <w:i/>
        <w:color w:val="A9D08E"/>
        <w:sz w:val="22"/>
      </w:rPr>
      <w:tblPr/>
      <w:tcPr>
        <w:tcBorders>
          <w:top w:val="none" w:sz="4" w:space="0" w:color="000000"/>
          <w:left w:val="none" w:sz="4" w:space="0" w:color="000000"/>
          <w:bottom w:val="single" w:sz="4" w:space="0" w:color="A9D08E"/>
          <w:right w:val="none" w:sz="4" w:space="0" w:color="000000"/>
        </w:tcBorders>
        <w:shd w:val="clear" w:color="FFFFFF" w:fill="FFFFFF"/>
      </w:tcPr>
    </w:tblStylePr>
    <w:tblStylePr w:type="lastRow">
      <w:rPr>
        <w:rFonts w:ascii="Arial" w:hAnsi="Arial"/>
        <w:i/>
        <w:color w:val="A9D08E"/>
        <w:sz w:val="22"/>
      </w:rPr>
      <w:tblPr/>
      <w:tcPr>
        <w:tcBorders>
          <w:top w:val="single" w:sz="4" w:space="0" w:color="A9D08E"/>
          <w:left w:val="none" w:sz="4" w:space="0" w:color="000000"/>
          <w:bottom w:val="none" w:sz="4" w:space="0" w:color="000000"/>
          <w:right w:val="none" w:sz="4" w:space="0" w:color="000000"/>
        </w:tcBorders>
        <w:shd w:val="clear" w:color="FFFFFF" w:fill="FFFFFF"/>
      </w:tcPr>
    </w:tblStylePr>
    <w:tblStylePr w:type="firstCol">
      <w:pPr>
        <w:jc w:val="right"/>
      </w:pPr>
      <w:rPr>
        <w:rFonts w:ascii="Arial" w:hAnsi="Arial"/>
        <w:i/>
        <w:color w:val="A9D08E"/>
        <w:sz w:val="22"/>
      </w:rPr>
      <w:tblPr/>
      <w:tcPr>
        <w:tcBorders>
          <w:top w:val="none" w:sz="4" w:space="0" w:color="000000"/>
          <w:left w:val="none" w:sz="4" w:space="0" w:color="000000"/>
          <w:bottom w:val="none" w:sz="4" w:space="0" w:color="000000"/>
          <w:right w:val="single" w:sz="4" w:space="0" w:color="A9D08E"/>
        </w:tcBorders>
        <w:shd w:val="clear" w:color="FFFFFF" w:fill="auto"/>
      </w:tcPr>
    </w:tblStylePr>
    <w:tblStylePr w:type="lastCol">
      <w:rPr>
        <w:rFonts w:ascii="Arial" w:hAnsi="Arial"/>
        <w:i/>
        <w:color w:val="A9D08E"/>
        <w:sz w:val="22"/>
      </w:rPr>
      <w:tblPr/>
      <w:tcPr>
        <w:tcBorders>
          <w:top w:val="none" w:sz="4" w:space="0" w:color="000000"/>
          <w:left w:val="single" w:sz="4" w:space="0" w:color="A9D08E"/>
          <w:bottom w:val="none" w:sz="4" w:space="0" w:color="000000"/>
          <w:right w:val="none" w:sz="4" w:space="0" w:color="000000"/>
        </w:tcBorders>
        <w:shd w:val="clear" w:color="FFFFFF" w:fill="auto"/>
      </w:tcPr>
    </w:tblStylePr>
    <w:tblStylePr w:type="band1Vert">
      <w:tblPr/>
      <w:tcPr>
        <w:shd w:val="clear" w:color="DAEBCF" w:fill="DAEBCF"/>
      </w:tcPr>
    </w:tblStylePr>
    <w:tblStylePr w:type="band1Horz">
      <w:rPr>
        <w:rFonts w:ascii="Arial" w:hAnsi="Arial"/>
        <w:color w:val="A9D08E"/>
        <w:sz w:val="22"/>
      </w:rPr>
      <w:tblPr/>
      <w:tcPr>
        <w:shd w:val="clear" w:color="DAEBCF" w:fill="DAEBCF"/>
      </w:tcPr>
    </w:tblStylePr>
    <w:tblStylePr w:type="band2Horz">
      <w:rPr>
        <w:rFonts w:ascii="Arial" w:hAnsi="Arial"/>
        <w:color w:val="A9D08E"/>
        <w:sz w:val="22"/>
      </w:rPr>
    </w:tblStylePr>
  </w:style>
  <w:style w:type="table" w:customStyle="1" w:styleId="Lined-Accent">
    <w:name w:val="Lined - Accent"/>
    <w:basedOn w:val="TableauNormal"/>
    <w:uiPriority w:val="99"/>
    <w:rsid w:val="00DB19F5"/>
    <w:pPr>
      <w:spacing w:after="0" w:line="240" w:lineRule="auto"/>
    </w:pPr>
    <w:rPr>
      <w:rFonts w:ascii="Calibri" w:eastAsia="Arial" w:hAnsi="Calibri" w:cs="Times New Roman"/>
      <w:color w:val="404040"/>
      <w:sz w:val="20"/>
      <w:szCs w:val="20"/>
      <w:lang w:eastAsia="fr-FR"/>
    </w:rPr>
    <w:tblPr>
      <w:tblStyleRowBandSize w:val="1"/>
      <w:tblStyleColBandSize w:val="1"/>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Lined-Accent1">
    <w:name w:val="Lined - Accent 1"/>
    <w:basedOn w:val="TableauNormal"/>
    <w:uiPriority w:val="99"/>
    <w:rsid w:val="00DB19F5"/>
    <w:pPr>
      <w:spacing w:after="0" w:line="240" w:lineRule="auto"/>
    </w:pPr>
    <w:rPr>
      <w:rFonts w:ascii="Calibri" w:eastAsia="Arial" w:hAnsi="Calibri" w:cs="Times New Roman"/>
      <w:color w:val="404040"/>
      <w:sz w:val="20"/>
      <w:szCs w:val="20"/>
      <w:lang w:eastAsia="fr-FR"/>
    </w:rPr>
    <w:tblPr>
      <w:tblStyleRowBandSize w:val="1"/>
      <w:tblStyleColBandSize w:val="1"/>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Lined-Accent2">
    <w:name w:val="Lined - Accent 2"/>
    <w:basedOn w:val="TableauNormal"/>
    <w:uiPriority w:val="99"/>
    <w:rsid w:val="00DB19F5"/>
    <w:pPr>
      <w:spacing w:after="0" w:line="240" w:lineRule="auto"/>
    </w:pPr>
    <w:rPr>
      <w:rFonts w:ascii="Calibri" w:eastAsia="Arial" w:hAnsi="Calibri" w:cs="Times New Roman"/>
      <w:color w:val="404040"/>
      <w:sz w:val="20"/>
      <w:szCs w:val="20"/>
      <w:lang w:eastAsia="fr-FR"/>
    </w:rPr>
    <w:tblPr>
      <w:tblStyleRowBandSize w:val="1"/>
      <w:tblStyleColBandSize w:val="1"/>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Lined-Accent3">
    <w:name w:val="Lined - Accent 3"/>
    <w:basedOn w:val="TableauNormal"/>
    <w:uiPriority w:val="99"/>
    <w:rsid w:val="00DB19F5"/>
    <w:pPr>
      <w:spacing w:after="0" w:line="240" w:lineRule="auto"/>
    </w:pPr>
    <w:rPr>
      <w:rFonts w:ascii="Calibri" w:eastAsia="Arial" w:hAnsi="Calibri" w:cs="Times New Roman"/>
      <w:color w:val="404040"/>
      <w:sz w:val="20"/>
      <w:szCs w:val="20"/>
      <w:lang w:eastAsia="fr-FR"/>
    </w:rPr>
    <w:tblPr>
      <w:tblStyleRowBandSize w:val="1"/>
      <w:tblStyleColBandSize w:val="1"/>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Lined-Accent4">
    <w:name w:val="Lined - Accent 4"/>
    <w:basedOn w:val="TableauNormal"/>
    <w:uiPriority w:val="99"/>
    <w:rsid w:val="00DB19F5"/>
    <w:pPr>
      <w:spacing w:after="0" w:line="240" w:lineRule="auto"/>
    </w:pPr>
    <w:rPr>
      <w:rFonts w:ascii="Calibri" w:eastAsia="Arial" w:hAnsi="Calibri" w:cs="Times New Roman"/>
      <w:color w:val="404040"/>
      <w:sz w:val="20"/>
      <w:szCs w:val="20"/>
      <w:lang w:eastAsia="fr-FR"/>
    </w:rPr>
    <w:tblPr>
      <w:tblStyleRowBandSize w:val="1"/>
      <w:tblStyleColBandSize w:val="1"/>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Lined-Accent5">
    <w:name w:val="Lined - Accent 5"/>
    <w:basedOn w:val="TableauNormal"/>
    <w:uiPriority w:val="99"/>
    <w:rsid w:val="00DB19F5"/>
    <w:pPr>
      <w:spacing w:after="0" w:line="240" w:lineRule="auto"/>
    </w:pPr>
    <w:rPr>
      <w:rFonts w:ascii="Calibri" w:eastAsia="Arial" w:hAnsi="Calibri" w:cs="Times New Roman"/>
      <w:color w:val="404040"/>
      <w:sz w:val="20"/>
      <w:szCs w:val="20"/>
      <w:lang w:eastAsia="fr-FR"/>
    </w:rPr>
    <w:tblPr>
      <w:tblStyleRowBandSize w:val="1"/>
      <w:tblStyleColBandSize w:val="1"/>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Lined-Accent6">
    <w:name w:val="Lined - Accent 6"/>
    <w:basedOn w:val="TableauNormal"/>
    <w:uiPriority w:val="99"/>
    <w:rsid w:val="00DB19F5"/>
    <w:pPr>
      <w:spacing w:after="0" w:line="240" w:lineRule="auto"/>
    </w:pPr>
    <w:rPr>
      <w:rFonts w:ascii="Calibri" w:eastAsia="Arial" w:hAnsi="Calibri" w:cs="Times New Roman"/>
      <w:color w:val="404040"/>
      <w:sz w:val="20"/>
      <w:szCs w:val="20"/>
      <w:lang w:eastAsia="fr-FR"/>
    </w:rPr>
    <w:tblPr>
      <w:tblStyleRowBandSize w:val="1"/>
      <w:tblStyleColBandSize w:val="1"/>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Lined-Accent">
    <w:name w:val="Bordered &amp; Lined - Accent"/>
    <w:basedOn w:val="TableauNormal"/>
    <w:uiPriority w:val="99"/>
    <w:rsid w:val="00DB19F5"/>
    <w:pPr>
      <w:spacing w:after="0" w:line="240" w:lineRule="auto"/>
    </w:pPr>
    <w:rPr>
      <w:rFonts w:ascii="Calibri" w:eastAsia="Arial" w:hAnsi="Calibri" w:cs="Times New Roman"/>
      <w:color w:val="404040"/>
      <w:sz w:val="20"/>
      <w:szCs w:val="20"/>
      <w:lang w:eastAsia="fr-FR"/>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
    <w:tblStylePr w:type="firstRow">
      <w:rPr>
        <w:rFonts w:ascii="Arial" w:hAnsi="Arial"/>
        <w:color w:val="F2F2F2"/>
        <w:sz w:val="22"/>
      </w:rPr>
      <w:tblPr/>
      <w:tcPr>
        <w:shd w:val="clear" w:color="7F7F7F" w:fill="7F7F7F"/>
      </w:tcPr>
    </w:tblStylePr>
    <w:tblStylePr w:type="lastRow">
      <w:rPr>
        <w:rFonts w:ascii="Arial" w:hAnsi="Arial"/>
        <w:color w:val="F2F2F2"/>
        <w:sz w:val="22"/>
      </w:rPr>
      <w:tblPr/>
      <w:tcPr>
        <w:shd w:val="clear" w:color="7F7F7F" w:fill="7F7F7F"/>
      </w:tcPr>
    </w:tblStylePr>
    <w:tblStylePr w:type="firstCol">
      <w:rPr>
        <w:rFonts w:ascii="Arial" w:hAnsi="Arial"/>
        <w:color w:val="F2F2F2"/>
        <w:sz w:val="22"/>
      </w:rPr>
      <w:tblPr/>
      <w:tcPr>
        <w:shd w:val="clear" w:color="7F7F7F" w:fill="7F7F7F"/>
      </w:tcPr>
    </w:tblStylePr>
    <w:tblStylePr w:type="lastCol">
      <w:rPr>
        <w:rFonts w:ascii="Arial" w:hAnsi="Arial"/>
        <w:color w:val="F2F2F2"/>
        <w:sz w:val="22"/>
      </w:rPr>
      <w:tblPr/>
      <w:tcPr>
        <w:shd w:val="clear" w:color="7F7F7F" w:fill="7F7F7F"/>
      </w:tcPr>
    </w:tblStylePr>
    <w:tblStylePr w:type="band1Vert">
      <w:rPr>
        <w:rFonts w:ascii="Arial" w:hAnsi="Arial"/>
        <w:color w:val="404040"/>
        <w:sz w:val="22"/>
      </w:rPr>
    </w:tblStylePr>
    <w:tblStylePr w:type="band2Vert">
      <w:rPr>
        <w:rFonts w:ascii="Arial" w:hAnsi="Arial"/>
        <w:color w:val="404040"/>
        <w:sz w:val="22"/>
      </w:rPr>
      <w:tblPr/>
      <w:tcPr>
        <w:shd w:val="clear" w:color="F2F2F2" w:fill="F2F2F2"/>
      </w:tcPr>
    </w:tblStylePr>
    <w:tblStylePr w:type="band1Horz">
      <w:rPr>
        <w:rFonts w:ascii="Arial" w:hAnsi="Arial"/>
        <w:color w:val="404040"/>
        <w:sz w:val="22"/>
      </w:rPr>
    </w:tblStylePr>
    <w:tblStylePr w:type="band2Horz">
      <w:rPr>
        <w:rFonts w:ascii="Arial" w:hAnsi="Arial"/>
        <w:color w:val="404040"/>
        <w:sz w:val="22"/>
      </w:rPr>
      <w:tblPr/>
      <w:tcPr>
        <w:shd w:val="clear" w:color="F2F2F2" w:fill="F2F2F2"/>
      </w:tcPr>
    </w:tblStylePr>
  </w:style>
  <w:style w:type="table" w:customStyle="1" w:styleId="BorderedLined-Accent1">
    <w:name w:val="Bordered &amp; Lined - Accent 1"/>
    <w:basedOn w:val="TableauNormal"/>
    <w:uiPriority w:val="99"/>
    <w:rsid w:val="00DB19F5"/>
    <w:pPr>
      <w:spacing w:after="0" w:line="240" w:lineRule="auto"/>
    </w:pPr>
    <w:rPr>
      <w:rFonts w:ascii="Calibri" w:eastAsia="Arial" w:hAnsi="Calibri" w:cs="Times New Roman"/>
      <w:color w:val="404040"/>
      <w:sz w:val="20"/>
      <w:szCs w:val="20"/>
      <w:lang w:eastAsia="fr-FR"/>
    </w:rPr>
    <w:tblPr>
      <w:tblStyleRowBandSize w:val="1"/>
      <w:tblStyleColBandSize w:val="1"/>
      <w:tblBorders>
        <w:top w:val="single" w:sz="4" w:space="0" w:color="245A8D"/>
        <w:left w:val="single" w:sz="4" w:space="0" w:color="245A8D"/>
        <w:bottom w:val="single" w:sz="4" w:space="0" w:color="245A8D"/>
        <w:right w:val="single" w:sz="4" w:space="0" w:color="245A8D"/>
        <w:insideH w:val="single" w:sz="4" w:space="0" w:color="245A8D"/>
        <w:insideV w:val="single" w:sz="4" w:space="0" w:color="245A8D"/>
      </w:tblBorders>
    </w:tblPr>
    <w:tblStylePr w:type="firstRow">
      <w:rPr>
        <w:rFonts w:ascii="Arial" w:hAnsi="Arial"/>
        <w:color w:val="F2F2F2"/>
        <w:sz w:val="22"/>
      </w:rPr>
      <w:tblPr/>
      <w:tcPr>
        <w:shd w:val="clear" w:color="68A2D8" w:fill="68A2D8"/>
      </w:tcPr>
    </w:tblStylePr>
    <w:tblStylePr w:type="lastRow">
      <w:rPr>
        <w:rFonts w:ascii="Arial" w:hAnsi="Arial"/>
        <w:color w:val="F2F2F2"/>
        <w:sz w:val="22"/>
      </w:rPr>
      <w:tblPr/>
      <w:tcPr>
        <w:shd w:val="clear" w:color="68A2D8" w:fill="68A2D8"/>
      </w:tcPr>
    </w:tblStylePr>
    <w:tblStylePr w:type="firstCol">
      <w:rPr>
        <w:rFonts w:ascii="Arial" w:hAnsi="Arial"/>
        <w:color w:val="F2F2F2"/>
        <w:sz w:val="22"/>
      </w:rPr>
      <w:tblPr/>
      <w:tcPr>
        <w:shd w:val="clear" w:color="68A2D8" w:fill="68A2D8"/>
      </w:tcPr>
    </w:tblStylePr>
    <w:tblStylePr w:type="lastCol">
      <w:rPr>
        <w:rFonts w:ascii="Arial" w:hAnsi="Arial"/>
        <w:color w:val="F2F2F2"/>
        <w:sz w:val="22"/>
      </w:rPr>
      <w:tblPr/>
      <w:tcPr>
        <w:shd w:val="clear" w:color="68A2D8" w:fill="68A2D8"/>
      </w:tcPr>
    </w:tblStylePr>
    <w:tblStylePr w:type="band1Vert">
      <w:rPr>
        <w:rFonts w:ascii="Arial" w:hAnsi="Arial"/>
        <w:color w:val="404040"/>
        <w:sz w:val="22"/>
      </w:rPr>
    </w:tblStylePr>
    <w:tblStylePr w:type="band2Vert">
      <w:rPr>
        <w:rFonts w:ascii="Arial" w:hAnsi="Arial"/>
        <w:color w:val="404040"/>
        <w:sz w:val="22"/>
      </w:rPr>
      <w:tblPr/>
      <w:tcPr>
        <w:shd w:val="clear" w:color="CBDFF1" w:fill="CBDFF1"/>
      </w:tcPr>
    </w:tblStylePr>
    <w:tblStylePr w:type="band1Horz">
      <w:rPr>
        <w:rFonts w:ascii="Arial" w:hAnsi="Arial"/>
        <w:color w:val="404040"/>
        <w:sz w:val="22"/>
      </w:rPr>
    </w:tblStylePr>
    <w:tblStylePr w:type="band2Horz">
      <w:rPr>
        <w:rFonts w:ascii="Arial" w:hAnsi="Arial"/>
        <w:color w:val="404040"/>
        <w:sz w:val="22"/>
      </w:rPr>
      <w:tblPr/>
      <w:tcPr>
        <w:shd w:val="clear" w:color="CBDFF1" w:fill="CBDFF1"/>
      </w:tcPr>
    </w:tblStylePr>
  </w:style>
  <w:style w:type="table" w:customStyle="1" w:styleId="BorderedLined-Accent2">
    <w:name w:val="Bordered &amp; Lined - Accent 2"/>
    <w:basedOn w:val="TableauNormal"/>
    <w:uiPriority w:val="99"/>
    <w:rsid w:val="00DB19F5"/>
    <w:pPr>
      <w:spacing w:after="0" w:line="240" w:lineRule="auto"/>
    </w:pPr>
    <w:rPr>
      <w:rFonts w:ascii="Calibri" w:eastAsia="Arial" w:hAnsi="Calibri" w:cs="Times New Roman"/>
      <w:color w:val="404040"/>
      <w:sz w:val="20"/>
      <w:szCs w:val="20"/>
      <w:lang w:eastAsia="fr-FR"/>
    </w:rPr>
    <w:tblPr>
      <w:tblStyleRowBandSize w:val="1"/>
      <w:tblStyleColBandSize w:val="1"/>
      <w:tblBorders>
        <w:top w:val="single" w:sz="4" w:space="0" w:color="99460D"/>
        <w:left w:val="single" w:sz="4" w:space="0" w:color="99460D"/>
        <w:bottom w:val="single" w:sz="4" w:space="0" w:color="99460D"/>
        <w:right w:val="single" w:sz="4" w:space="0" w:color="99460D"/>
        <w:insideH w:val="single" w:sz="4" w:space="0" w:color="99460D"/>
        <w:insideV w:val="single" w:sz="4" w:space="0" w:color="99460D"/>
      </w:tblBorders>
    </w:tblPr>
    <w:tblStylePr w:type="firstRow">
      <w:rPr>
        <w:rFonts w:ascii="Arial" w:hAnsi="Arial"/>
        <w:color w:val="F2F2F2"/>
        <w:sz w:val="22"/>
      </w:rPr>
      <w:tblPr/>
      <w:tcPr>
        <w:shd w:val="clear" w:color="F4B184" w:fill="F4B184"/>
      </w:tcPr>
    </w:tblStylePr>
    <w:tblStylePr w:type="lastRow">
      <w:rPr>
        <w:rFonts w:ascii="Arial" w:hAnsi="Arial"/>
        <w:color w:val="F2F2F2"/>
        <w:sz w:val="22"/>
      </w:rPr>
      <w:tblPr/>
      <w:tcPr>
        <w:shd w:val="clear" w:color="F4B184" w:fill="F4B184"/>
      </w:tcPr>
    </w:tblStylePr>
    <w:tblStylePr w:type="firstCol">
      <w:rPr>
        <w:rFonts w:ascii="Arial" w:hAnsi="Arial"/>
        <w:color w:val="F2F2F2"/>
        <w:sz w:val="22"/>
      </w:rPr>
      <w:tblPr/>
      <w:tcPr>
        <w:shd w:val="clear" w:color="F4B184" w:fill="F4B184"/>
      </w:tcPr>
    </w:tblStylePr>
    <w:tblStylePr w:type="lastCol">
      <w:rPr>
        <w:rFonts w:ascii="Arial" w:hAnsi="Arial"/>
        <w:color w:val="F2F2F2"/>
        <w:sz w:val="22"/>
      </w:rPr>
      <w:tblPr/>
      <w:tcPr>
        <w:shd w:val="clear" w:color="F4B184" w:fill="F4B184"/>
      </w:tcPr>
    </w:tblStylePr>
    <w:tblStylePr w:type="band1Vert">
      <w:rPr>
        <w:rFonts w:ascii="Arial" w:hAnsi="Arial"/>
        <w:color w:val="404040"/>
        <w:sz w:val="22"/>
      </w:rPr>
    </w:tblStylePr>
    <w:tblStylePr w:type="band2Vert">
      <w:rPr>
        <w:rFonts w:ascii="Arial" w:hAnsi="Arial"/>
        <w:color w:val="404040"/>
        <w:sz w:val="22"/>
      </w:rPr>
      <w:tblPr/>
      <w:tcPr>
        <w:shd w:val="clear" w:color="FBE5D6" w:fill="FBE5D6"/>
      </w:tcPr>
    </w:tblStylePr>
    <w:tblStylePr w:type="band1Horz">
      <w:rPr>
        <w:rFonts w:ascii="Arial" w:hAnsi="Arial"/>
        <w:color w:val="404040"/>
        <w:sz w:val="22"/>
      </w:rPr>
    </w:tblStylePr>
    <w:tblStylePr w:type="band2Horz">
      <w:rPr>
        <w:rFonts w:ascii="Arial" w:hAnsi="Arial"/>
        <w:color w:val="404040"/>
        <w:sz w:val="22"/>
      </w:rPr>
      <w:tblPr/>
      <w:tcPr>
        <w:shd w:val="clear" w:color="FBE5D6" w:fill="FBE5D6"/>
      </w:tcPr>
    </w:tblStylePr>
  </w:style>
  <w:style w:type="table" w:customStyle="1" w:styleId="BorderedLined-Accent3">
    <w:name w:val="Bordered &amp; Lined - Accent 3"/>
    <w:basedOn w:val="TableauNormal"/>
    <w:uiPriority w:val="99"/>
    <w:rsid w:val="00DB19F5"/>
    <w:pPr>
      <w:spacing w:after="0" w:line="240" w:lineRule="auto"/>
    </w:pPr>
    <w:rPr>
      <w:rFonts w:ascii="Calibri" w:eastAsia="Arial" w:hAnsi="Calibri" w:cs="Times New Roman"/>
      <w:color w:val="404040"/>
      <w:sz w:val="20"/>
      <w:szCs w:val="20"/>
      <w:lang w:eastAsia="fr-FR"/>
    </w:rPr>
    <w:tblPr>
      <w:tblStyleRowBandSize w:val="1"/>
      <w:tblStyleColBandSize w:val="1"/>
      <w:tblBorders>
        <w:top w:val="single" w:sz="4" w:space="0" w:color="606060"/>
        <w:left w:val="single" w:sz="4" w:space="0" w:color="606060"/>
        <w:bottom w:val="single" w:sz="4" w:space="0" w:color="606060"/>
        <w:right w:val="single" w:sz="4" w:space="0" w:color="606060"/>
        <w:insideH w:val="single" w:sz="4" w:space="0" w:color="606060"/>
        <w:insideV w:val="single" w:sz="4" w:space="0" w:color="606060"/>
      </w:tblBorders>
    </w:tblPr>
    <w:tblStylePr w:type="firstRow">
      <w:rPr>
        <w:rFonts w:ascii="Arial" w:hAnsi="Arial"/>
        <w:color w:val="F2F2F2"/>
        <w:sz w:val="22"/>
      </w:rPr>
      <w:tblPr/>
      <w:tcPr>
        <w:shd w:val="clear" w:color="A5A5A5" w:fill="A5A5A5"/>
      </w:tcPr>
    </w:tblStylePr>
    <w:tblStylePr w:type="lastRow">
      <w:rPr>
        <w:rFonts w:ascii="Arial" w:hAnsi="Arial"/>
        <w:color w:val="F2F2F2"/>
        <w:sz w:val="22"/>
      </w:rPr>
      <w:tblPr/>
      <w:tcPr>
        <w:shd w:val="clear" w:color="A5A5A5" w:fill="A5A5A5"/>
      </w:tcPr>
    </w:tblStylePr>
    <w:tblStylePr w:type="firstCol">
      <w:rPr>
        <w:rFonts w:ascii="Arial" w:hAnsi="Arial"/>
        <w:color w:val="F2F2F2"/>
        <w:sz w:val="22"/>
      </w:rPr>
      <w:tblPr/>
      <w:tcPr>
        <w:shd w:val="clear" w:color="A5A5A5" w:fill="A5A5A5"/>
      </w:tcPr>
    </w:tblStylePr>
    <w:tblStylePr w:type="lastCol">
      <w:rPr>
        <w:rFonts w:ascii="Arial" w:hAnsi="Arial"/>
        <w:color w:val="F2F2F2"/>
        <w:sz w:val="22"/>
      </w:rPr>
      <w:tblPr/>
      <w:tcPr>
        <w:shd w:val="clear" w:color="A5A5A5" w:fill="A5A5A5"/>
      </w:tcPr>
    </w:tblStylePr>
    <w:tblStylePr w:type="band1Vert">
      <w:rPr>
        <w:rFonts w:ascii="Arial" w:hAnsi="Arial"/>
        <w:color w:val="404040"/>
        <w:sz w:val="22"/>
      </w:rPr>
    </w:tblStylePr>
    <w:tblStylePr w:type="band2Vert">
      <w:rPr>
        <w:rFonts w:ascii="Arial" w:hAnsi="Arial"/>
        <w:color w:val="404040"/>
        <w:sz w:val="22"/>
      </w:rPr>
      <w:tblPr/>
      <w:tcPr>
        <w:shd w:val="clear" w:color="ECECEC" w:fill="ECECEC"/>
      </w:tcPr>
    </w:tblStylePr>
    <w:tblStylePr w:type="band1Horz">
      <w:rPr>
        <w:rFonts w:ascii="Arial" w:hAnsi="Arial"/>
        <w:color w:val="404040"/>
        <w:sz w:val="22"/>
      </w:rPr>
    </w:tblStylePr>
    <w:tblStylePr w:type="band2Horz">
      <w:rPr>
        <w:rFonts w:ascii="Arial" w:hAnsi="Arial"/>
        <w:color w:val="404040"/>
        <w:sz w:val="22"/>
      </w:rPr>
      <w:tblPr/>
      <w:tcPr>
        <w:shd w:val="clear" w:color="ECECEC" w:fill="ECECEC"/>
      </w:tcPr>
    </w:tblStylePr>
  </w:style>
  <w:style w:type="table" w:customStyle="1" w:styleId="BorderedLined-Accent4">
    <w:name w:val="Bordered &amp; Lined - Accent 4"/>
    <w:basedOn w:val="TableauNormal"/>
    <w:uiPriority w:val="99"/>
    <w:rsid w:val="00DB19F5"/>
    <w:pPr>
      <w:spacing w:after="0" w:line="240" w:lineRule="auto"/>
    </w:pPr>
    <w:rPr>
      <w:rFonts w:ascii="Calibri" w:eastAsia="Arial" w:hAnsi="Calibri" w:cs="Times New Roman"/>
      <w:color w:val="404040"/>
      <w:sz w:val="20"/>
      <w:szCs w:val="20"/>
      <w:lang w:eastAsia="fr-FR"/>
    </w:rPr>
    <w:tblPr>
      <w:tblStyleRowBandSize w:val="1"/>
      <w:tblStyleColBandSize w:val="1"/>
      <w:tblBorders>
        <w:top w:val="single" w:sz="4" w:space="0" w:color="957000"/>
        <w:left w:val="single" w:sz="4" w:space="0" w:color="957000"/>
        <w:bottom w:val="single" w:sz="4" w:space="0" w:color="957000"/>
        <w:right w:val="single" w:sz="4" w:space="0" w:color="957000"/>
        <w:insideH w:val="single" w:sz="4" w:space="0" w:color="957000"/>
        <w:insideV w:val="single" w:sz="4" w:space="0" w:color="957000"/>
      </w:tblBorders>
    </w:tblPr>
    <w:tblStylePr w:type="firstRow">
      <w:rPr>
        <w:rFonts w:ascii="Arial" w:hAnsi="Arial"/>
        <w:color w:val="F2F2F2"/>
        <w:sz w:val="22"/>
      </w:rPr>
      <w:tblPr/>
      <w:tcPr>
        <w:shd w:val="clear" w:color="FFD865" w:fill="FFD865"/>
      </w:tcPr>
    </w:tblStylePr>
    <w:tblStylePr w:type="lastRow">
      <w:rPr>
        <w:rFonts w:ascii="Arial" w:hAnsi="Arial"/>
        <w:color w:val="F2F2F2"/>
        <w:sz w:val="22"/>
      </w:rPr>
      <w:tblPr/>
      <w:tcPr>
        <w:shd w:val="clear" w:color="FFD865" w:fill="FFD865"/>
      </w:tcPr>
    </w:tblStylePr>
    <w:tblStylePr w:type="firstCol">
      <w:rPr>
        <w:rFonts w:ascii="Arial" w:hAnsi="Arial"/>
        <w:color w:val="F2F2F2"/>
        <w:sz w:val="22"/>
      </w:rPr>
      <w:tblPr/>
      <w:tcPr>
        <w:shd w:val="clear" w:color="FFD865" w:fill="FFD865"/>
      </w:tcPr>
    </w:tblStylePr>
    <w:tblStylePr w:type="lastCol">
      <w:rPr>
        <w:rFonts w:ascii="Arial" w:hAnsi="Arial"/>
        <w:color w:val="F2F2F2"/>
        <w:sz w:val="22"/>
      </w:rPr>
      <w:tblPr/>
      <w:tcPr>
        <w:shd w:val="clear" w:color="FFD865" w:fill="FFD865"/>
      </w:tcPr>
    </w:tblStylePr>
    <w:tblStylePr w:type="band1Vert">
      <w:rPr>
        <w:rFonts w:ascii="Arial" w:hAnsi="Arial"/>
        <w:color w:val="404040"/>
        <w:sz w:val="22"/>
      </w:rPr>
    </w:tblStylePr>
    <w:tblStylePr w:type="band2Vert">
      <w:rPr>
        <w:rFonts w:ascii="Arial" w:hAnsi="Arial"/>
        <w:color w:val="404040"/>
        <w:sz w:val="22"/>
      </w:rPr>
      <w:tblPr/>
      <w:tcPr>
        <w:shd w:val="clear" w:color="FFF2CB" w:fill="FFF2CB"/>
      </w:tcPr>
    </w:tblStylePr>
    <w:tblStylePr w:type="band1Horz">
      <w:rPr>
        <w:rFonts w:ascii="Arial" w:hAnsi="Arial"/>
        <w:color w:val="404040"/>
        <w:sz w:val="22"/>
      </w:rPr>
    </w:tblStylePr>
    <w:tblStylePr w:type="band2Horz">
      <w:rPr>
        <w:rFonts w:ascii="Arial" w:hAnsi="Arial"/>
        <w:color w:val="404040"/>
        <w:sz w:val="22"/>
      </w:rPr>
      <w:tblPr/>
      <w:tcPr>
        <w:shd w:val="clear" w:color="FFF2CB" w:fill="FFF2CB"/>
      </w:tcPr>
    </w:tblStylePr>
  </w:style>
  <w:style w:type="table" w:customStyle="1" w:styleId="BorderedLined-Accent5">
    <w:name w:val="Bordered &amp; Lined - Accent 5"/>
    <w:basedOn w:val="TableauNormal"/>
    <w:uiPriority w:val="99"/>
    <w:rsid w:val="00DB19F5"/>
    <w:pPr>
      <w:spacing w:after="0" w:line="240" w:lineRule="auto"/>
    </w:pPr>
    <w:rPr>
      <w:rFonts w:ascii="Calibri" w:eastAsia="Arial" w:hAnsi="Calibri" w:cs="Times New Roman"/>
      <w:color w:val="404040"/>
      <w:sz w:val="20"/>
      <w:szCs w:val="20"/>
      <w:lang w:eastAsia="fr-FR"/>
    </w:rPr>
    <w:tblPr>
      <w:tblStyleRowBandSize w:val="1"/>
      <w:tblStyleColBandSize w:val="1"/>
      <w:tblBorders>
        <w:top w:val="single" w:sz="4" w:space="0" w:color="254175"/>
        <w:left w:val="single" w:sz="4" w:space="0" w:color="254175"/>
        <w:bottom w:val="single" w:sz="4" w:space="0" w:color="254175"/>
        <w:right w:val="single" w:sz="4" w:space="0" w:color="254175"/>
        <w:insideH w:val="single" w:sz="4" w:space="0" w:color="254175"/>
        <w:insideV w:val="single" w:sz="4" w:space="0" w:color="254175"/>
      </w:tblBorders>
    </w:tblPr>
    <w:tblStylePr w:type="firstRow">
      <w:rPr>
        <w:rFonts w:ascii="Arial" w:hAnsi="Arial"/>
        <w:color w:val="F2F2F2"/>
        <w:sz w:val="22"/>
      </w:rPr>
      <w:tblPr/>
      <w:tcPr>
        <w:shd w:val="clear" w:color="4472C4" w:fill="4472C4"/>
      </w:tcPr>
    </w:tblStylePr>
    <w:tblStylePr w:type="lastRow">
      <w:rPr>
        <w:rFonts w:ascii="Arial" w:hAnsi="Arial"/>
        <w:color w:val="F2F2F2"/>
        <w:sz w:val="22"/>
      </w:rPr>
      <w:tblPr/>
      <w:tcPr>
        <w:shd w:val="clear" w:color="4472C4" w:fill="4472C4"/>
      </w:tcPr>
    </w:tblStylePr>
    <w:tblStylePr w:type="firstCol">
      <w:rPr>
        <w:rFonts w:ascii="Arial" w:hAnsi="Arial"/>
        <w:color w:val="F2F2F2"/>
        <w:sz w:val="22"/>
      </w:rPr>
      <w:tblPr/>
      <w:tcPr>
        <w:shd w:val="clear" w:color="4472C4" w:fill="4472C4"/>
      </w:tcPr>
    </w:tblStylePr>
    <w:tblStylePr w:type="lastCol">
      <w:rPr>
        <w:rFonts w:ascii="Arial" w:hAnsi="Arial"/>
        <w:color w:val="F2F2F2"/>
        <w:sz w:val="22"/>
      </w:rPr>
      <w:tblPr/>
      <w:tcPr>
        <w:shd w:val="clear" w:color="4472C4" w:fill="4472C4"/>
      </w:tcPr>
    </w:tblStylePr>
    <w:tblStylePr w:type="band1Vert">
      <w:rPr>
        <w:rFonts w:ascii="Arial" w:hAnsi="Arial"/>
        <w:color w:val="404040"/>
        <w:sz w:val="22"/>
      </w:rPr>
    </w:tblStylePr>
    <w:tblStylePr w:type="band2Vert">
      <w:rPr>
        <w:rFonts w:ascii="Arial" w:hAnsi="Arial"/>
        <w:color w:val="404040"/>
        <w:sz w:val="22"/>
      </w:rPr>
      <w:tblPr/>
      <w:tcPr>
        <w:shd w:val="clear" w:color="D8E2F3" w:fill="D8E2F3"/>
      </w:tcPr>
    </w:tblStylePr>
    <w:tblStylePr w:type="band1Horz">
      <w:rPr>
        <w:rFonts w:ascii="Arial" w:hAnsi="Arial"/>
        <w:color w:val="404040"/>
        <w:sz w:val="22"/>
      </w:rPr>
    </w:tblStylePr>
    <w:tblStylePr w:type="band2Horz">
      <w:rPr>
        <w:rFonts w:ascii="Arial" w:hAnsi="Arial"/>
        <w:color w:val="404040"/>
        <w:sz w:val="22"/>
      </w:rPr>
      <w:tblPr/>
      <w:tcPr>
        <w:shd w:val="clear" w:color="D8E2F3" w:fill="D8E2F3"/>
      </w:tcPr>
    </w:tblStylePr>
  </w:style>
  <w:style w:type="table" w:customStyle="1" w:styleId="BorderedLined-Accent6">
    <w:name w:val="Bordered &amp; Lined - Accent 6"/>
    <w:basedOn w:val="TableauNormal"/>
    <w:uiPriority w:val="99"/>
    <w:rsid w:val="00DB19F5"/>
    <w:pPr>
      <w:spacing w:after="0" w:line="240" w:lineRule="auto"/>
    </w:pPr>
    <w:rPr>
      <w:rFonts w:ascii="Calibri" w:eastAsia="Arial" w:hAnsi="Calibri" w:cs="Times New Roman"/>
      <w:color w:val="404040"/>
      <w:sz w:val="20"/>
      <w:szCs w:val="20"/>
      <w:lang w:eastAsia="fr-FR"/>
    </w:rPr>
    <w:tblPr>
      <w:tblStyleRowBandSize w:val="1"/>
      <w:tblStyleColBandSize w:val="1"/>
      <w:tblBorders>
        <w:top w:val="single" w:sz="4" w:space="0" w:color="416429"/>
        <w:left w:val="single" w:sz="4" w:space="0" w:color="416429"/>
        <w:bottom w:val="single" w:sz="4" w:space="0" w:color="416429"/>
        <w:right w:val="single" w:sz="4" w:space="0" w:color="416429"/>
        <w:insideH w:val="single" w:sz="4" w:space="0" w:color="416429"/>
        <w:insideV w:val="single" w:sz="4" w:space="0" w:color="416429"/>
      </w:tblBorders>
    </w:tblPr>
    <w:tblStylePr w:type="firstRow">
      <w:rPr>
        <w:rFonts w:ascii="Arial" w:hAnsi="Arial"/>
        <w:color w:val="F2F2F2"/>
        <w:sz w:val="22"/>
      </w:rPr>
      <w:tblPr/>
      <w:tcPr>
        <w:shd w:val="clear" w:color="70AD47" w:fill="70AD47"/>
      </w:tcPr>
    </w:tblStylePr>
    <w:tblStylePr w:type="lastRow">
      <w:rPr>
        <w:rFonts w:ascii="Arial" w:hAnsi="Arial"/>
        <w:color w:val="F2F2F2"/>
        <w:sz w:val="22"/>
      </w:rPr>
      <w:tblPr/>
      <w:tcPr>
        <w:shd w:val="clear" w:color="70AD47" w:fill="70AD47"/>
      </w:tcPr>
    </w:tblStylePr>
    <w:tblStylePr w:type="firstCol">
      <w:rPr>
        <w:rFonts w:ascii="Arial" w:hAnsi="Arial"/>
        <w:color w:val="F2F2F2"/>
        <w:sz w:val="22"/>
      </w:rPr>
      <w:tblPr/>
      <w:tcPr>
        <w:shd w:val="clear" w:color="70AD47" w:fill="70AD47"/>
      </w:tcPr>
    </w:tblStylePr>
    <w:tblStylePr w:type="lastCol">
      <w:rPr>
        <w:rFonts w:ascii="Arial" w:hAnsi="Arial"/>
        <w:color w:val="F2F2F2"/>
        <w:sz w:val="22"/>
      </w:rPr>
      <w:tblPr/>
      <w:tcPr>
        <w:shd w:val="clear" w:color="70AD47" w:fill="70AD47"/>
      </w:tcPr>
    </w:tblStylePr>
    <w:tblStylePr w:type="band1Vert">
      <w:rPr>
        <w:rFonts w:ascii="Arial" w:hAnsi="Arial"/>
        <w:color w:val="404040"/>
        <w:sz w:val="22"/>
      </w:rPr>
    </w:tblStylePr>
    <w:tblStylePr w:type="band2Vert">
      <w:rPr>
        <w:rFonts w:ascii="Arial" w:hAnsi="Arial"/>
        <w:color w:val="404040"/>
        <w:sz w:val="22"/>
      </w:rPr>
      <w:tblPr/>
      <w:tcPr>
        <w:shd w:val="clear" w:color="E1EFD8" w:fill="E1EFD8"/>
      </w:tcPr>
    </w:tblStylePr>
    <w:tblStylePr w:type="band1Horz">
      <w:rPr>
        <w:rFonts w:ascii="Arial" w:hAnsi="Arial"/>
        <w:color w:val="404040"/>
        <w:sz w:val="22"/>
      </w:rPr>
    </w:tblStylePr>
    <w:tblStylePr w:type="band2Horz">
      <w:rPr>
        <w:rFonts w:ascii="Arial" w:hAnsi="Arial"/>
        <w:color w:val="404040"/>
        <w:sz w:val="22"/>
      </w:rPr>
      <w:tblPr/>
      <w:tcPr>
        <w:shd w:val="clear" w:color="E1EFD8" w:fill="E1EFD8"/>
      </w:tcPr>
    </w:tblStylePr>
  </w:style>
  <w:style w:type="table" w:customStyle="1" w:styleId="Bordered">
    <w:name w:val="Bordered"/>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BCD6EE"/>
        <w:left w:val="single" w:sz="4" w:space="0" w:color="BCD6EE"/>
        <w:bottom w:val="single" w:sz="4" w:space="0" w:color="BCD6EE"/>
        <w:right w:val="single" w:sz="4" w:space="0" w:color="BCD6EE"/>
        <w:insideH w:val="single" w:sz="4" w:space="0" w:color="BCD6EE"/>
        <w:insideV w:val="single" w:sz="4" w:space="0" w:color="BCD6EE"/>
      </w:tblBorders>
    </w:tblPr>
    <w:tblStylePr w:type="firstRow">
      <w:rPr>
        <w:rFonts w:ascii="Arial" w:hAnsi="Arial"/>
        <w:color w:val="404040"/>
        <w:sz w:val="22"/>
      </w:rPr>
      <w:tblPr/>
      <w:tcPr>
        <w:tcBorders>
          <w:bottom w:val="single" w:sz="12" w:space="0" w:color="5B9BD5"/>
        </w:tcBorders>
      </w:tcPr>
    </w:tblStylePr>
    <w:tblStylePr w:type="lastRow">
      <w:rPr>
        <w:rFonts w:ascii="Arial" w:hAnsi="Arial"/>
        <w:color w:val="404040"/>
        <w:sz w:val="22"/>
      </w:rPr>
      <w:tblPr/>
      <w:tcPr>
        <w:tcBorders>
          <w:top w:val="single" w:sz="12" w:space="0" w:color="5B9BD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cBorders>
      </w:tcPr>
    </w:tblStylePr>
    <w:tblStylePr w:type="band1Horz">
      <w:rPr>
        <w:rFonts w:ascii="Arial" w:hAnsi="Arial"/>
        <w:color w:val="404040"/>
        <w:sz w:val="22"/>
      </w:rPr>
      <w:tblPr/>
      <w:tcPr>
        <w:tcBorders>
          <w:top w:val="single" w:sz="4" w:space="0" w:color="BCD6EE"/>
          <w:left w:val="single" w:sz="4" w:space="0" w:color="BCD6EE"/>
          <w:bottom w:val="single" w:sz="4" w:space="0" w:color="BCD6EE"/>
          <w:right w:val="single" w:sz="4" w:space="0" w:color="BCD6EE"/>
        </w:tcBorders>
      </w:tcPr>
    </w:tblStylePr>
  </w:style>
  <w:style w:type="table" w:customStyle="1" w:styleId="Bordered-Accent2">
    <w:name w:val="Bordered - Accent 2"/>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7CAAB"/>
        <w:left w:val="single" w:sz="4" w:space="0" w:color="F7CAAB"/>
        <w:bottom w:val="single" w:sz="4" w:space="0" w:color="F7CAAB"/>
        <w:right w:val="single" w:sz="4" w:space="0" w:color="F7CAAB"/>
        <w:insideH w:val="single" w:sz="4" w:space="0" w:color="F7CAAB"/>
        <w:insideV w:val="single" w:sz="4" w:space="0" w:color="F7CAAB"/>
      </w:tblBorders>
    </w:tblPr>
    <w:tblStylePr w:type="firstRow">
      <w:rPr>
        <w:rFonts w:ascii="Arial" w:hAnsi="Arial"/>
        <w:color w:val="404040"/>
        <w:sz w:val="22"/>
      </w:rPr>
      <w:tblPr/>
      <w:tcPr>
        <w:tcBorders>
          <w:bottom w:val="single" w:sz="12" w:space="0" w:color="F4B184"/>
        </w:tcBorders>
      </w:tcPr>
    </w:tblStylePr>
    <w:tblStylePr w:type="lastRow">
      <w:rPr>
        <w:rFonts w:ascii="Arial" w:hAnsi="Arial"/>
        <w:color w:val="404040"/>
        <w:sz w:val="22"/>
      </w:rPr>
      <w:tblPr/>
      <w:tcPr>
        <w:tcBorders>
          <w:top w:val="single" w:sz="12" w:space="0" w:color="F4B184"/>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cBorders>
      </w:tcPr>
    </w:tblStylePr>
    <w:tblStylePr w:type="band1Horz">
      <w:rPr>
        <w:rFonts w:ascii="Arial" w:hAnsi="Arial"/>
        <w:color w:val="404040"/>
        <w:sz w:val="22"/>
      </w:rPr>
      <w:tblPr/>
      <w:tcPr>
        <w:tcBorders>
          <w:top w:val="single" w:sz="4" w:space="0" w:color="F7CAAB"/>
          <w:left w:val="single" w:sz="4" w:space="0" w:color="F7CAAB"/>
          <w:bottom w:val="single" w:sz="4" w:space="0" w:color="F7CAAB"/>
          <w:right w:val="single" w:sz="4" w:space="0" w:color="F7CAAB"/>
        </w:tcBorders>
      </w:tcPr>
    </w:tblStylePr>
  </w:style>
  <w:style w:type="table" w:customStyle="1" w:styleId="Bordered-Accent3">
    <w:name w:val="Bordered - Accent 3"/>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DADADA"/>
        <w:left w:val="single" w:sz="4" w:space="0" w:color="DADADA"/>
        <w:bottom w:val="single" w:sz="4" w:space="0" w:color="DADADA"/>
        <w:right w:val="single" w:sz="4" w:space="0" w:color="DADADA"/>
        <w:insideH w:val="single" w:sz="4" w:space="0" w:color="DADADA"/>
        <w:insideV w:val="single" w:sz="4" w:space="0" w:color="DADADA"/>
      </w:tblBorders>
    </w:tblPr>
    <w:tblStylePr w:type="firstRow">
      <w:rPr>
        <w:rFonts w:ascii="Arial" w:hAnsi="Arial"/>
        <w:color w:val="404040"/>
        <w:sz w:val="22"/>
      </w:rPr>
      <w:tblPr/>
      <w:tcPr>
        <w:tcBorders>
          <w:bottom w:val="single" w:sz="12" w:space="0" w:color="C9C9C9"/>
        </w:tcBorders>
      </w:tcPr>
    </w:tblStylePr>
    <w:tblStylePr w:type="lastRow">
      <w:rPr>
        <w:rFonts w:ascii="Arial" w:hAnsi="Arial"/>
        <w:color w:val="404040"/>
        <w:sz w:val="22"/>
      </w:rPr>
      <w:tblPr/>
      <w:tcPr>
        <w:tcBorders>
          <w:top w:val="single" w:sz="12" w:space="0" w:color="C9C9C9"/>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cBorders>
      </w:tcPr>
    </w:tblStylePr>
    <w:tblStylePr w:type="band1Horz">
      <w:rPr>
        <w:rFonts w:ascii="Arial" w:hAnsi="Arial"/>
        <w:color w:val="404040"/>
        <w:sz w:val="22"/>
      </w:rPr>
      <w:tblPr/>
      <w:tcPr>
        <w:tcBorders>
          <w:top w:val="single" w:sz="4" w:space="0" w:color="DADADA"/>
          <w:left w:val="single" w:sz="4" w:space="0" w:color="DADADA"/>
          <w:bottom w:val="single" w:sz="4" w:space="0" w:color="DADADA"/>
          <w:right w:val="single" w:sz="4" w:space="0" w:color="DADADA"/>
        </w:tcBorders>
      </w:tcPr>
    </w:tblStylePr>
  </w:style>
  <w:style w:type="table" w:customStyle="1" w:styleId="Bordered-Accent4">
    <w:name w:val="Bordered - Accent 4"/>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FFE598"/>
        <w:left w:val="single" w:sz="4" w:space="0" w:color="FFE598"/>
        <w:bottom w:val="single" w:sz="4" w:space="0" w:color="FFE598"/>
        <w:right w:val="single" w:sz="4" w:space="0" w:color="FFE598"/>
        <w:insideH w:val="single" w:sz="4" w:space="0" w:color="FFE598"/>
        <w:insideV w:val="single" w:sz="4" w:space="0" w:color="FFE598"/>
      </w:tblBorders>
    </w:tblPr>
    <w:tblStylePr w:type="firstRow">
      <w:rPr>
        <w:rFonts w:ascii="Arial" w:hAnsi="Arial"/>
        <w:color w:val="404040"/>
        <w:sz w:val="22"/>
      </w:rPr>
      <w:tblPr/>
      <w:tcPr>
        <w:tcBorders>
          <w:bottom w:val="single" w:sz="12" w:space="0" w:color="FFD865"/>
        </w:tcBorders>
      </w:tcPr>
    </w:tblStylePr>
    <w:tblStylePr w:type="lastRow">
      <w:rPr>
        <w:rFonts w:ascii="Arial" w:hAnsi="Arial"/>
        <w:color w:val="404040"/>
        <w:sz w:val="22"/>
      </w:rPr>
      <w:tblPr/>
      <w:tcPr>
        <w:tcBorders>
          <w:top w:val="single" w:sz="12" w:space="0" w:color="FFD865"/>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cBorders>
      </w:tcPr>
    </w:tblStylePr>
    <w:tblStylePr w:type="band1Horz">
      <w:rPr>
        <w:rFonts w:ascii="Arial" w:hAnsi="Arial"/>
        <w:color w:val="404040"/>
        <w:sz w:val="22"/>
      </w:rPr>
      <w:tblPr/>
      <w:tcPr>
        <w:tcBorders>
          <w:top w:val="single" w:sz="4" w:space="0" w:color="FFE598"/>
          <w:left w:val="single" w:sz="4" w:space="0" w:color="FFE598"/>
          <w:bottom w:val="single" w:sz="4" w:space="0" w:color="FFE598"/>
          <w:right w:val="single" w:sz="4" w:space="0" w:color="FFE598"/>
        </w:tcBorders>
      </w:tcPr>
    </w:tblStylePr>
  </w:style>
  <w:style w:type="table" w:customStyle="1" w:styleId="Bordered-Accent5">
    <w:name w:val="Bordered - Accent 5"/>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B3C5E7"/>
        <w:left w:val="single" w:sz="4" w:space="0" w:color="B3C5E7"/>
        <w:bottom w:val="single" w:sz="4" w:space="0" w:color="B3C5E7"/>
        <w:right w:val="single" w:sz="4" w:space="0" w:color="B3C5E7"/>
        <w:insideH w:val="single" w:sz="4" w:space="0" w:color="B3C5E7"/>
        <w:insideV w:val="single" w:sz="4" w:space="0" w:color="B3C5E7"/>
      </w:tblBorders>
    </w:tblPr>
    <w:tblStylePr w:type="firstRow">
      <w:rPr>
        <w:rFonts w:ascii="Arial" w:hAnsi="Arial"/>
        <w:color w:val="404040"/>
        <w:sz w:val="22"/>
      </w:rPr>
      <w:tblPr/>
      <w:tcPr>
        <w:tcBorders>
          <w:bottom w:val="single" w:sz="12" w:space="0" w:color="8DA9DB"/>
        </w:tcBorders>
      </w:tcPr>
    </w:tblStylePr>
    <w:tblStylePr w:type="lastRow">
      <w:rPr>
        <w:rFonts w:ascii="Arial" w:hAnsi="Arial"/>
        <w:color w:val="404040"/>
        <w:sz w:val="22"/>
      </w:rPr>
      <w:tblPr/>
      <w:tcPr>
        <w:tcBorders>
          <w:top w:val="single" w:sz="12" w:space="0" w:color="8DA9DB"/>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cBorders>
      </w:tcPr>
    </w:tblStylePr>
    <w:tblStylePr w:type="band1Horz">
      <w:rPr>
        <w:rFonts w:ascii="Arial" w:hAnsi="Arial"/>
        <w:color w:val="404040"/>
        <w:sz w:val="22"/>
      </w:rPr>
      <w:tblPr/>
      <w:tcPr>
        <w:tcBorders>
          <w:top w:val="single" w:sz="4" w:space="0" w:color="B3C5E7"/>
          <w:left w:val="single" w:sz="4" w:space="0" w:color="B3C5E7"/>
          <w:bottom w:val="single" w:sz="4" w:space="0" w:color="B3C5E7"/>
          <w:right w:val="single" w:sz="4" w:space="0" w:color="B3C5E7"/>
        </w:tcBorders>
      </w:tcPr>
    </w:tblStylePr>
  </w:style>
  <w:style w:type="table" w:customStyle="1" w:styleId="Bordered-Accent6">
    <w:name w:val="Bordered - Accent 6"/>
    <w:basedOn w:val="TableauNormal"/>
    <w:uiPriority w:val="99"/>
    <w:rsid w:val="00DB19F5"/>
    <w:pPr>
      <w:spacing w:after="0" w:line="240" w:lineRule="auto"/>
    </w:pPr>
    <w:rPr>
      <w:rFonts w:ascii="Calibri" w:eastAsia="Arial" w:hAnsi="Calibri" w:cs="Times New Roman"/>
      <w:sz w:val="20"/>
      <w:szCs w:val="20"/>
      <w:lang w:eastAsia="fr-FR"/>
    </w:rPr>
    <w:tblPr>
      <w:tblStyleRowBandSize w:val="1"/>
      <w:tblStyleColBandSize w:val="1"/>
      <w:tblBorders>
        <w:top w:val="single" w:sz="4" w:space="0" w:color="C4DFB2"/>
        <w:left w:val="single" w:sz="4" w:space="0" w:color="C4DFB2"/>
        <w:bottom w:val="single" w:sz="4" w:space="0" w:color="C4DFB2"/>
        <w:right w:val="single" w:sz="4" w:space="0" w:color="C4DFB2"/>
        <w:insideH w:val="single" w:sz="4" w:space="0" w:color="C4DFB2"/>
        <w:insideV w:val="single" w:sz="4" w:space="0" w:color="C4DFB2"/>
      </w:tblBorders>
    </w:tblPr>
    <w:tblStylePr w:type="firstRow">
      <w:rPr>
        <w:rFonts w:ascii="Arial" w:hAnsi="Arial"/>
        <w:color w:val="404040"/>
        <w:sz w:val="22"/>
      </w:rPr>
      <w:tblPr/>
      <w:tcPr>
        <w:tcBorders>
          <w:bottom w:val="single" w:sz="12" w:space="0" w:color="A9D08E"/>
        </w:tcBorders>
      </w:tcPr>
    </w:tblStylePr>
    <w:tblStylePr w:type="lastRow">
      <w:rPr>
        <w:rFonts w:ascii="Arial" w:hAnsi="Arial"/>
        <w:color w:val="404040"/>
        <w:sz w:val="22"/>
      </w:rPr>
      <w:tblPr/>
      <w:tcPr>
        <w:tcBorders>
          <w:top w:val="single" w:sz="12" w:space="0" w:color="A9D08E"/>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cBorders>
      </w:tcPr>
    </w:tblStylePr>
    <w:tblStylePr w:type="band1Horz">
      <w:rPr>
        <w:rFonts w:ascii="Arial" w:hAnsi="Arial"/>
        <w:color w:val="404040"/>
        <w:sz w:val="22"/>
      </w:rPr>
      <w:tblPr/>
      <w:tcPr>
        <w:tcBorders>
          <w:top w:val="single" w:sz="4" w:space="0" w:color="C4DFB2"/>
          <w:left w:val="single" w:sz="4" w:space="0" w:color="C4DFB2"/>
          <w:bottom w:val="single" w:sz="4" w:space="0" w:color="C4DFB2"/>
          <w:right w:val="single" w:sz="4" w:space="0" w:color="C4DFB2"/>
        </w:tcBorders>
      </w:tcPr>
    </w:tblStylePr>
  </w:style>
  <w:style w:type="paragraph" w:styleId="Notedebasdepage">
    <w:name w:val="footnote text"/>
    <w:basedOn w:val="Normal"/>
    <w:link w:val="NotedebasdepageCar"/>
    <w:uiPriority w:val="99"/>
    <w:semiHidden/>
    <w:unhideWhenUsed/>
    <w:rsid w:val="00DB19F5"/>
    <w:pPr>
      <w:tabs>
        <w:tab w:val="right" w:pos="14601"/>
      </w:tabs>
      <w:spacing w:after="40" w:line="240" w:lineRule="auto"/>
    </w:pPr>
    <w:rPr>
      <w:rFonts w:eastAsia="Times New Roman"/>
      <w:color w:val="000000"/>
      <w:sz w:val="18"/>
      <w:szCs w:val="20"/>
    </w:rPr>
  </w:style>
  <w:style w:type="character" w:customStyle="1" w:styleId="NotedebasdepageCar">
    <w:name w:val="Note de bas de page Car"/>
    <w:basedOn w:val="Policepardfaut"/>
    <w:link w:val="Notedebasdepage"/>
    <w:uiPriority w:val="99"/>
    <w:semiHidden/>
    <w:rsid w:val="00DB19F5"/>
    <w:rPr>
      <w:rFonts w:ascii="Arial" w:eastAsia="Times New Roman" w:hAnsi="Arial" w:cs="Arial"/>
      <w:color w:val="000000"/>
      <w:sz w:val="18"/>
      <w:szCs w:val="20"/>
      <w:lang w:eastAsia="fr-FR"/>
    </w:rPr>
  </w:style>
  <w:style w:type="character" w:styleId="Appelnotedebasdep">
    <w:name w:val="footnote reference"/>
    <w:uiPriority w:val="99"/>
    <w:unhideWhenUsed/>
    <w:rsid w:val="00DB19F5"/>
    <w:rPr>
      <w:vertAlign w:val="superscript"/>
    </w:rPr>
  </w:style>
  <w:style w:type="paragraph" w:styleId="Notedefin">
    <w:name w:val="endnote text"/>
    <w:basedOn w:val="Normal"/>
    <w:link w:val="NotedefinCar"/>
    <w:uiPriority w:val="99"/>
    <w:semiHidden/>
    <w:unhideWhenUsed/>
    <w:rsid w:val="00DB19F5"/>
    <w:pPr>
      <w:tabs>
        <w:tab w:val="right" w:pos="14601"/>
      </w:tabs>
      <w:spacing w:after="0" w:line="240" w:lineRule="auto"/>
    </w:pPr>
    <w:rPr>
      <w:rFonts w:eastAsia="Times New Roman"/>
      <w:color w:val="000000"/>
      <w:sz w:val="20"/>
      <w:szCs w:val="20"/>
    </w:rPr>
  </w:style>
  <w:style w:type="character" w:customStyle="1" w:styleId="NotedefinCar">
    <w:name w:val="Note de fin Car"/>
    <w:basedOn w:val="Policepardfaut"/>
    <w:link w:val="Notedefin"/>
    <w:uiPriority w:val="99"/>
    <w:semiHidden/>
    <w:rsid w:val="00DB19F5"/>
    <w:rPr>
      <w:rFonts w:ascii="Arial" w:eastAsia="Times New Roman" w:hAnsi="Arial" w:cs="Arial"/>
      <w:color w:val="000000"/>
      <w:sz w:val="20"/>
      <w:szCs w:val="20"/>
      <w:lang w:eastAsia="fr-FR"/>
    </w:rPr>
  </w:style>
  <w:style w:type="character" w:styleId="Appeldenotedefin">
    <w:name w:val="endnote reference"/>
    <w:uiPriority w:val="99"/>
    <w:semiHidden/>
    <w:unhideWhenUsed/>
    <w:rsid w:val="00DB19F5"/>
    <w:rPr>
      <w:vertAlign w:val="superscript"/>
    </w:rPr>
  </w:style>
  <w:style w:type="paragraph" w:styleId="En-ttedetabledesmatires">
    <w:name w:val="TOC Heading"/>
    <w:uiPriority w:val="39"/>
    <w:unhideWhenUsed/>
    <w:rsid w:val="00DB19F5"/>
    <w:rPr>
      <w:rFonts w:ascii="Calibri" w:eastAsia="Arial" w:hAnsi="Calibri" w:cs="Times New Roman"/>
      <w:lang w:eastAsia="fr-FR"/>
    </w:rPr>
  </w:style>
  <w:style w:type="paragraph" w:styleId="Tabledesillustrations">
    <w:name w:val="table of figures"/>
    <w:basedOn w:val="Normal"/>
    <w:next w:val="Normal"/>
    <w:uiPriority w:val="99"/>
    <w:unhideWhenUsed/>
    <w:rsid w:val="00DB19F5"/>
    <w:pPr>
      <w:tabs>
        <w:tab w:val="right" w:pos="14601"/>
      </w:tabs>
      <w:spacing w:after="0"/>
    </w:pPr>
    <w:rPr>
      <w:rFonts w:eastAsia="Times New Roman"/>
      <w:color w:val="000000"/>
      <w:sz w:val="16"/>
      <w:szCs w:val="20"/>
    </w:rPr>
  </w:style>
  <w:style w:type="paragraph" w:styleId="TM1">
    <w:name w:val="toc 1"/>
    <w:hidden/>
    <w:uiPriority w:val="39"/>
    <w:rsid w:val="00DB19F5"/>
    <w:pPr>
      <w:spacing w:before="240" w:after="120" w:line="260" w:lineRule="auto"/>
      <w:ind w:hanging="10"/>
    </w:pPr>
    <w:rPr>
      <w:rFonts w:ascii="Calibri" w:eastAsia="Times New Roman" w:hAnsi="Calibri" w:cs="Calibri"/>
      <w:b/>
      <w:bCs/>
      <w:color w:val="000000"/>
      <w:sz w:val="20"/>
      <w:szCs w:val="20"/>
      <w:lang w:eastAsia="fr-FR"/>
    </w:rPr>
  </w:style>
  <w:style w:type="table" w:customStyle="1" w:styleId="Grilledutableau1">
    <w:name w:val="Grille du tableau1"/>
    <w:rsid w:val="00DB19F5"/>
    <w:pPr>
      <w:spacing w:after="0" w:line="240" w:lineRule="auto"/>
    </w:pPr>
    <w:rPr>
      <w:rFonts w:ascii="Calibri" w:eastAsia="Arial" w:hAnsi="Calibri" w:cs="Times New Roman"/>
      <w:lang w:eastAsia="fr-FR"/>
    </w:rPr>
    <w:tblPr>
      <w:tblCellMar>
        <w:top w:w="0" w:type="dxa"/>
        <w:left w:w="0" w:type="dxa"/>
        <w:bottom w:w="0" w:type="dxa"/>
        <w:right w:w="0" w:type="dxa"/>
      </w:tblCellMar>
    </w:tblPr>
  </w:style>
  <w:style w:type="paragraph" w:styleId="Paragraphedeliste">
    <w:name w:val="List Paragraph"/>
    <w:basedOn w:val="Normal"/>
    <w:uiPriority w:val="34"/>
    <w:qFormat/>
    <w:rsid w:val="00DB19F5"/>
    <w:pPr>
      <w:tabs>
        <w:tab w:val="right" w:pos="14601"/>
      </w:tabs>
      <w:spacing w:after="0"/>
      <w:ind w:left="720"/>
      <w:contextualSpacing/>
    </w:pPr>
    <w:rPr>
      <w:rFonts w:eastAsia="Times New Roman"/>
      <w:color w:val="000000"/>
      <w:sz w:val="16"/>
      <w:szCs w:val="20"/>
    </w:rPr>
  </w:style>
  <w:style w:type="paragraph" w:styleId="En-tte">
    <w:name w:val="header"/>
    <w:basedOn w:val="Normal"/>
    <w:link w:val="En-tteCar"/>
    <w:uiPriority w:val="99"/>
    <w:unhideWhenUsed/>
    <w:rsid w:val="00DB19F5"/>
    <w:pPr>
      <w:tabs>
        <w:tab w:val="center" w:pos="4536"/>
        <w:tab w:val="right" w:pos="9072"/>
        <w:tab w:val="right" w:pos="14601"/>
      </w:tabs>
      <w:spacing w:after="0" w:line="240" w:lineRule="auto"/>
    </w:pPr>
    <w:rPr>
      <w:rFonts w:eastAsia="Times New Roman"/>
      <w:color w:val="000000"/>
      <w:sz w:val="16"/>
      <w:szCs w:val="20"/>
    </w:rPr>
  </w:style>
  <w:style w:type="character" w:customStyle="1" w:styleId="En-tteCar">
    <w:name w:val="En-tête Car"/>
    <w:basedOn w:val="Policepardfaut"/>
    <w:link w:val="En-tte"/>
    <w:uiPriority w:val="99"/>
    <w:rsid w:val="00DB19F5"/>
    <w:rPr>
      <w:rFonts w:ascii="Arial" w:eastAsia="Times New Roman" w:hAnsi="Arial" w:cs="Arial"/>
      <w:color w:val="000000"/>
      <w:sz w:val="16"/>
      <w:szCs w:val="20"/>
      <w:lang w:eastAsia="fr-FR"/>
    </w:rPr>
  </w:style>
  <w:style w:type="table" w:customStyle="1" w:styleId="TableGrid0">
    <w:name w:val="Table Grid0"/>
    <w:basedOn w:val="TableauNormal"/>
    <w:uiPriority w:val="39"/>
    <w:rsid w:val="00DB19F5"/>
    <w:pPr>
      <w:spacing w:after="0" w:line="240" w:lineRule="auto"/>
    </w:pPr>
    <w:rPr>
      <w:rFonts w:ascii="Calibri" w:eastAsia="Arial" w:hAnsi="Calibri"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enhypertexte">
    <w:name w:val="Hyperlink"/>
    <w:uiPriority w:val="99"/>
    <w:unhideWhenUsed/>
    <w:rsid w:val="00DB19F5"/>
    <w:rPr>
      <w:color w:val="0563C1"/>
      <w:u w:val="single"/>
    </w:rPr>
  </w:style>
  <w:style w:type="character" w:styleId="Marquedecommentaire">
    <w:name w:val="annotation reference"/>
    <w:unhideWhenUsed/>
    <w:rsid w:val="00DB19F5"/>
    <w:rPr>
      <w:sz w:val="16"/>
      <w:szCs w:val="16"/>
    </w:rPr>
  </w:style>
  <w:style w:type="paragraph" w:styleId="Commentaire">
    <w:name w:val="annotation text"/>
    <w:basedOn w:val="Normal"/>
    <w:link w:val="CommentaireCar"/>
    <w:unhideWhenUsed/>
    <w:rsid w:val="00DB19F5"/>
    <w:pPr>
      <w:tabs>
        <w:tab w:val="right" w:pos="14601"/>
      </w:tabs>
      <w:spacing w:before="120" w:after="120" w:line="240" w:lineRule="auto"/>
    </w:pPr>
    <w:rPr>
      <w:rFonts w:eastAsia="Times New Roman"/>
      <w:sz w:val="20"/>
      <w:szCs w:val="20"/>
    </w:rPr>
  </w:style>
  <w:style w:type="character" w:customStyle="1" w:styleId="CommentaireCar">
    <w:name w:val="Commentaire Car"/>
    <w:basedOn w:val="Policepardfaut"/>
    <w:link w:val="Commentaire"/>
    <w:rsid w:val="00DB19F5"/>
    <w:rPr>
      <w:rFonts w:ascii="Arial" w:eastAsia="Times New Roman" w:hAnsi="Arial" w:cs="Arial"/>
      <w:sz w:val="20"/>
      <w:szCs w:val="20"/>
      <w:lang w:eastAsia="fr-FR"/>
    </w:rPr>
  </w:style>
  <w:style w:type="paragraph" w:styleId="Textedebulles">
    <w:name w:val="Balloon Text"/>
    <w:basedOn w:val="Normal"/>
    <w:link w:val="TextedebullesCar"/>
    <w:uiPriority w:val="99"/>
    <w:semiHidden/>
    <w:unhideWhenUsed/>
    <w:rsid w:val="00DB19F5"/>
    <w:pPr>
      <w:tabs>
        <w:tab w:val="right" w:pos="14601"/>
      </w:tabs>
      <w:spacing w:after="0" w:line="240" w:lineRule="auto"/>
    </w:pPr>
    <w:rPr>
      <w:rFonts w:ascii="Segoe UI" w:eastAsia="Times New Roman" w:hAnsi="Segoe UI" w:cs="Segoe UI"/>
      <w:color w:val="000000"/>
      <w:sz w:val="18"/>
      <w:szCs w:val="18"/>
    </w:rPr>
  </w:style>
  <w:style w:type="character" w:customStyle="1" w:styleId="TextedebullesCar">
    <w:name w:val="Texte de bulles Car"/>
    <w:basedOn w:val="Policepardfaut"/>
    <w:link w:val="Textedebulles"/>
    <w:uiPriority w:val="99"/>
    <w:semiHidden/>
    <w:rsid w:val="00DB19F5"/>
    <w:rPr>
      <w:rFonts w:ascii="Segoe UI" w:eastAsia="Times New Roman" w:hAnsi="Segoe UI" w:cs="Segoe UI"/>
      <w:color w:val="000000"/>
      <w:sz w:val="18"/>
      <w:szCs w:val="18"/>
      <w:lang w:eastAsia="fr-FR"/>
    </w:rPr>
  </w:style>
  <w:style w:type="paragraph" w:customStyle="1" w:styleId="Article">
    <w:name w:val="Article"/>
    <w:basedOn w:val="Normal"/>
    <w:link w:val="ArticleCar"/>
    <w:qFormat/>
    <w:rsid w:val="00DB19F5"/>
    <w:pPr>
      <w:keepNext/>
      <w:keepLines/>
      <w:tabs>
        <w:tab w:val="right" w:pos="9184"/>
        <w:tab w:val="right" w:pos="14601"/>
      </w:tabs>
      <w:spacing w:before="240" w:after="120" w:line="240" w:lineRule="auto"/>
      <w:outlineLvl w:val="0"/>
    </w:pPr>
    <w:rPr>
      <w:rFonts w:ascii="Calibri Light" w:eastAsia="Arial" w:hAnsi="Calibri Light" w:cs="Times New Roman"/>
      <w:color w:val="03A3A6"/>
      <w:sz w:val="28"/>
      <w:szCs w:val="32"/>
      <w:u w:val="single"/>
    </w:rPr>
  </w:style>
  <w:style w:type="paragraph" w:customStyle="1" w:styleId="Texte">
    <w:name w:val="Texte"/>
    <w:basedOn w:val="Normal"/>
    <w:link w:val="TexteCar"/>
    <w:qFormat/>
    <w:rsid w:val="00DB19F5"/>
    <w:pPr>
      <w:tabs>
        <w:tab w:val="right" w:pos="14601"/>
      </w:tabs>
      <w:spacing w:before="120" w:after="120" w:line="276" w:lineRule="auto"/>
    </w:pPr>
    <w:rPr>
      <w:rFonts w:eastAsia="Times New Roman"/>
      <w:sz w:val="20"/>
      <w:szCs w:val="20"/>
    </w:rPr>
  </w:style>
  <w:style w:type="character" w:customStyle="1" w:styleId="ArticleCar">
    <w:name w:val="Article Car"/>
    <w:link w:val="Article"/>
    <w:rsid w:val="00DB19F5"/>
    <w:rPr>
      <w:rFonts w:ascii="Calibri Light" w:eastAsia="Arial" w:hAnsi="Calibri Light" w:cs="Times New Roman"/>
      <w:color w:val="03A3A6"/>
      <w:sz w:val="28"/>
      <w:szCs w:val="32"/>
      <w:u w:val="single"/>
      <w:lang w:eastAsia="fr-FR"/>
    </w:rPr>
  </w:style>
  <w:style w:type="paragraph" w:styleId="Objetducommentaire">
    <w:name w:val="annotation subject"/>
    <w:basedOn w:val="Commentaire"/>
    <w:next w:val="Commentaire"/>
    <w:link w:val="ObjetducommentaireCar"/>
    <w:uiPriority w:val="99"/>
    <w:semiHidden/>
    <w:unhideWhenUsed/>
    <w:rsid w:val="00DB19F5"/>
    <w:pPr>
      <w:spacing w:before="0" w:after="5"/>
      <w:ind w:left="10" w:hanging="10"/>
    </w:pPr>
    <w:rPr>
      <w:rFonts w:ascii="Times New Roman" w:hAnsi="Times New Roman" w:cs="Times New Roman"/>
      <w:b/>
      <w:bCs/>
      <w:color w:val="000000"/>
    </w:rPr>
  </w:style>
  <w:style w:type="character" w:customStyle="1" w:styleId="ObjetducommentaireCar">
    <w:name w:val="Objet du commentaire Car"/>
    <w:basedOn w:val="CommentaireCar"/>
    <w:link w:val="Objetducommentaire"/>
    <w:uiPriority w:val="99"/>
    <w:semiHidden/>
    <w:rsid w:val="00DB19F5"/>
    <w:rPr>
      <w:rFonts w:ascii="Times New Roman" w:eastAsia="Times New Roman" w:hAnsi="Times New Roman" w:cs="Times New Roman"/>
      <w:b/>
      <w:bCs/>
      <w:color w:val="000000"/>
      <w:sz w:val="20"/>
      <w:szCs w:val="20"/>
      <w:lang w:eastAsia="fr-FR"/>
    </w:rPr>
  </w:style>
  <w:style w:type="character" w:customStyle="1" w:styleId="TexteCar">
    <w:name w:val="Texte Car"/>
    <w:link w:val="Texte"/>
    <w:rsid w:val="00DB19F5"/>
    <w:rPr>
      <w:rFonts w:ascii="Arial" w:eastAsia="Times New Roman" w:hAnsi="Arial" w:cs="Arial"/>
      <w:sz w:val="20"/>
      <w:szCs w:val="20"/>
      <w:lang w:eastAsia="fr-FR"/>
    </w:rPr>
  </w:style>
  <w:style w:type="paragraph" w:customStyle="1" w:styleId="Sousarticle">
    <w:name w:val="Sous article"/>
    <w:basedOn w:val="Article"/>
    <w:link w:val="SousarticleCar"/>
    <w:qFormat/>
    <w:rsid w:val="00DB19F5"/>
    <w:pPr>
      <w:ind w:left="567"/>
    </w:pPr>
    <w:rPr>
      <w:sz w:val="24"/>
      <w:lang w:eastAsia="zh-CN"/>
    </w:rPr>
  </w:style>
  <w:style w:type="paragraph" w:customStyle="1" w:styleId="Soussousarticle">
    <w:name w:val="Sous sous article"/>
    <w:basedOn w:val="Sousarticle"/>
    <w:link w:val="SoussousarticleCar"/>
    <w:qFormat/>
    <w:rsid w:val="00DB19F5"/>
    <w:pPr>
      <w:ind w:left="1134"/>
    </w:pPr>
    <w:rPr>
      <w:sz w:val="22"/>
    </w:rPr>
  </w:style>
  <w:style w:type="character" w:customStyle="1" w:styleId="SousarticleCar">
    <w:name w:val="Sous article Car"/>
    <w:link w:val="Sousarticle"/>
    <w:rsid w:val="00DB19F5"/>
    <w:rPr>
      <w:rFonts w:ascii="Calibri Light" w:eastAsia="Arial" w:hAnsi="Calibri Light" w:cs="Times New Roman"/>
      <w:color w:val="03A3A6"/>
      <w:sz w:val="24"/>
      <w:szCs w:val="32"/>
      <w:u w:val="single"/>
      <w:lang w:eastAsia="zh-CN"/>
    </w:rPr>
  </w:style>
  <w:style w:type="character" w:customStyle="1" w:styleId="SoussousarticleCar">
    <w:name w:val="Sous sous article Car"/>
    <w:link w:val="Soussousarticle"/>
    <w:rsid w:val="00DB19F5"/>
    <w:rPr>
      <w:rFonts w:ascii="Calibri Light" w:eastAsia="Arial" w:hAnsi="Calibri Light" w:cs="Times New Roman"/>
      <w:color w:val="03A3A6"/>
      <w:szCs w:val="32"/>
      <w:u w:val="single"/>
      <w:lang w:eastAsia="zh-CN"/>
    </w:rPr>
  </w:style>
  <w:style w:type="paragraph" w:styleId="TM2">
    <w:name w:val="toc 2"/>
    <w:basedOn w:val="Normal"/>
    <w:next w:val="Normal"/>
    <w:uiPriority w:val="39"/>
    <w:unhideWhenUsed/>
    <w:rsid w:val="00DB19F5"/>
    <w:pPr>
      <w:tabs>
        <w:tab w:val="right" w:leader="dot" w:pos="9174"/>
        <w:tab w:val="right" w:pos="14601"/>
      </w:tabs>
      <w:spacing w:before="120" w:after="0"/>
      <w:ind w:left="240"/>
    </w:pPr>
    <w:rPr>
      <w:rFonts w:ascii="Calibri" w:eastAsia="Times New Roman" w:hAnsi="Calibri" w:cs="Calibri"/>
      <w:i/>
      <w:iCs/>
      <w:color w:val="000000"/>
      <w:sz w:val="20"/>
      <w:szCs w:val="20"/>
    </w:rPr>
  </w:style>
  <w:style w:type="paragraph" w:styleId="TM3">
    <w:name w:val="toc 3"/>
    <w:basedOn w:val="Normal"/>
    <w:next w:val="Normal"/>
    <w:uiPriority w:val="39"/>
    <w:unhideWhenUsed/>
    <w:rsid w:val="00DB19F5"/>
    <w:pPr>
      <w:tabs>
        <w:tab w:val="right" w:pos="14601"/>
      </w:tabs>
      <w:spacing w:after="0"/>
      <w:ind w:left="480"/>
    </w:pPr>
    <w:rPr>
      <w:rFonts w:ascii="Calibri" w:eastAsia="Times New Roman" w:hAnsi="Calibri" w:cs="Calibri"/>
      <w:color w:val="000000"/>
      <w:sz w:val="20"/>
      <w:szCs w:val="20"/>
    </w:rPr>
  </w:style>
  <w:style w:type="paragraph" w:styleId="TM4">
    <w:name w:val="toc 4"/>
    <w:basedOn w:val="Normal"/>
    <w:next w:val="Normal"/>
    <w:uiPriority w:val="39"/>
    <w:unhideWhenUsed/>
    <w:rsid w:val="00DB19F5"/>
    <w:pPr>
      <w:tabs>
        <w:tab w:val="right" w:pos="14601"/>
      </w:tabs>
      <w:spacing w:after="0"/>
      <w:ind w:left="720"/>
    </w:pPr>
    <w:rPr>
      <w:rFonts w:ascii="Calibri" w:eastAsia="Times New Roman" w:hAnsi="Calibri" w:cs="Calibri"/>
      <w:color w:val="000000"/>
      <w:sz w:val="20"/>
      <w:szCs w:val="20"/>
    </w:rPr>
  </w:style>
  <w:style w:type="paragraph" w:styleId="TM5">
    <w:name w:val="toc 5"/>
    <w:basedOn w:val="Normal"/>
    <w:next w:val="Normal"/>
    <w:uiPriority w:val="39"/>
    <w:unhideWhenUsed/>
    <w:rsid w:val="00DB19F5"/>
    <w:pPr>
      <w:tabs>
        <w:tab w:val="right" w:pos="14601"/>
      </w:tabs>
      <w:spacing w:after="0"/>
      <w:ind w:left="960"/>
    </w:pPr>
    <w:rPr>
      <w:rFonts w:ascii="Calibri" w:eastAsia="Times New Roman" w:hAnsi="Calibri" w:cs="Calibri"/>
      <w:color w:val="000000"/>
      <w:sz w:val="20"/>
      <w:szCs w:val="20"/>
    </w:rPr>
  </w:style>
  <w:style w:type="paragraph" w:styleId="TM6">
    <w:name w:val="toc 6"/>
    <w:basedOn w:val="Normal"/>
    <w:next w:val="Normal"/>
    <w:uiPriority w:val="39"/>
    <w:unhideWhenUsed/>
    <w:rsid w:val="00DB19F5"/>
    <w:pPr>
      <w:tabs>
        <w:tab w:val="right" w:pos="14601"/>
      </w:tabs>
      <w:spacing w:after="0"/>
      <w:ind w:left="1200"/>
    </w:pPr>
    <w:rPr>
      <w:rFonts w:ascii="Calibri" w:eastAsia="Times New Roman" w:hAnsi="Calibri" w:cs="Calibri"/>
      <w:color w:val="000000"/>
      <w:sz w:val="20"/>
      <w:szCs w:val="20"/>
    </w:rPr>
  </w:style>
  <w:style w:type="paragraph" w:styleId="TM7">
    <w:name w:val="toc 7"/>
    <w:basedOn w:val="Normal"/>
    <w:next w:val="Normal"/>
    <w:uiPriority w:val="39"/>
    <w:unhideWhenUsed/>
    <w:rsid w:val="00DB19F5"/>
    <w:pPr>
      <w:tabs>
        <w:tab w:val="right" w:pos="14601"/>
      </w:tabs>
      <w:spacing w:after="0"/>
      <w:ind w:left="1440"/>
    </w:pPr>
    <w:rPr>
      <w:rFonts w:ascii="Calibri" w:eastAsia="Times New Roman" w:hAnsi="Calibri" w:cs="Calibri"/>
      <w:color w:val="000000"/>
      <w:sz w:val="20"/>
      <w:szCs w:val="20"/>
    </w:rPr>
  </w:style>
  <w:style w:type="paragraph" w:styleId="TM8">
    <w:name w:val="toc 8"/>
    <w:basedOn w:val="Normal"/>
    <w:next w:val="Normal"/>
    <w:uiPriority w:val="39"/>
    <w:unhideWhenUsed/>
    <w:rsid w:val="00DB19F5"/>
    <w:pPr>
      <w:tabs>
        <w:tab w:val="right" w:pos="14601"/>
      </w:tabs>
      <w:spacing w:after="0"/>
      <w:ind w:left="1680"/>
    </w:pPr>
    <w:rPr>
      <w:rFonts w:ascii="Calibri" w:eastAsia="Times New Roman" w:hAnsi="Calibri" w:cs="Calibri"/>
      <w:color w:val="000000"/>
      <w:sz w:val="20"/>
      <w:szCs w:val="20"/>
    </w:rPr>
  </w:style>
  <w:style w:type="paragraph" w:styleId="TM9">
    <w:name w:val="toc 9"/>
    <w:basedOn w:val="Normal"/>
    <w:next w:val="Normal"/>
    <w:uiPriority w:val="39"/>
    <w:unhideWhenUsed/>
    <w:rsid w:val="00DB19F5"/>
    <w:pPr>
      <w:tabs>
        <w:tab w:val="right" w:pos="14601"/>
      </w:tabs>
      <w:spacing w:after="0"/>
      <w:ind w:left="1920"/>
    </w:pPr>
    <w:rPr>
      <w:rFonts w:ascii="Calibri" w:eastAsia="Times New Roman" w:hAnsi="Calibri" w:cs="Calibri"/>
      <w:color w:val="000000"/>
      <w:sz w:val="20"/>
      <w:szCs w:val="20"/>
    </w:rPr>
  </w:style>
  <w:style w:type="paragraph" w:customStyle="1" w:styleId="Puces">
    <w:name w:val="Puces"/>
    <w:basedOn w:val="Texte"/>
    <w:link w:val="PucesCar"/>
    <w:qFormat/>
    <w:rsid w:val="008A7680"/>
    <w:pPr>
      <w:numPr>
        <w:numId w:val="9"/>
      </w:numPr>
    </w:pPr>
    <w:rPr>
      <w:sz w:val="18"/>
    </w:rPr>
  </w:style>
  <w:style w:type="character" w:customStyle="1" w:styleId="PucesCar">
    <w:name w:val="Puces Car"/>
    <w:link w:val="Puces"/>
    <w:rsid w:val="008A7680"/>
    <w:rPr>
      <w:rFonts w:ascii="Arial" w:eastAsia="Times New Roman" w:hAnsi="Arial" w:cs="Arial"/>
      <w:sz w:val="18"/>
      <w:szCs w:val="20"/>
      <w:lang w:eastAsia="fr-FR"/>
    </w:rPr>
  </w:style>
  <w:style w:type="character" w:customStyle="1" w:styleId="fontstyle01">
    <w:name w:val="fontstyle01"/>
    <w:rsid w:val="00DB19F5"/>
    <w:rPr>
      <w:rFonts w:ascii="Calibri" w:hAnsi="Calibri" w:cs="Calibri" w:hint="default"/>
      <w:b w:val="0"/>
      <w:bCs w:val="0"/>
      <w:i w:val="0"/>
      <w:iCs w:val="0"/>
      <w:color w:val="000000"/>
      <w:sz w:val="22"/>
      <w:szCs w:val="22"/>
    </w:rPr>
  </w:style>
  <w:style w:type="paragraph" w:styleId="NormalWeb">
    <w:name w:val="Normal (Web)"/>
    <w:basedOn w:val="Normal"/>
    <w:uiPriority w:val="99"/>
    <w:semiHidden/>
    <w:unhideWhenUsed/>
    <w:rsid w:val="00DB19F5"/>
    <w:pPr>
      <w:tabs>
        <w:tab w:val="right" w:pos="14601"/>
      </w:tabs>
      <w:spacing w:before="100" w:beforeAutospacing="1" w:after="100" w:afterAutospacing="1" w:line="240" w:lineRule="auto"/>
    </w:pPr>
    <w:rPr>
      <w:rFonts w:eastAsia="Times New Roman"/>
      <w:sz w:val="16"/>
      <w:szCs w:val="24"/>
    </w:rPr>
  </w:style>
  <w:style w:type="paragraph" w:styleId="Pieddepage">
    <w:name w:val="footer"/>
    <w:basedOn w:val="Normal"/>
    <w:link w:val="PieddepageCar"/>
    <w:uiPriority w:val="99"/>
    <w:unhideWhenUsed/>
    <w:rsid w:val="00DB19F5"/>
    <w:pPr>
      <w:tabs>
        <w:tab w:val="center" w:pos="4536"/>
        <w:tab w:val="right" w:pos="9072"/>
        <w:tab w:val="right" w:pos="14601"/>
      </w:tabs>
      <w:spacing w:after="0" w:line="240" w:lineRule="auto"/>
    </w:pPr>
    <w:rPr>
      <w:rFonts w:eastAsia="Times New Roman"/>
      <w:color w:val="000000"/>
      <w:sz w:val="16"/>
      <w:szCs w:val="20"/>
    </w:rPr>
  </w:style>
  <w:style w:type="character" w:customStyle="1" w:styleId="PieddepageCar">
    <w:name w:val="Pied de page Car"/>
    <w:basedOn w:val="Policepardfaut"/>
    <w:link w:val="Pieddepage"/>
    <w:uiPriority w:val="99"/>
    <w:rsid w:val="00DB19F5"/>
    <w:rPr>
      <w:rFonts w:ascii="Arial" w:eastAsia="Times New Roman" w:hAnsi="Arial" w:cs="Arial"/>
      <w:color w:val="000000"/>
      <w:sz w:val="16"/>
      <w:szCs w:val="20"/>
      <w:lang w:eastAsia="fr-FR"/>
    </w:rPr>
  </w:style>
  <w:style w:type="paragraph" w:customStyle="1" w:styleId="Default">
    <w:name w:val="Default"/>
    <w:rsid w:val="00DB19F5"/>
    <w:pPr>
      <w:autoSpaceDE w:val="0"/>
      <w:autoSpaceDN w:val="0"/>
      <w:adjustRightInd w:val="0"/>
      <w:spacing w:after="0" w:line="240" w:lineRule="auto"/>
    </w:pPr>
    <w:rPr>
      <w:rFonts w:ascii="Arial" w:eastAsia="Times New Roman" w:hAnsi="Arial" w:cs="Arial"/>
      <w:color w:val="000000"/>
      <w:sz w:val="24"/>
      <w:szCs w:val="24"/>
      <w:lang w:eastAsia="fr-FR"/>
    </w:rPr>
  </w:style>
  <w:style w:type="paragraph" w:customStyle="1" w:styleId="PGNaturedudocument">
    <w:name w:val="PG_Nature du document"/>
    <w:basedOn w:val="Normal"/>
    <w:link w:val="PGNaturedudocumentCar"/>
    <w:qFormat/>
    <w:rsid w:val="00DB19F5"/>
    <w:pPr>
      <w:widowControl w:val="0"/>
      <w:spacing w:after="0" w:line="240" w:lineRule="auto"/>
      <w:ind w:right="-30"/>
      <w:jc w:val="center"/>
    </w:pPr>
    <w:rPr>
      <w:rFonts w:ascii="Trebuchet MS" w:eastAsia="Calibri" w:hAnsi="Trebuchet MS" w:cs="Calibri"/>
      <w:b/>
      <w:bCs/>
      <w:color w:val="135764"/>
      <w:sz w:val="42"/>
      <w:szCs w:val="42"/>
    </w:rPr>
  </w:style>
  <w:style w:type="character" w:customStyle="1" w:styleId="PGNaturedudocumentCar">
    <w:name w:val="PG_Nature du document Car"/>
    <w:link w:val="PGNaturedudocument"/>
    <w:rsid w:val="00DB19F5"/>
    <w:rPr>
      <w:rFonts w:ascii="Trebuchet MS" w:eastAsia="Calibri" w:hAnsi="Trebuchet MS" w:cs="Calibri"/>
      <w:b/>
      <w:bCs/>
      <w:color w:val="135764"/>
      <w:sz w:val="42"/>
      <w:szCs w:val="42"/>
    </w:rPr>
  </w:style>
  <w:style w:type="character" w:customStyle="1" w:styleId="Lienhypertextesuivivisit1">
    <w:name w:val="Lien hypertexte suivi visité1"/>
    <w:basedOn w:val="Policepardfaut"/>
    <w:uiPriority w:val="99"/>
    <w:semiHidden/>
    <w:unhideWhenUsed/>
    <w:rsid w:val="00DB19F5"/>
    <w:rPr>
      <w:color w:val="954F72"/>
      <w:u w:val="single"/>
    </w:rPr>
  </w:style>
  <w:style w:type="character" w:styleId="Lienhypertextesuivivisit">
    <w:name w:val="FollowedHyperlink"/>
    <w:basedOn w:val="Policepardfaut"/>
    <w:uiPriority w:val="99"/>
    <w:semiHidden/>
    <w:unhideWhenUsed/>
    <w:rsid w:val="00DB19F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787857">
      <w:bodyDiv w:val="1"/>
      <w:marLeft w:val="0"/>
      <w:marRight w:val="0"/>
      <w:marTop w:val="0"/>
      <w:marBottom w:val="0"/>
      <w:divBdr>
        <w:top w:val="none" w:sz="0" w:space="0" w:color="auto"/>
        <w:left w:val="none" w:sz="0" w:space="0" w:color="auto"/>
        <w:bottom w:val="none" w:sz="0" w:space="0" w:color="auto"/>
        <w:right w:val="none" w:sz="0" w:space="0" w:color="auto"/>
      </w:divBdr>
    </w:div>
    <w:div w:id="490870982">
      <w:bodyDiv w:val="1"/>
      <w:marLeft w:val="0"/>
      <w:marRight w:val="0"/>
      <w:marTop w:val="0"/>
      <w:marBottom w:val="0"/>
      <w:divBdr>
        <w:top w:val="none" w:sz="0" w:space="0" w:color="auto"/>
        <w:left w:val="none" w:sz="0" w:space="0" w:color="auto"/>
        <w:bottom w:val="none" w:sz="0" w:space="0" w:color="auto"/>
        <w:right w:val="none" w:sz="0" w:space="0" w:color="auto"/>
      </w:divBdr>
    </w:div>
    <w:div w:id="1087967777">
      <w:bodyDiv w:val="1"/>
      <w:marLeft w:val="0"/>
      <w:marRight w:val="0"/>
      <w:marTop w:val="0"/>
      <w:marBottom w:val="0"/>
      <w:divBdr>
        <w:top w:val="none" w:sz="0" w:space="0" w:color="auto"/>
        <w:left w:val="none" w:sz="0" w:space="0" w:color="auto"/>
        <w:bottom w:val="none" w:sz="0" w:space="0" w:color="auto"/>
        <w:right w:val="none" w:sz="0" w:space="0" w:color="auto"/>
      </w:divBdr>
    </w:div>
    <w:div w:id="1373575688">
      <w:bodyDiv w:val="1"/>
      <w:marLeft w:val="0"/>
      <w:marRight w:val="0"/>
      <w:marTop w:val="0"/>
      <w:marBottom w:val="0"/>
      <w:divBdr>
        <w:top w:val="none" w:sz="0" w:space="0" w:color="auto"/>
        <w:left w:val="none" w:sz="0" w:space="0" w:color="auto"/>
        <w:bottom w:val="none" w:sz="0" w:space="0" w:color="auto"/>
        <w:right w:val="none" w:sz="0" w:space="0" w:color="auto"/>
      </w:divBdr>
    </w:div>
    <w:div w:id="1563129459">
      <w:bodyDiv w:val="1"/>
      <w:marLeft w:val="0"/>
      <w:marRight w:val="0"/>
      <w:marTop w:val="0"/>
      <w:marBottom w:val="0"/>
      <w:divBdr>
        <w:top w:val="none" w:sz="0" w:space="0" w:color="auto"/>
        <w:left w:val="none" w:sz="0" w:space="0" w:color="auto"/>
        <w:bottom w:val="none" w:sz="0" w:space="0" w:color="auto"/>
        <w:right w:val="none" w:sz="0" w:space="0" w:color="auto"/>
      </w:divBdr>
    </w:div>
    <w:div w:id="1607542000">
      <w:bodyDiv w:val="1"/>
      <w:marLeft w:val="0"/>
      <w:marRight w:val="0"/>
      <w:marTop w:val="0"/>
      <w:marBottom w:val="0"/>
      <w:divBdr>
        <w:top w:val="none" w:sz="0" w:space="0" w:color="auto"/>
        <w:left w:val="none" w:sz="0" w:space="0" w:color="auto"/>
        <w:bottom w:val="none" w:sz="0" w:space="0" w:color="auto"/>
        <w:right w:val="none" w:sz="0" w:space="0" w:color="auto"/>
      </w:divBdr>
      <w:divsChild>
        <w:div w:id="12028626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5.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education.gouv.fr/la-clause-sociale-de-formation-sous-statut-scolaire-dans-les-marches-publics-41543"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footer" Target="foot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cnil.fr/fr/la-protection-des-donnees-dans-le-mon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4.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chorus-pro.gouv.fr"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1108EDEF2F7642B1434D72CA69F4FA" ma:contentTypeVersion="0" ma:contentTypeDescription="Crée un document." ma:contentTypeScope="" ma:versionID="35ac51cc5ea6d2d11f9950e811a74950">
  <xsd:schema xmlns:xsd="http://www.w3.org/2001/XMLSchema" xmlns:xs="http://www.w3.org/2001/XMLSchema" xmlns:p="http://schemas.microsoft.com/office/2006/metadata/properties" targetNamespace="http://schemas.microsoft.com/office/2006/metadata/properties" ma:root="true" ma:fieldsID="e50e266c65e8596da68e06b1cc03e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6AD32D-83E8-4342-AE37-EA228CB83F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73ACBB2-6AB9-4AB4-8180-8CD0F34128E2}">
  <ds:schemaRefs>
    <ds:schemaRef ds:uri="http://schemas.microsoft.com/sharepoint/v3/contenttype/forms"/>
  </ds:schemaRefs>
</ds:datastoreItem>
</file>

<file path=customXml/itemProps3.xml><?xml version="1.0" encoding="utf-8"?>
<ds:datastoreItem xmlns:ds="http://schemas.openxmlformats.org/officeDocument/2006/customXml" ds:itemID="{A35871B2-A846-47C2-8904-15A89663607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C899683-9231-4F73-A5A0-1AA203521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8518</Words>
  <Characters>46851</Characters>
  <Application>Microsoft Office Word</Application>
  <DocSecurity>0</DocSecurity>
  <Lines>390</Lines>
  <Paragraphs>110</Paragraphs>
  <ScaleCrop>false</ScaleCrop>
  <HeadingPairs>
    <vt:vector size="2" baseType="variant">
      <vt:variant>
        <vt:lpstr>Titre</vt:lpstr>
      </vt:variant>
      <vt:variant>
        <vt:i4>1</vt:i4>
      </vt:variant>
    </vt:vector>
  </HeadingPairs>
  <TitlesOfParts>
    <vt:vector size="1" baseType="lpstr">
      <vt:lpstr/>
    </vt:vector>
  </TitlesOfParts>
  <Company>INRA</Company>
  <LinksUpToDate>false</LinksUpToDate>
  <CharactersWithSpaces>55259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Laëtitia Clerget</dc:creator>
  <cp:keywords/>
  <dc:description/>
  <cp:lastModifiedBy>cecile pereira santo</cp:lastModifiedBy>
  <cp:revision>2</cp:revision>
  <cp:lastPrinted>2023-07-24T14:04:00Z</cp:lastPrinted>
  <dcterms:created xsi:type="dcterms:W3CDTF">2025-04-01T07:03:00Z</dcterms:created>
  <dcterms:modified xsi:type="dcterms:W3CDTF">2025-04-01T07:03:00Z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0x010100B51108EDEF2F7642B1434D72CA69F4FA</vt:lpwstr>
  </property>
</Properties>
</file>