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4B302" w14:textId="77777777" w:rsidR="00AB60A7" w:rsidRDefault="00AB60A7" w:rsidP="00FC31EC">
      <w:pPr>
        <w:rPr>
          <w:noProof/>
        </w:rPr>
      </w:pPr>
    </w:p>
    <w:p w14:paraId="78844AB6" w14:textId="77777777" w:rsidR="00AB60A7" w:rsidRDefault="00AB60A7" w:rsidP="00FC31EC">
      <w:pPr>
        <w:pStyle w:val="Titre"/>
      </w:pPr>
      <w:r>
        <w:rPr>
          <w:lang w:eastAsia="fr-FR"/>
        </w:rPr>
        <w:drawing>
          <wp:inline distT="0" distB="0" distL="0" distR="0" wp14:anchorId="6CA157A1" wp14:editId="04AB9FAC">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0633130B" w14:textId="77777777" w:rsidR="00AB60A7" w:rsidRDefault="00AB60A7" w:rsidP="00FC31EC">
      <w:pPr>
        <w:pStyle w:val="Titre"/>
      </w:pPr>
    </w:p>
    <w:p w14:paraId="706E4843" w14:textId="77777777" w:rsidR="00AB60A7" w:rsidRPr="001824FF" w:rsidRDefault="00AB60A7" w:rsidP="00FC31EC"/>
    <w:p w14:paraId="1787EF50" w14:textId="77777777" w:rsidR="00255BA9" w:rsidRDefault="00255BA9" w:rsidP="00FC31EC">
      <w:pPr>
        <w:pStyle w:val="Titre"/>
      </w:pPr>
    </w:p>
    <w:p w14:paraId="4F3888B6" w14:textId="77777777" w:rsidR="00255BA9" w:rsidRDefault="00255BA9" w:rsidP="00FC31EC">
      <w:pPr>
        <w:pStyle w:val="Titre"/>
      </w:pPr>
    </w:p>
    <w:p w14:paraId="51D7262E" w14:textId="1D2929E2" w:rsidR="00B1696A" w:rsidRPr="00FC31EC" w:rsidRDefault="00165051" w:rsidP="00FC31EC">
      <w:pPr>
        <w:pStyle w:val="Titre"/>
      </w:pPr>
      <w:r>
        <w:t>DIFFUSION DES MAGAZINES</w:t>
      </w:r>
    </w:p>
    <w:p w14:paraId="45E085A8" w14:textId="77777777" w:rsidR="005778C2" w:rsidRPr="001824FF" w:rsidRDefault="005778C2" w:rsidP="00FC31EC"/>
    <w:p w14:paraId="51745ACB" w14:textId="77777777" w:rsidR="001C1868" w:rsidRDefault="001C1868" w:rsidP="00FC31EC">
      <w:pPr>
        <w:jc w:val="center"/>
      </w:pPr>
      <w:r w:rsidRPr="001824FF">
        <w:t>___________________________________</w:t>
      </w:r>
    </w:p>
    <w:p w14:paraId="77CBF2A3" w14:textId="77777777" w:rsidR="001824FF" w:rsidRDefault="001824FF" w:rsidP="00FC31EC"/>
    <w:p w14:paraId="66284FB3" w14:textId="77777777" w:rsidR="001824FF" w:rsidRPr="001824FF" w:rsidRDefault="001824FF" w:rsidP="00FC31EC"/>
    <w:p w14:paraId="338662DD" w14:textId="6254A884" w:rsidR="00AB60A7" w:rsidRPr="00FC31EC" w:rsidRDefault="00165051" w:rsidP="00FC31EC">
      <w:pPr>
        <w:jc w:val="center"/>
        <w:rPr>
          <w:b/>
          <w:bCs/>
          <w:noProof/>
          <w:sz w:val="44"/>
          <w:szCs w:val="48"/>
        </w:rPr>
      </w:pPr>
      <w:r>
        <w:rPr>
          <w:b/>
          <w:bCs/>
          <w:noProof/>
          <w:sz w:val="44"/>
          <w:szCs w:val="48"/>
        </w:rPr>
        <w:t>CCAP</w:t>
      </w:r>
    </w:p>
    <w:p w14:paraId="458B9426" w14:textId="77777777" w:rsidR="00AB60A7" w:rsidRDefault="00AB60A7" w:rsidP="00FC31EC"/>
    <w:p w14:paraId="16BF43CF" w14:textId="77777777" w:rsidR="00AB60A7" w:rsidRDefault="00AB60A7" w:rsidP="00FC31EC"/>
    <w:p w14:paraId="4299130C" w14:textId="77777777" w:rsidR="00AB60A7" w:rsidRDefault="00AB60A7" w:rsidP="00FC31EC"/>
    <w:p w14:paraId="057C8BB4" w14:textId="77777777" w:rsidR="00AB60A7" w:rsidRDefault="00566785" w:rsidP="00FC31EC">
      <w:pPr>
        <w:pStyle w:val="Titre"/>
      </w:pPr>
      <w:r>
        <w:rPr>
          <w:lang w:eastAsia="fr-FR"/>
        </w:rPr>
        <mc:AlternateContent>
          <mc:Choice Requires="wps">
            <w:drawing>
              <wp:anchor distT="0" distB="0" distL="114300" distR="114300" simplePos="0" relativeHeight="251658240" behindDoc="0" locked="0" layoutInCell="1" allowOverlap="1" wp14:anchorId="4719376A" wp14:editId="2D6FC49C">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4C205C4B"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719376A" id="_x0000_t202" coordsize="21600,21600" o:spt="202" path="m,l,21600r21600,l21600,xe">
                <v:stroke joinstyle="miter"/>
                <v:path gradientshapeok="t" o:connecttype="rect"/>
              </v:shapetype>
              <v:shape id="Zone de texte 2" o:spid="_x0000_s1026" type="#_x0000_t202" style="position:absolute;left:0;text-align:left;margin-left:0;margin-top:0;width:181.45pt;height:27.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" filled="f" stroked="f">
                <v:textbox style="mso-fit-shape-to-text:t">
                  <w:txbxContent>
                    <w:p w14:paraId="4C205C4B" w14:textId="77777777" w:rsidR="00A81F9E" w:rsidRDefault="00A81F9E" w:rsidP="00FC31EC"/>
                  </w:txbxContent>
                </v:textbox>
              </v:shape>
            </w:pict>
          </mc:Fallback>
        </mc:AlternateContent>
      </w:r>
    </w:p>
    <w:p w14:paraId="160831CA" w14:textId="77777777" w:rsidR="0084389F" w:rsidRDefault="0084389F" w:rsidP="00FC31EC">
      <w:r>
        <w:br w:type="page"/>
      </w:r>
    </w:p>
    <w:sdt>
      <w:sdtPr>
        <w:rPr>
          <w:b w:val="0"/>
          <w:bCs w:val="0"/>
          <w:color w:val="auto"/>
        </w:rPr>
        <w:id w:val="-2138166607"/>
        <w:docPartObj>
          <w:docPartGallery w:val="Table of Contents"/>
          <w:docPartUnique/>
        </w:docPartObj>
      </w:sdtPr>
      <w:sdtContent>
        <w:p w14:paraId="536ACB1A" w14:textId="77777777" w:rsidR="0084389F" w:rsidRPr="00E83195" w:rsidRDefault="00AA7C86" w:rsidP="00E83195">
          <w:pPr>
            <w:pStyle w:val="TITREDETABLEDESMATIERES"/>
          </w:pPr>
          <w:r w:rsidRPr="00E83195">
            <w:t>TABLE DES MATIERES</w:t>
          </w:r>
        </w:p>
        <w:p w14:paraId="53909EC6" w14:textId="504C25B6" w:rsidR="00926B0A"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92686180" w:history="1">
            <w:r w:rsidR="00926B0A" w:rsidRPr="00FB131D">
              <w:rPr>
                <w:rStyle w:val="Lienhypertexte"/>
                <w:noProof/>
              </w:rPr>
              <w:t>Article I.</w:t>
            </w:r>
            <w:r w:rsidR="00926B0A">
              <w:rPr>
                <w:rFonts w:asciiTheme="minorHAnsi" w:eastAsiaTheme="minorEastAsia" w:hAnsiTheme="minorHAnsi"/>
                <w:noProof/>
                <w:kern w:val="2"/>
                <w:sz w:val="24"/>
                <w:szCs w:val="24"/>
                <w:lang w:eastAsia="fr-FR"/>
                <w14:ligatures w14:val="standardContextual"/>
              </w:rPr>
              <w:tab/>
            </w:r>
            <w:r w:rsidR="00926B0A" w:rsidRPr="00FB131D">
              <w:rPr>
                <w:rStyle w:val="Lienhypertexte"/>
                <w:noProof/>
              </w:rPr>
              <w:t>OBJET DU MARCHE- DISPOSITIONS GENERALES</w:t>
            </w:r>
            <w:r w:rsidR="00926B0A">
              <w:rPr>
                <w:noProof/>
                <w:webHidden/>
              </w:rPr>
              <w:tab/>
            </w:r>
            <w:r w:rsidR="00926B0A">
              <w:rPr>
                <w:noProof/>
                <w:webHidden/>
              </w:rPr>
              <w:fldChar w:fldCharType="begin"/>
            </w:r>
            <w:r w:rsidR="00926B0A">
              <w:rPr>
                <w:noProof/>
                <w:webHidden/>
              </w:rPr>
              <w:instrText xml:space="preserve"> PAGEREF _Toc192686180 \h </w:instrText>
            </w:r>
            <w:r w:rsidR="00926B0A">
              <w:rPr>
                <w:noProof/>
                <w:webHidden/>
              </w:rPr>
            </w:r>
            <w:r w:rsidR="00926B0A">
              <w:rPr>
                <w:noProof/>
                <w:webHidden/>
              </w:rPr>
              <w:fldChar w:fldCharType="separate"/>
            </w:r>
            <w:r w:rsidR="00926B0A">
              <w:rPr>
                <w:noProof/>
                <w:webHidden/>
              </w:rPr>
              <w:t>4</w:t>
            </w:r>
            <w:r w:rsidR="00926B0A">
              <w:rPr>
                <w:noProof/>
                <w:webHidden/>
              </w:rPr>
              <w:fldChar w:fldCharType="end"/>
            </w:r>
          </w:hyperlink>
        </w:p>
        <w:p w14:paraId="6E27EE04" w14:textId="32A7569C"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81" w:history="1">
            <w:r w:rsidRPr="00FB131D">
              <w:rPr>
                <w:rStyle w:val="Lienhypertexte"/>
                <w:noProof/>
              </w:rPr>
              <w:t>Section 1.01</w:t>
            </w:r>
            <w:r>
              <w:rPr>
                <w:rFonts w:asciiTheme="minorHAnsi" w:eastAsiaTheme="minorEastAsia" w:hAnsiTheme="minorHAnsi"/>
                <w:noProof/>
                <w:kern w:val="2"/>
                <w:sz w:val="24"/>
                <w:szCs w:val="24"/>
                <w:lang w:eastAsia="fr-FR"/>
                <w14:ligatures w14:val="standardContextual"/>
              </w:rPr>
              <w:tab/>
            </w:r>
            <w:r w:rsidRPr="00FB131D">
              <w:rPr>
                <w:rStyle w:val="Lienhypertexte"/>
                <w:noProof/>
              </w:rPr>
              <w:t>Partie contractante</w:t>
            </w:r>
            <w:r>
              <w:rPr>
                <w:noProof/>
                <w:webHidden/>
              </w:rPr>
              <w:tab/>
            </w:r>
            <w:r>
              <w:rPr>
                <w:noProof/>
                <w:webHidden/>
              </w:rPr>
              <w:fldChar w:fldCharType="begin"/>
            </w:r>
            <w:r>
              <w:rPr>
                <w:noProof/>
                <w:webHidden/>
              </w:rPr>
              <w:instrText xml:space="preserve"> PAGEREF _Toc192686181 \h </w:instrText>
            </w:r>
            <w:r>
              <w:rPr>
                <w:noProof/>
                <w:webHidden/>
              </w:rPr>
            </w:r>
            <w:r>
              <w:rPr>
                <w:noProof/>
                <w:webHidden/>
              </w:rPr>
              <w:fldChar w:fldCharType="separate"/>
            </w:r>
            <w:r>
              <w:rPr>
                <w:noProof/>
                <w:webHidden/>
              </w:rPr>
              <w:t>4</w:t>
            </w:r>
            <w:r>
              <w:rPr>
                <w:noProof/>
                <w:webHidden/>
              </w:rPr>
              <w:fldChar w:fldCharType="end"/>
            </w:r>
          </w:hyperlink>
        </w:p>
        <w:p w14:paraId="0CE3095D" w14:textId="793FE777"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82" w:history="1">
            <w:r w:rsidRPr="00FB131D">
              <w:rPr>
                <w:rStyle w:val="Lienhypertexte"/>
                <w:noProof/>
              </w:rPr>
              <w:t>Section 1.02</w:t>
            </w:r>
            <w:r>
              <w:rPr>
                <w:rFonts w:asciiTheme="minorHAnsi" w:eastAsiaTheme="minorEastAsia" w:hAnsiTheme="minorHAnsi"/>
                <w:noProof/>
                <w:kern w:val="2"/>
                <w:sz w:val="24"/>
                <w:szCs w:val="24"/>
                <w:lang w:eastAsia="fr-FR"/>
                <w14:ligatures w14:val="standardContextual"/>
              </w:rPr>
              <w:tab/>
            </w:r>
            <w:r w:rsidRPr="00FB131D">
              <w:rPr>
                <w:rStyle w:val="Lienhypertexte"/>
                <w:noProof/>
              </w:rPr>
              <w:t>Objet du marché :</w:t>
            </w:r>
            <w:r>
              <w:rPr>
                <w:noProof/>
                <w:webHidden/>
              </w:rPr>
              <w:tab/>
            </w:r>
            <w:r>
              <w:rPr>
                <w:noProof/>
                <w:webHidden/>
              </w:rPr>
              <w:fldChar w:fldCharType="begin"/>
            </w:r>
            <w:r>
              <w:rPr>
                <w:noProof/>
                <w:webHidden/>
              </w:rPr>
              <w:instrText xml:space="preserve"> PAGEREF _Toc192686182 \h </w:instrText>
            </w:r>
            <w:r>
              <w:rPr>
                <w:noProof/>
                <w:webHidden/>
              </w:rPr>
            </w:r>
            <w:r>
              <w:rPr>
                <w:noProof/>
                <w:webHidden/>
              </w:rPr>
              <w:fldChar w:fldCharType="separate"/>
            </w:r>
            <w:r>
              <w:rPr>
                <w:noProof/>
                <w:webHidden/>
              </w:rPr>
              <w:t>4</w:t>
            </w:r>
            <w:r>
              <w:rPr>
                <w:noProof/>
                <w:webHidden/>
              </w:rPr>
              <w:fldChar w:fldCharType="end"/>
            </w:r>
          </w:hyperlink>
        </w:p>
        <w:p w14:paraId="7CEAFCA3" w14:textId="30E7E9B8"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83" w:history="1">
            <w:r w:rsidRPr="00FB131D">
              <w:rPr>
                <w:rStyle w:val="Lienhypertexte"/>
                <w:noProof/>
              </w:rPr>
              <w:t>Section 1.03</w:t>
            </w:r>
            <w:r>
              <w:rPr>
                <w:rFonts w:asciiTheme="minorHAnsi" w:eastAsiaTheme="minorEastAsia" w:hAnsiTheme="minorHAnsi"/>
                <w:noProof/>
                <w:kern w:val="2"/>
                <w:sz w:val="24"/>
                <w:szCs w:val="24"/>
                <w:lang w:eastAsia="fr-FR"/>
                <w14:ligatures w14:val="standardContextual"/>
              </w:rPr>
              <w:tab/>
            </w:r>
            <w:r w:rsidRPr="00FB131D">
              <w:rPr>
                <w:rStyle w:val="Lienhypertexte"/>
                <w:noProof/>
              </w:rPr>
              <w:t>Dévolution :</w:t>
            </w:r>
            <w:r>
              <w:rPr>
                <w:noProof/>
                <w:webHidden/>
              </w:rPr>
              <w:tab/>
            </w:r>
            <w:r>
              <w:rPr>
                <w:noProof/>
                <w:webHidden/>
              </w:rPr>
              <w:fldChar w:fldCharType="begin"/>
            </w:r>
            <w:r>
              <w:rPr>
                <w:noProof/>
                <w:webHidden/>
              </w:rPr>
              <w:instrText xml:space="preserve"> PAGEREF _Toc192686183 \h </w:instrText>
            </w:r>
            <w:r>
              <w:rPr>
                <w:noProof/>
                <w:webHidden/>
              </w:rPr>
            </w:r>
            <w:r>
              <w:rPr>
                <w:noProof/>
                <w:webHidden/>
              </w:rPr>
              <w:fldChar w:fldCharType="separate"/>
            </w:r>
            <w:r>
              <w:rPr>
                <w:noProof/>
                <w:webHidden/>
              </w:rPr>
              <w:t>4</w:t>
            </w:r>
            <w:r>
              <w:rPr>
                <w:noProof/>
                <w:webHidden/>
              </w:rPr>
              <w:fldChar w:fldCharType="end"/>
            </w:r>
          </w:hyperlink>
        </w:p>
        <w:p w14:paraId="5DEB00D5" w14:textId="14947ABE"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84" w:history="1">
            <w:r w:rsidRPr="00FB131D">
              <w:rPr>
                <w:rStyle w:val="Lienhypertexte"/>
                <w:noProof/>
              </w:rPr>
              <w:t>Section 1.04</w:t>
            </w:r>
            <w:r>
              <w:rPr>
                <w:rFonts w:asciiTheme="minorHAnsi" w:eastAsiaTheme="minorEastAsia" w:hAnsiTheme="minorHAnsi"/>
                <w:noProof/>
                <w:kern w:val="2"/>
                <w:sz w:val="24"/>
                <w:szCs w:val="24"/>
                <w:lang w:eastAsia="fr-FR"/>
                <w14:ligatures w14:val="standardContextual"/>
              </w:rPr>
              <w:tab/>
            </w:r>
            <w:r w:rsidRPr="00FB131D">
              <w:rPr>
                <w:rStyle w:val="Lienhypertexte"/>
                <w:noProof/>
              </w:rPr>
              <w:t>Durée du marché :</w:t>
            </w:r>
            <w:r>
              <w:rPr>
                <w:noProof/>
                <w:webHidden/>
              </w:rPr>
              <w:tab/>
            </w:r>
            <w:r>
              <w:rPr>
                <w:noProof/>
                <w:webHidden/>
              </w:rPr>
              <w:fldChar w:fldCharType="begin"/>
            </w:r>
            <w:r>
              <w:rPr>
                <w:noProof/>
                <w:webHidden/>
              </w:rPr>
              <w:instrText xml:space="preserve"> PAGEREF _Toc192686184 \h </w:instrText>
            </w:r>
            <w:r>
              <w:rPr>
                <w:noProof/>
                <w:webHidden/>
              </w:rPr>
            </w:r>
            <w:r>
              <w:rPr>
                <w:noProof/>
                <w:webHidden/>
              </w:rPr>
              <w:fldChar w:fldCharType="separate"/>
            </w:r>
            <w:r>
              <w:rPr>
                <w:noProof/>
                <w:webHidden/>
              </w:rPr>
              <w:t>4</w:t>
            </w:r>
            <w:r>
              <w:rPr>
                <w:noProof/>
                <w:webHidden/>
              </w:rPr>
              <w:fldChar w:fldCharType="end"/>
            </w:r>
          </w:hyperlink>
        </w:p>
        <w:p w14:paraId="1B8BE2E4" w14:textId="713D7692"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185" w:history="1">
            <w:r w:rsidRPr="00FB131D">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FB131D">
              <w:rPr>
                <w:rStyle w:val="Lienhypertexte"/>
                <w:noProof/>
              </w:rPr>
              <w:t>Evaluation des prestations à réaliser :</w:t>
            </w:r>
            <w:r>
              <w:rPr>
                <w:noProof/>
                <w:webHidden/>
              </w:rPr>
              <w:tab/>
            </w:r>
            <w:r>
              <w:rPr>
                <w:noProof/>
                <w:webHidden/>
              </w:rPr>
              <w:fldChar w:fldCharType="begin"/>
            </w:r>
            <w:r>
              <w:rPr>
                <w:noProof/>
                <w:webHidden/>
              </w:rPr>
              <w:instrText xml:space="preserve"> PAGEREF _Toc192686185 \h </w:instrText>
            </w:r>
            <w:r>
              <w:rPr>
                <w:noProof/>
                <w:webHidden/>
              </w:rPr>
            </w:r>
            <w:r>
              <w:rPr>
                <w:noProof/>
                <w:webHidden/>
              </w:rPr>
              <w:fldChar w:fldCharType="separate"/>
            </w:r>
            <w:r>
              <w:rPr>
                <w:noProof/>
                <w:webHidden/>
              </w:rPr>
              <w:t>4</w:t>
            </w:r>
            <w:r>
              <w:rPr>
                <w:noProof/>
                <w:webHidden/>
              </w:rPr>
              <w:fldChar w:fldCharType="end"/>
            </w:r>
          </w:hyperlink>
        </w:p>
        <w:p w14:paraId="608C13CD" w14:textId="5D9E796F"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186" w:history="1">
            <w:r w:rsidRPr="00FB131D">
              <w:rPr>
                <w:rStyle w:val="Lienhypertexte"/>
                <w:noProof/>
              </w:rPr>
              <w:t>Article III.</w:t>
            </w:r>
            <w:r>
              <w:rPr>
                <w:rFonts w:asciiTheme="minorHAnsi" w:eastAsiaTheme="minorEastAsia" w:hAnsiTheme="minorHAnsi"/>
                <w:noProof/>
                <w:kern w:val="2"/>
                <w:sz w:val="24"/>
                <w:szCs w:val="24"/>
                <w:lang w:eastAsia="fr-FR"/>
                <w14:ligatures w14:val="standardContextual"/>
              </w:rPr>
              <w:tab/>
            </w:r>
            <w:r w:rsidRPr="00FB131D">
              <w:rPr>
                <w:rStyle w:val="Lienhypertexte"/>
                <w:noProof/>
              </w:rPr>
              <w:t>PIECES CONSTITUTIVES DU MARCHE</w:t>
            </w:r>
            <w:r>
              <w:rPr>
                <w:noProof/>
                <w:webHidden/>
              </w:rPr>
              <w:tab/>
            </w:r>
            <w:r>
              <w:rPr>
                <w:noProof/>
                <w:webHidden/>
              </w:rPr>
              <w:fldChar w:fldCharType="begin"/>
            </w:r>
            <w:r>
              <w:rPr>
                <w:noProof/>
                <w:webHidden/>
              </w:rPr>
              <w:instrText xml:space="preserve"> PAGEREF _Toc192686186 \h </w:instrText>
            </w:r>
            <w:r>
              <w:rPr>
                <w:noProof/>
                <w:webHidden/>
              </w:rPr>
            </w:r>
            <w:r>
              <w:rPr>
                <w:noProof/>
                <w:webHidden/>
              </w:rPr>
              <w:fldChar w:fldCharType="separate"/>
            </w:r>
            <w:r>
              <w:rPr>
                <w:noProof/>
                <w:webHidden/>
              </w:rPr>
              <w:t>4</w:t>
            </w:r>
            <w:r>
              <w:rPr>
                <w:noProof/>
                <w:webHidden/>
              </w:rPr>
              <w:fldChar w:fldCharType="end"/>
            </w:r>
          </w:hyperlink>
        </w:p>
        <w:p w14:paraId="78E08A8B" w14:textId="1555720F"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187" w:history="1">
            <w:r w:rsidRPr="00FB131D">
              <w:rPr>
                <w:rStyle w:val="Lienhypertexte"/>
                <w:noProof/>
              </w:rPr>
              <w:t>Article V.</w:t>
            </w:r>
            <w:r>
              <w:rPr>
                <w:rFonts w:asciiTheme="minorHAnsi" w:eastAsiaTheme="minorEastAsia" w:hAnsiTheme="minorHAnsi"/>
                <w:noProof/>
                <w:kern w:val="2"/>
                <w:sz w:val="24"/>
                <w:szCs w:val="24"/>
                <w:lang w:eastAsia="fr-FR"/>
                <w14:ligatures w14:val="standardContextual"/>
              </w:rPr>
              <w:tab/>
            </w:r>
            <w:r w:rsidRPr="00FB131D">
              <w:rPr>
                <w:rStyle w:val="Lienhypertexte"/>
                <w:noProof/>
              </w:rPr>
              <w:t>MODALITES D'EXECUTION DU MARCHE</w:t>
            </w:r>
            <w:r>
              <w:rPr>
                <w:noProof/>
                <w:webHidden/>
              </w:rPr>
              <w:tab/>
            </w:r>
            <w:r>
              <w:rPr>
                <w:noProof/>
                <w:webHidden/>
              </w:rPr>
              <w:fldChar w:fldCharType="begin"/>
            </w:r>
            <w:r>
              <w:rPr>
                <w:noProof/>
                <w:webHidden/>
              </w:rPr>
              <w:instrText xml:space="preserve"> PAGEREF _Toc192686187 \h </w:instrText>
            </w:r>
            <w:r>
              <w:rPr>
                <w:noProof/>
                <w:webHidden/>
              </w:rPr>
            </w:r>
            <w:r>
              <w:rPr>
                <w:noProof/>
                <w:webHidden/>
              </w:rPr>
              <w:fldChar w:fldCharType="separate"/>
            </w:r>
            <w:r>
              <w:rPr>
                <w:noProof/>
                <w:webHidden/>
              </w:rPr>
              <w:t>5</w:t>
            </w:r>
            <w:r>
              <w:rPr>
                <w:noProof/>
                <w:webHidden/>
              </w:rPr>
              <w:fldChar w:fldCharType="end"/>
            </w:r>
          </w:hyperlink>
        </w:p>
        <w:p w14:paraId="592FE5FD" w14:textId="7C246CD7"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88" w:history="1">
            <w:r w:rsidRPr="00FB131D">
              <w:rPr>
                <w:rStyle w:val="Lienhypertexte"/>
                <w:noProof/>
              </w:rPr>
              <w:t>Section 5.01</w:t>
            </w:r>
            <w:r>
              <w:rPr>
                <w:rFonts w:asciiTheme="minorHAnsi" w:eastAsiaTheme="minorEastAsia" w:hAnsiTheme="minorHAnsi"/>
                <w:noProof/>
                <w:kern w:val="2"/>
                <w:sz w:val="24"/>
                <w:szCs w:val="24"/>
                <w:lang w:eastAsia="fr-FR"/>
                <w14:ligatures w14:val="standardContextual"/>
              </w:rPr>
              <w:tab/>
            </w:r>
            <w:r w:rsidRPr="00FB131D">
              <w:rPr>
                <w:rStyle w:val="Lienhypertexte"/>
                <w:noProof/>
              </w:rPr>
              <w:t>Désignation des interlocuteurs:</w:t>
            </w:r>
            <w:r>
              <w:rPr>
                <w:noProof/>
                <w:webHidden/>
              </w:rPr>
              <w:tab/>
            </w:r>
            <w:r>
              <w:rPr>
                <w:noProof/>
                <w:webHidden/>
              </w:rPr>
              <w:fldChar w:fldCharType="begin"/>
            </w:r>
            <w:r>
              <w:rPr>
                <w:noProof/>
                <w:webHidden/>
              </w:rPr>
              <w:instrText xml:space="preserve"> PAGEREF _Toc192686188 \h </w:instrText>
            </w:r>
            <w:r>
              <w:rPr>
                <w:noProof/>
                <w:webHidden/>
              </w:rPr>
            </w:r>
            <w:r>
              <w:rPr>
                <w:noProof/>
                <w:webHidden/>
              </w:rPr>
              <w:fldChar w:fldCharType="separate"/>
            </w:r>
            <w:r>
              <w:rPr>
                <w:noProof/>
                <w:webHidden/>
              </w:rPr>
              <w:t>5</w:t>
            </w:r>
            <w:r>
              <w:rPr>
                <w:noProof/>
                <w:webHidden/>
              </w:rPr>
              <w:fldChar w:fldCharType="end"/>
            </w:r>
          </w:hyperlink>
        </w:p>
        <w:p w14:paraId="1D96FF8B" w14:textId="197F712F"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89" w:history="1">
            <w:r w:rsidRPr="00FB131D">
              <w:rPr>
                <w:rStyle w:val="Lienhypertexte"/>
                <w:noProof/>
              </w:rPr>
              <w:t>Section 5.02</w:t>
            </w:r>
            <w:r>
              <w:rPr>
                <w:rFonts w:asciiTheme="minorHAnsi" w:eastAsiaTheme="minorEastAsia" w:hAnsiTheme="minorHAnsi"/>
                <w:noProof/>
                <w:kern w:val="2"/>
                <w:sz w:val="24"/>
                <w:szCs w:val="24"/>
                <w:lang w:eastAsia="fr-FR"/>
                <w14:ligatures w14:val="standardContextual"/>
              </w:rPr>
              <w:tab/>
            </w:r>
            <w:r w:rsidRPr="00FB131D">
              <w:rPr>
                <w:rStyle w:val="Lienhypertexte"/>
                <w:noProof/>
              </w:rPr>
              <w:t>Détails des prestations :</w:t>
            </w:r>
            <w:r>
              <w:rPr>
                <w:noProof/>
                <w:webHidden/>
              </w:rPr>
              <w:tab/>
            </w:r>
            <w:r>
              <w:rPr>
                <w:noProof/>
                <w:webHidden/>
              </w:rPr>
              <w:fldChar w:fldCharType="begin"/>
            </w:r>
            <w:r>
              <w:rPr>
                <w:noProof/>
                <w:webHidden/>
              </w:rPr>
              <w:instrText xml:space="preserve"> PAGEREF _Toc192686189 \h </w:instrText>
            </w:r>
            <w:r>
              <w:rPr>
                <w:noProof/>
                <w:webHidden/>
              </w:rPr>
            </w:r>
            <w:r>
              <w:rPr>
                <w:noProof/>
                <w:webHidden/>
              </w:rPr>
              <w:fldChar w:fldCharType="separate"/>
            </w:r>
            <w:r>
              <w:rPr>
                <w:noProof/>
                <w:webHidden/>
              </w:rPr>
              <w:t>5</w:t>
            </w:r>
            <w:r>
              <w:rPr>
                <w:noProof/>
                <w:webHidden/>
              </w:rPr>
              <w:fldChar w:fldCharType="end"/>
            </w:r>
          </w:hyperlink>
        </w:p>
        <w:p w14:paraId="44D628CD" w14:textId="4AFB7795"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190" w:history="1">
            <w:r w:rsidRPr="00FB131D">
              <w:rPr>
                <w:rStyle w:val="Lienhypertexte"/>
                <w:noProof/>
              </w:rPr>
              <w:t>Article VI.</w:t>
            </w:r>
            <w:r>
              <w:rPr>
                <w:rFonts w:asciiTheme="minorHAnsi" w:eastAsiaTheme="minorEastAsia" w:hAnsiTheme="minorHAnsi"/>
                <w:noProof/>
                <w:kern w:val="2"/>
                <w:sz w:val="24"/>
                <w:szCs w:val="24"/>
                <w:lang w:eastAsia="fr-FR"/>
                <w14:ligatures w14:val="standardContextual"/>
              </w:rPr>
              <w:tab/>
            </w:r>
            <w:r w:rsidRPr="00FB131D">
              <w:rPr>
                <w:rStyle w:val="Lienhypertexte"/>
                <w:noProof/>
              </w:rPr>
              <w:t>CONDITIONS ADMINISTRATIVES D’EXECUTION</w:t>
            </w:r>
            <w:r>
              <w:rPr>
                <w:noProof/>
                <w:webHidden/>
              </w:rPr>
              <w:tab/>
            </w:r>
            <w:r>
              <w:rPr>
                <w:noProof/>
                <w:webHidden/>
              </w:rPr>
              <w:fldChar w:fldCharType="begin"/>
            </w:r>
            <w:r>
              <w:rPr>
                <w:noProof/>
                <w:webHidden/>
              </w:rPr>
              <w:instrText xml:space="preserve"> PAGEREF _Toc192686190 \h </w:instrText>
            </w:r>
            <w:r>
              <w:rPr>
                <w:noProof/>
                <w:webHidden/>
              </w:rPr>
            </w:r>
            <w:r>
              <w:rPr>
                <w:noProof/>
                <w:webHidden/>
              </w:rPr>
              <w:fldChar w:fldCharType="separate"/>
            </w:r>
            <w:r>
              <w:rPr>
                <w:noProof/>
                <w:webHidden/>
              </w:rPr>
              <w:t>6</w:t>
            </w:r>
            <w:r>
              <w:rPr>
                <w:noProof/>
                <w:webHidden/>
              </w:rPr>
              <w:fldChar w:fldCharType="end"/>
            </w:r>
          </w:hyperlink>
        </w:p>
        <w:p w14:paraId="66E807E1" w14:textId="7DAAF289"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91" w:history="1">
            <w:r w:rsidRPr="00FB131D">
              <w:rPr>
                <w:rStyle w:val="Lienhypertexte"/>
                <w:noProof/>
              </w:rPr>
              <w:t>Section 6.01</w:t>
            </w:r>
            <w:r>
              <w:rPr>
                <w:rFonts w:asciiTheme="minorHAnsi" w:eastAsiaTheme="minorEastAsia" w:hAnsiTheme="minorHAnsi"/>
                <w:noProof/>
                <w:kern w:val="2"/>
                <w:sz w:val="24"/>
                <w:szCs w:val="24"/>
                <w:lang w:eastAsia="fr-FR"/>
                <w14:ligatures w14:val="standardContextual"/>
              </w:rPr>
              <w:tab/>
            </w:r>
            <w:r w:rsidRPr="00FB131D">
              <w:rPr>
                <w:rStyle w:val="Lienhypertexte"/>
                <w:noProof/>
              </w:rPr>
              <w:t>Engagement de responsabilité</w:t>
            </w:r>
            <w:r>
              <w:rPr>
                <w:noProof/>
                <w:webHidden/>
              </w:rPr>
              <w:tab/>
            </w:r>
            <w:r>
              <w:rPr>
                <w:noProof/>
                <w:webHidden/>
              </w:rPr>
              <w:fldChar w:fldCharType="begin"/>
            </w:r>
            <w:r>
              <w:rPr>
                <w:noProof/>
                <w:webHidden/>
              </w:rPr>
              <w:instrText xml:space="preserve"> PAGEREF _Toc192686191 \h </w:instrText>
            </w:r>
            <w:r>
              <w:rPr>
                <w:noProof/>
                <w:webHidden/>
              </w:rPr>
            </w:r>
            <w:r>
              <w:rPr>
                <w:noProof/>
                <w:webHidden/>
              </w:rPr>
              <w:fldChar w:fldCharType="separate"/>
            </w:r>
            <w:r>
              <w:rPr>
                <w:noProof/>
                <w:webHidden/>
              </w:rPr>
              <w:t>6</w:t>
            </w:r>
            <w:r>
              <w:rPr>
                <w:noProof/>
                <w:webHidden/>
              </w:rPr>
              <w:fldChar w:fldCharType="end"/>
            </w:r>
          </w:hyperlink>
        </w:p>
        <w:p w14:paraId="6E83208C" w14:textId="062373C2"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92" w:history="1">
            <w:r w:rsidRPr="00FB131D">
              <w:rPr>
                <w:rStyle w:val="Lienhypertexte"/>
                <w:noProof/>
              </w:rPr>
              <w:t>Section 6.02</w:t>
            </w:r>
            <w:r>
              <w:rPr>
                <w:rFonts w:asciiTheme="minorHAnsi" w:eastAsiaTheme="minorEastAsia" w:hAnsiTheme="minorHAnsi"/>
                <w:noProof/>
                <w:kern w:val="2"/>
                <w:sz w:val="24"/>
                <w:szCs w:val="24"/>
                <w:lang w:eastAsia="fr-FR"/>
                <w14:ligatures w14:val="standardContextual"/>
              </w:rPr>
              <w:tab/>
            </w:r>
            <w:r w:rsidRPr="00FB131D">
              <w:rPr>
                <w:rStyle w:val="Lienhypertexte"/>
                <w:noProof/>
              </w:rPr>
              <w:t>Reprise du personnel</w:t>
            </w:r>
            <w:r>
              <w:rPr>
                <w:noProof/>
                <w:webHidden/>
              </w:rPr>
              <w:tab/>
            </w:r>
            <w:r>
              <w:rPr>
                <w:noProof/>
                <w:webHidden/>
              </w:rPr>
              <w:fldChar w:fldCharType="begin"/>
            </w:r>
            <w:r>
              <w:rPr>
                <w:noProof/>
                <w:webHidden/>
              </w:rPr>
              <w:instrText xml:space="preserve"> PAGEREF _Toc192686192 \h </w:instrText>
            </w:r>
            <w:r>
              <w:rPr>
                <w:noProof/>
                <w:webHidden/>
              </w:rPr>
            </w:r>
            <w:r>
              <w:rPr>
                <w:noProof/>
                <w:webHidden/>
              </w:rPr>
              <w:fldChar w:fldCharType="separate"/>
            </w:r>
            <w:r>
              <w:rPr>
                <w:noProof/>
                <w:webHidden/>
              </w:rPr>
              <w:t>6</w:t>
            </w:r>
            <w:r>
              <w:rPr>
                <w:noProof/>
                <w:webHidden/>
              </w:rPr>
              <w:fldChar w:fldCharType="end"/>
            </w:r>
          </w:hyperlink>
        </w:p>
        <w:p w14:paraId="37848496" w14:textId="50CB42E9"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93" w:history="1">
            <w:r w:rsidRPr="00FB131D">
              <w:rPr>
                <w:rStyle w:val="Lienhypertexte"/>
                <w:noProof/>
              </w:rPr>
              <w:t>Section 6.03</w:t>
            </w:r>
            <w:r>
              <w:rPr>
                <w:rFonts w:asciiTheme="minorHAnsi" w:eastAsiaTheme="minorEastAsia" w:hAnsiTheme="minorHAnsi"/>
                <w:noProof/>
                <w:kern w:val="2"/>
                <w:sz w:val="24"/>
                <w:szCs w:val="24"/>
                <w:lang w:eastAsia="fr-FR"/>
                <w14:ligatures w14:val="standardContextual"/>
              </w:rPr>
              <w:tab/>
            </w:r>
            <w:r w:rsidRPr="00FB131D">
              <w:rPr>
                <w:rStyle w:val="Lienhypertexte"/>
                <w:noProof/>
              </w:rPr>
              <w:t>Assurances</w:t>
            </w:r>
            <w:r>
              <w:rPr>
                <w:noProof/>
                <w:webHidden/>
              </w:rPr>
              <w:tab/>
            </w:r>
            <w:r>
              <w:rPr>
                <w:noProof/>
                <w:webHidden/>
              </w:rPr>
              <w:fldChar w:fldCharType="begin"/>
            </w:r>
            <w:r>
              <w:rPr>
                <w:noProof/>
                <w:webHidden/>
              </w:rPr>
              <w:instrText xml:space="preserve"> PAGEREF _Toc192686193 \h </w:instrText>
            </w:r>
            <w:r>
              <w:rPr>
                <w:noProof/>
                <w:webHidden/>
              </w:rPr>
            </w:r>
            <w:r>
              <w:rPr>
                <w:noProof/>
                <w:webHidden/>
              </w:rPr>
              <w:fldChar w:fldCharType="separate"/>
            </w:r>
            <w:r>
              <w:rPr>
                <w:noProof/>
                <w:webHidden/>
              </w:rPr>
              <w:t>6</w:t>
            </w:r>
            <w:r>
              <w:rPr>
                <w:noProof/>
                <w:webHidden/>
              </w:rPr>
              <w:fldChar w:fldCharType="end"/>
            </w:r>
          </w:hyperlink>
        </w:p>
        <w:p w14:paraId="71DF2D5B" w14:textId="53C0CD6D"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194" w:history="1">
            <w:r w:rsidRPr="00FB131D">
              <w:rPr>
                <w:rStyle w:val="Lienhypertexte"/>
                <w:noProof/>
              </w:rPr>
              <w:t>Article VII.</w:t>
            </w:r>
            <w:r>
              <w:rPr>
                <w:rFonts w:asciiTheme="minorHAnsi" w:eastAsiaTheme="minorEastAsia" w:hAnsiTheme="minorHAnsi"/>
                <w:noProof/>
                <w:kern w:val="2"/>
                <w:sz w:val="24"/>
                <w:szCs w:val="24"/>
                <w:lang w:eastAsia="fr-FR"/>
                <w14:ligatures w14:val="standardContextual"/>
              </w:rPr>
              <w:tab/>
            </w:r>
            <w:r w:rsidRPr="00FB131D">
              <w:rPr>
                <w:rStyle w:val="Lienhypertexte"/>
                <w:noProof/>
              </w:rPr>
              <w:t>SOUS-TRAITANCE ET CESSION DU MARCHE</w:t>
            </w:r>
            <w:r>
              <w:rPr>
                <w:noProof/>
                <w:webHidden/>
              </w:rPr>
              <w:tab/>
            </w:r>
            <w:r>
              <w:rPr>
                <w:noProof/>
                <w:webHidden/>
              </w:rPr>
              <w:fldChar w:fldCharType="begin"/>
            </w:r>
            <w:r>
              <w:rPr>
                <w:noProof/>
                <w:webHidden/>
              </w:rPr>
              <w:instrText xml:space="preserve"> PAGEREF _Toc192686194 \h </w:instrText>
            </w:r>
            <w:r>
              <w:rPr>
                <w:noProof/>
                <w:webHidden/>
              </w:rPr>
            </w:r>
            <w:r>
              <w:rPr>
                <w:noProof/>
                <w:webHidden/>
              </w:rPr>
              <w:fldChar w:fldCharType="separate"/>
            </w:r>
            <w:r>
              <w:rPr>
                <w:noProof/>
                <w:webHidden/>
              </w:rPr>
              <w:t>7</w:t>
            </w:r>
            <w:r>
              <w:rPr>
                <w:noProof/>
                <w:webHidden/>
              </w:rPr>
              <w:fldChar w:fldCharType="end"/>
            </w:r>
          </w:hyperlink>
        </w:p>
        <w:p w14:paraId="19DBE51C" w14:textId="1D5651B6"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95" w:history="1">
            <w:r w:rsidRPr="00FB131D">
              <w:rPr>
                <w:rStyle w:val="Lienhypertexte"/>
                <w:noProof/>
              </w:rPr>
              <w:t>Section 7.01</w:t>
            </w:r>
            <w:r>
              <w:rPr>
                <w:rFonts w:asciiTheme="minorHAnsi" w:eastAsiaTheme="minorEastAsia" w:hAnsiTheme="minorHAnsi"/>
                <w:noProof/>
                <w:kern w:val="2"/>
                <w:sz w:val="24"/>
                <w:szCs w:val="24"/>
                <w:lang w:eastAsia="fr-FR"/>
                <w14:ligatures w14:val="standardContextual"/>
              </w:rPr>
              <w:tab/>
            </w:r>
            <w:r w:rsidRPr="00FB131D">
              <w:rPr>
                <w:rStyle w:val="Lienhypertexte"/>
                <w:noProof/>
              </w:rPr>
              <w:t>Acception des sous-traitants</w:t>
            </w:r>
            <w:r>
              <w:rPr>
                <w:noProof/>
                <w:webHidden/>
              </w:rPr>
              <w:tab/>
            </w:r>
            <w:r>
              <w:rPr>
                <w:noProof/>
                <w:webHidden/>
              </w:rPr>
              <w:fldChar w:fldCharType="begin"/>
            </w:r>
            <w:r>
              <w:rPr>
                <w:noProof/>
                <w:webHidden/>
              </w:rPr>
              <w:instrText xml:space="preserve"> PAGEREF _Toc192686195 \h </w:instrText>
            </w:r>
            <w:r>
              <w:rPr>
                <w:noProof/>
                <w:webHidden/>
              </w:rPr>
            </w:r>
            <w:r>
              <w:rPr>
                <w:noProof/>
                <w:webHidden/>
              </w:rPr>
              <w:fldChar w:fldCharType="separate"/>
            </w:r>
            <w:r>
              <w:rPr>
                <w:noProof/>
                <w:webHidden/>
              </w:rPr>
              <w:t>7</w:t>
            </w:r>
            <w:r>
              <w:rPr>
                <w:noProof/>
                <w:webHidden/>
              </w:rPr>
              <w:fldChar w:fldCharType="end"/>
            </w:r>
          </w:hyperlink>
        </w:p>
        <w:p w14:paraId="23F13020" w14:textId="7ED395A2"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96" w:history="1">
            <w:r w:rsidRPr="00FB131D">
              <w:rPr>
                <w:rStyle w:val="Lienhypertexte"/>
                <w:noProof/>
              </w:rPr>
              <w:t>Section 7.02</w:t>
            </w:r>
            <w:r>
              <w:rPr>
                <w:rFonts w:asciiTheme="minorHAnsi" w:eastAsiaTheme="minorEastAsia" w:hAnsiTheme="minorHAnsi"/>
                <w:noProof/>
                <w:kern w:val="2"/>
                <w:sz w:val="24"/>
                <w:szCs w:val="24"/>
                <w:lang w:eastAsia="fr-FR"/>
                <w14:ligatures w14:val="standardContextual"/>
              </w:rPr>
              <w:tab/>
            </w:r>
            <w:r w:rsidRPr="00FB131D">
              <w:rPr>
                <w:rStyle w:val="Lienhypertexte"/>
                <w:noProof/>
              </w:rPr>
              <w:t>Modalités de paiement direct</w:t>
            </w:r>
            <w:r>
              <w:rPr>
                <w:noProof/>
                <w:webHidden/>
              </w:rPr>
              <w:tab/>
            </w:r>
            <w:r>
              <w:rPr>
                <w:noProof/>
                <w:webHidden/>
              </w:rPr>
              <w:fldChar w:fldCharType="begin"/>
            </w:r>
            <w:r>
              <w:rPr>
                <w:noProof/>
                <w:webHidden/>
              </w:rPr>
              <w:instrText xml:space="preserve"> PAGEREF _Toc192686196 \h </w:instrText>
            </w:r>
            <w:r>
              <w:rPr>
                <w:noProof/>
                <w:webHidden/>
              </w:rPr>
            </w:r>
            <w:r>
              <w:rPr>
                <w:noProof/>
                <w:webHidden/>
              </w:rPr>
              <w:fldChar w:fldCharType="separate"/>
            </w:r>
            <w:r>
              <w:rPr>
                <w:noProof/>
                <w:webHidden/>
              </w:rPr>
              <w:t>7</w:t>
            </w:r>
            <w:r>
              <w:rPr>
                <w:noProof/>
                <w:webHidden/>
              </w:rPr>
              <w:fldChar w:fldCharType="end"/>
            </w:r>
          </w:hyperlink>
        </w:p>
        <w:p w14:paraId="76D00401" w14:textId="75473195"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97" w:history="1">
            <w:r w:rsidRPr="00FB131D">
              <w:rPr>
                <w:rStyle w:val="Lienhypertexte"/>
                <w:noProof/>
              </w:rPr>
              <w:t>Section 7.03</w:t>
            </w:r>
            <w:r>
              <w:rPr>
                <w:rFonts w:asciiTheme="minorHAnsi" w:eastAsiaTheme="minorEastAsia" w:hAnsiTheme="minorHAnsi"/>
                <w:noProof/>
                <w:kern w:val="2"/>
                <w:sz w:val="24"/>
                <w:szCs w:val="24"/>
                <w:lang w:eastAsia="fr-FR"/>
                <w14:ligatures w14:val="standardContextual"/>
              </w:rPr>
              <w:tab/>
            </w:r>
            <w:r w:rsidRPr="00FB131D">
              <w:rPr>
                <w:rStyle w:val="Lienhypertexte"/>
                <w:noProof/>
              </w:rPr>
              <w:t>Cession de marché</w:t>
            </w:r>
            <w:r>
              <w:rPr>
                <w:noProof/>
                <w:webHidden/>
              </w:rPr>
              <w:tab/>
            </w:r>
            <w:r>
              <w:rPr>
                <w:noProof/>
                <w:webHidden/>
              </w:rPr>
              <w:fldChar w:fldCharType="begin"/>
            </w:r>
            <w:r>
              <w:rPr>
                <w:noProof/>
                <w:webHidden/>
              </w:rPr>
              <w:instrText xml:space="preserve"> PAGEREF _Toc192686197 \h </w:instrText>
            </w:r>
            <w:r>
              <w:rPr>
                <w:noProof/>
                <w:webHidden/>
              </w:rPr>
            </w:r>
            <w:r>
              <w:rPr>
                <w:noProof/>
                <w:webHidden/>
              </w:rPr>
              <w:fldChar w:fldCharType="separate"/>
            </w:r>
            <w:r>
              <w:rPr>
                <w:noProof/>
                <w:webHidden/>
              </w:rPr>
              <w:t>7</w:t>
            </w:r>
            <w:r>
              <w:rPr>
                <w:noProof/>
                <w:webHidden/>
              </w:rPr>
              <w:fldChar w:fldCharType="end"/>
            </w:r>
          </w:hyperlink>
        </w:p>
        <w:p w14:paraId="2536860A" w14:textId="7ED16C28"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198" w:history="1">
            <w:r w:rsidRPr="00FB131D">
              <w:rPr>
                <w:rStyle w:val="Lienhypertexte"/>
                <w:noProof/>
              </w:rPr>
              <w:t>Article VIII.</w:t>
            </w:r>
            <w:r>
              <w:rPr>
                <w:rFonts w:asciiTheme="minorHAnsi" w:eastAsiaTheme="minorEastAsia" w:hAnsiTheme="minorHAnsi"/>
                <w:noProof/>
                <w:kern w:val="2"/>
                <w:sz w:val="24"/>
                <w:szCs w:val="24"/>
                <w:lang w:eastAsia="fr-FR"/>
                <w14:ligatures w14:val="standardContextual"/>
              </w:rPr>
              <w:tab/>
            </w:r>
            <w:r w:rsidRPr="00FB131D">
              <w:rPr>
                <w:rStyle w:val="Lienhypertexte"/>
                <w:noProof/>
              </w:rPr>
              <w:t>CONTROLE ET RECEPTION DES PRESTATIONS – REFACTIONS PARTIELLES et/ou GENERALES</w:t>
            </w:r>
            <w:r>
              <w:rPr>
                <w:noProof/>
                <w:webHidden/>
              </w:rPr>
              <w:tab/>
            </w:r>
            <w:r>
              <w:rPr>
                <w:noProof/>
                <w:webHidden/>
              </w:rPr>
              <w:fldChar w:fldCharType="begin"/>
            </w:r>
            <w:r>
              <w:rPr>
                <w:noProof/>
                <w:webHidden/>
              </w:rPr>
              <w:instrText xml:space="preserve"> PAGEREF _Toc192686198 \h </w:instrText>
            </w:r>
            <w:r>
              <w:rPr>
                <w:noProof/>
                <w:webHidden/>
              </w:rPr>
            </w:r>
            <w:r>
              <w:rPr>
                <w:noProof/>
                <w:webHidden/>
              </w:rPr>
              <w:fldChar w:fldCharType="separate"/>
            </w:r>
            <w:r>
              <w:rPr>
                <w:noProof/>
                <w:webHidden/>
              </w:rPr>
              <w:t>8</w:t>
            </w:r>
            <w:r>
              <w:rPr>
                <w:noProof/>
                <w:webHidden/>
              </w:rPr>
              <w:fldChar w:fldCharType="end"/>
            </w:r>
          </w:hyperlink>
        </w:p>
        <w:p w14:paraId="37C0E1DC" w14:textId="1BB52EC4"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199" w:history="1">
            <w:r w:rsidRPr="00FB131D">
              <w:rPr>
                <w:rStyle w:val="Lienhypertexte"/>
                <w:noProof/>
              </w:rPr>
              <w:t>Section 8.01</w:t>
            </w:r>
            <w:r>
              <w:rPr>
                <w:rFonts w:asciiTheme="minorHAnsi" w:eastAsiaTheme="minorEastAsia" w:hAnsiTheme="minorHAnsi"/>
                <w:noProof/>
                <w:kern w:val="2"/>
                <w:sz w:val="24"/>
                <w:szCs w:val="24"/>
                <w:lang w:eastAsia="fr-FR"/>
                <w14:ligatures w14:val="standardContextual"/>
              </w:rPr>
              <w:tab/>
            </w:r>
            <w:r w:rsidRPr="00FB131D">
              <w:rPr>
                <w:rStyle w:val="Lienhypertexte"/>
                <w:noProof/>
              </w:rPr>
              <w:t>Résultats des contrôles</w:t>
            </w:r>
            <w:r>
              <w:rPr>
                <w:noProof/>
                <w:webHidden/>
              </w:rPr>
              <w:tab/>
            </w:r>
            <w:r>
              <w:rPr>
                <w:noProof/>
                <w:webHidden/>
              </w:rPr>
              <w:fldChar w:fldCharType="begin"/>
            </w:r>
            <w:r>
              <w:rPr>
                <w:noProof/>
                <w:webHidden/>
              </w:rPr>
              <w:instrText xml:space="preserve"> PAGEREF _Toc192686199 \h </w:instrText>
            </w:r>
            <w:r>
              <w:rPr>
                <w:noProof/>
                <w:webHidden/>
              </w:rPr>
            </w:r>
            <w:r>
              <w:rPr>
                <w:noProof/>
                <w:webHidden/>
              </w:rPr>
              <w:fldChar w:fldCharType="separate"/>
            </w:r>
            <w:r>
              <w:rPr>
                <w:noProof/>
                <w:webHidden/>
              </w:rPr>
              <w:t>8</w:t>
            </w:r>
            <w:r>
              <w:rPr>
                <w:noProof/>
                <w:webHidden/>
              </w:rPr>
              <w:fldChar w:fldCharType="end"/>
            </w:r>
          </w:hyperlink>
        </w:p>
        <w:p w14:paraId="7DA57F8C" w14:textId="67F7F080"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200" w:history="1">
            <w:r w:rsidRPr="00FB131D">
              <w:rPr>
                <w:rStyle w:val="Lienhypertexte"/>
                <w:noProof/>
              </w:rPr>
              <w:t>Section 8.02</w:t>
            </w:r>
            <w:r>
              <w:rPr>
                <w:rFonts w:asciiTheme="minorHAnsi" w:eastAsiaTheme="minorEastAsia" w:hAnsiTheme="minorHAnsi"/>
                <w:noProof/>
                <w:kern w:val="2"/>
                <w:sz w:val="24"/>
                <w:szCs w:val="24"/>
                <w:lang w:eastAsia="fr-FR"/>
                <w14:ligatures w14:val="standardContextual"/>
              </w:rPr>
              <w:tab/>
            </w:r>
            <w:r w:rsidRPr="00FB131D">
              <w:rPr>
                <w:rStyle w:val="Lienhypertexte"/>
                <w:noProof/>
              </w:rPr>
              <w:t>Réfactions diverses</w:t>
            </w:r>
            <w:r>
              <w:rPr>
                <w:noProof/>
                <w:webHidden/>
              </w:rPr>
              <w:tab/>
            </w:r>
            <w:r>
              <w:rPr>
                <w:noProof/>
                <w:webHidden/>
              </w:rPr>
              <w:fldChar w:fldCharType="begin"/>
            </w:r>
            <w:r>
              <w:rPr>
                <w:noProof/>
                <w:webHidden/>
              </w:rPr>
              <w:instrText xml:space="preserve"> PAGEREF _Toc192686200 \h </w:instrText>
            </w:r>
            <w:r>
              <w:rPr>
                <w:noProof/>
                <w:webHidden/>
              </w:rPr>
            </w:r>
            <w:r>
              <w:rPr>
                <w:noProof/>
                <w:webHidden/>
              </w:rPr>
              <w:fldChar w:fldCharType="separate"/>
            </w:r>
            <w:r>
              <w:rPr>
                <w:noProof/>
                <w:webHidden/>
              </w:rPr>
              <w:t>8</w:t>
            </w:r>
            <w:r>
              <w:rPr>
                <w:noProof/>
                <w:webHidden/>
              </w:rPr>
              <w:fldChar w:fldCharType="end"/>
            </w:r>
          </w:hyperlink>
        </w:p>
        <w:p w14:paraId="511B1AC4" w14:textId="19302828"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201" w:history="1">
            <w:r w:rsidRPr="00FB131D">
              <w:rPr>
                <w:rStyle w:val="Lienhypertexte"/>
                <w:noProof/>
              </w:rPr>
              <w:t>Section 8.03</w:t>
            </w:r>
            <w:r>
              <w:rPr>
                <w:rFonts w:asciiTheme="minorHAnsi" w:eastAsiaTheme="minorEastAsia" w:hAnsiTheme="minorHAnsi"/>
                <w:noProof/>
                <w:kern w:val="2"/>
                <w:sz w:val="24"/>
                <w:szCs w:val="24"/>
                <w:lang w:eastAsia="fr-FR"/>
                <w14:ligatures w14:val="standardContextual"/>
              </w:rPr>
              <w:tab/>
            </w:r>
            <w:r w:rsidRPr="00FB131D">
              <w:rPr>
                <w:rStyle w:val="Lienhypertexte"/>
                <w:noProof/>
              </w:rPr>
              <w:t>Présentation mensuelle du tableau synthétique de suivi des services faits</w:t>
            </w:r>
            <w:r>
              <w:rPr>
                <w:noProof/>
                <w:webHidden/>
              </w:rPr>
              <w:tab/>
            </w:r>
            <w:r>
              <w:rPr>
                <w:noProof/>
                <w:webHidden/>
              </w:rPr>
              <w:fldChar w:fldCharType="begin"/>
            </w:r>
            <w:r>
              <w:rPr>
                <w:noProof/>
                <w:webHidden/>
              </w:rPr>
              <w:instrText xml:space="preserve"> PAGEREF _Toc192686201 \h </w:instrText>
            </w:r>
            <w:r>
              <w:rPr>
                <w:noProof/>
                <w:webHidden/>
              </w:rPr>
            </w:r>
            <w:r>
              <w:rPr>
                <w:noProof/>
                <w:webHidden/>
              </w:rPr>
              <w:fldChar w:fldCharType="separate"/>
            </w:r>
            <w:r>
              <w:rPr>
                <w:noProof/>
                <w:webHidden/>
              </w:rPr>
              <w:t>8</w:t>
            </w:r>
            <w:r>
              <w:rPr>
                <w:noProof/>
                <w:webHidden/>
              </w:rPr>
              <w:fldChar w:fldCharType="end"/>
            </w:r>
          </w:hyperlink>
        </w:p>
        <w:p w14:paraId="17DEA341" w14:textId="7934DCF0"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202" w:history="1">
            <w:r w:rsidRPr="00FB131D">
              <w:rPr>
                <w:rStyle w:val="Lienhypertexte"/>
                <w:noProof/>
              </w:rPr>
              <w:t>Section 8.04</w:t>
            </w:r>
            <w:r>
              <w:rPr>
                <w:rFonts w:asciiTheme="minorHAnsi" w:eastAsiaTheme="minorEastAsia" w:hAnsiTheme="minorHAnsi"/>
                <w:noProof/>
                <w:kern w:val="2"/>
                <w:sz w:val="24"/>
                <w:szCs w:val="24"/>
                <w:lang w:eastAsia="fr-FR"/>
                <w14:ligatures w14:val="standardContextual"/>
              </w:rPr>
              <w:tab/>
            </w:r>
            <w:r w:rsidRPr="00FB131D">
              <w:rPr>
                <w:rStyle w:val="Lienhypertexte"/>
                <w:noProof/>
              </w:rPr>
              <w:t>Contrôle par audit.</w:t>
            </w:r>
            <w:r>
              <w:rPr>
                <w:noProof/>
                <w:webHidden/>
              </w:rPr>
              <w:tab/>
            </w:r>
            <w:r>
              <w:rPr>
                <w:noProof/>
                <w:webHidden/>
              </w:rPr>
              <w:fldChar w:fldCharType="begin"/>
            </w:r>
            <w:r>
              <w:rPr>
                <w:noProof/>
                <w:webHidden/>
              </w:rPr>
              <w:instrText xml:space="preserve"> PAGEREF _Toc192686202 \h </w:instrText>
            </w:r>
            <w:r>
              <w:rPr>
                <w:noProof/>
                <w:webHidden/>
              </w:rPr>
            </w:r>
            <w:r>
              <w:rPr>
                <w:noProof/>
                <w:webHidden/>
              </w:rPr>
              <w:fldChar w:fldCharType="separate"/>
            </w:r>
            <w:r>
              <w:rPr>
                <w:noProof/>
                <w:webHidden/>
              </w:rPr>
              <w:t>9</w:t>
            </w:r>
            <w:r>
              <w:rPr>
                <w:noProof/>
                <w:webHidden/>
              </w:rPr>
              <w:fldChar w:fldCharType="end"/>
            </w:r>
          </w:hyperlink>
        </w:p>
        <w:p w14:paraId="5329A41E" w14:textId="5F9B09E9"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203" w:history="1">
            <w:r w:rsidRPr="00FB131D">
              <w:rPr>
                <w:rStyle w:val="Lienhypertexte"/>
                <w:noProof/>
              </w:rPr>
              <w:t>Article IX.</w:t>
            </w:r>
            <w:r>
              <w:rPr>
                <w:rFonts w:asciiTheme="minorHAnsi" w:eastAsiaTheme="minorEastAsia" w:hAnsiTheme="minorHAnsi"/>
                <w:noProof/>
                <w:kern w:val="2"/>
                <w:sz w:val="24"/>
                <w:szCs w:val="24"/>
                <w:lang w:eastAsia="fr-FR"/>
                <w14:ligatures w14:val="standardContextual"/>
              </w:rPr>
              <w:tab/>
            </w:r>
            <w:r w:rsidRPr="00FB131D">
              <w:rPr>
                <w:rStyle w:val="Lienhypertexte"/>
                <w:noProof/>
              </w:rPr>
              <w:t>PRIX - PAIEMENT - ETABLISSEMENT DE LA FACTURE</w:t>
            </w:r>
            <w:r>
              <w:rPr>
                <w:noProof/>
                <w:webHidden/>
              </w:rPr>
              <w:tab/>
            </w:r>
            <w:r>
              <w:rPr>
                <w:noProof/>
                <w:webHidden/>
              </w:rPr>
              <w:fldChar w:fldCharType="begin"/>
            </w:r>
            <w:r>
              <w:rPr>
                <w:noProof/>
                <w:webHidden/>
              </w:rPr>
              <w:instrText xml:space="preserve"> PAGEREF _Toc192686203 \h </w:instrText>
            </w:r>
            <w:r>
              <w:rPr>
                <w:noProof/>
                <w:webHidden/>
              </w:rPr>
            </w:r>
            <w:r>
              <w:rPr>
                <w:noProof/>
                <w:webHidden/>
              </w:rPr>
              <w:fldChar w:fldCharType="separate"/>
            </w:r>
            <w:r>
              <w:rPr>
                <w:noProof/>
                <w:webHidden/>
              </w:rPr>
              <w:t>9</w:t>
            </w:r>
            <w:r>
              <w:rPr>
                <w:noProof/>
                <w:webHidden/>
              </w:rPr>
              <w:fldChar w:fldCharType="end"/>
            </w:r>
          </w:hyperlink>
        </w:p>
        <w:p w14:paraId="7F89F2E1" w14:textId="586A134B"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204" w:history="1">
            <w:r w:rsidRPr="00FB131D">
              <w:rPr>
                <w:rStyle w:val="Lienhypertexte"/>
                <w:noProof/>
              </w:rPr>
              <w:t>Section 9.01</w:t>
            </w:r>
            <w:r>
              <w:rPr>
                <w:rFonts w:asciiTheme="minorHAnsi" w:eastAsiaTheme="minorEastAsia" w:hAnsiTheme="minorHAnsi"/>
                <w:noProof/>
                <w:kern w:val="2"/>
                <w:sz w:val="24"/>
                <w:szCs w:val="24"/>
                <w:lang w:eastAsia="fr-FR"/>
                <w14:ligatures w14:val="standardContextual"/>
              </w:rPr>
              <w:tab/>
            </w:r>
            <w:r w:rsidRPr="00FB131D">
              <w:rPr>
                <w:rStyle w:val="Lienhypertexte"/>
                <w:noProof/>
              </w:rPr>
              <w:t>Formes des prix :</w:t>
            </w:r>
            <w:r>
              <w:rPr>
                <w:noProof/>
                <w:webHidden/>
              </w:rPr>
              <w:tab/>
            </w:r>
            <w:r>
              <w:rPr>
                <w:noProof/>
                <w:webHidden/>
              </w:rPr>
              <w:fldChar w:fldCharType="begin"/>
            </w:r>
            <w:r>
              <w:rPr>
                <w:noProof/>
                <w:webHidden/>
              </w:rPr>
              <w:instrText xml:space="preserve"> PAGEREF _Toc192686204 \h </w:instrText>
            </w:r>
            <w:r>
              <w:rPr>
                <w:noProof/>
                <w:webHidden/>
              </w:rPr>
            </w:r>
            <w:r>
              <w:rPr>
                <w:noProof/>
                <w:webHidden/>
              </w:rPr>
              <w:fldChar w:fldCharType="separate"/>
            </w:r>
            <w:r>
              <w:rPr>
                <w:noProof/>
                <w:webHidden/>
              </w:rPr>
              <w:t>9</w:t>
            </w:r>
            <w:r>
              <w:rPr>
                <w:noProof/>
                <w:webHidden/>
              </w:rPr>
              <w:fldChar w:fldCharType="end"/>
            </w:r>
          </w:hyperlink>
        </w:p>
        <w:p w14:paraId="6A3795BA" w14:textId="42387D7D"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205" w:history="1">
            <w:r w:rsidRPr="00FB131D">
              <w:rPr>
                <w:rStyle w:val="Lienhypertexte"/>
                <w:noProof/>
              </w:rPr>
              <w:t>Section 9.02</w:t>
            </w:r>
            <w:r>
              <w:rPr>
                <w:rFonts w:asciiTheme="minorHAnsi" w:eastAsiaTheme="minorEastAsia" w:hAnsiTheme="minorHAnsi"/>
                <w:noProof/>
                <w:kern w:val="2"/>
                <w:sz w:val="24"/>
                <w:szCs w:val="24"/>
                <w:lang w:eastAsia="fr-FR"/>
                <w14:ligatures w14:val="standardContextual"/>
              </w:rPr>
              <w:tab/>
            </w:r>
            <w:r w:rsidRPr="00FB131D">
              <w:rPr>
                <w:rStyle w:val="Lienhypertexte"/>
                <w:noProof/>
              </w:rPr>
              <w:t>: Contenu des prix :</w:t>
            </w:r>
            <w:r>
              <w:rPr>
                <w:noProof/>
                <w:webHidden/>
              </w:rPr>
              <w:tab/>
            </w:r>
            <w:r>
              <w:rPr>
                <w:noProof/>
                <w:webHidden/>
              </w:rPr>
              <w:fldChar w:fldCharType="begin"/>
            </w:r>
            <w:r>
              <w:rPr>
                <w:noProof/>
                <w:webHidden/>
              </w:rPr>
              <w:instrText xml:space="preserve"> PAGEREF _Toc192686205 \h </w:instrText>
            </w:r>
            <w:r>
              <w:rPr>
                <w:noProof/>
                <w:webHidden/>
              </w:rPr>
            </w:r>
            <w:r>
              <w:rPr>
                <w:noProof/>
                <w:webHidden/>
              </w:rPr>
              <w:fldChar w:fldCharType="separate"/>
            </w:r>
            <w:r>
              <w:rPr>
                <w:noProof/>
                <w:webHidden/>
              </w:rPr>
              <w:t>9</w:t>
            </w:r>
            <w:r>
              <w:rPr>
                <w:noProof/>
                <w:webHidden/>
              </w:rPr>
              <w:fldChar w:fldCharType="end"/>
            </w:r>
          </w:hyperlink>
        </w:p>
        <w:p w14:paraId="7177E14D" w14:textId="01CFE18E"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206" w:history="1">
            <w:r w:rsidRPr="00FB131D">
              <w:rPr>
                <w:rStyle w:val="Lienhypertexte"/>
                <w:noProof/>
              </w:rPr>
              <w:t>Section 9.03</w:t>
            </w:r>
            <w:r>
              <w:rPr>
                <w:rFonts w:asciiTheme="minorHAnsi" w:eastAsiaTheme="minorEastAsia" w:hAnsiTheme="minorHAnsi"/>
                <w:noProof/>
                <w:kern w:val="2"/>
                <w:sz w:val="24"/>
                <w:szCs w:val="24"/>
                <w:lang w:eastAsia="fr-FR"/>
                <w14:ligatures w14:val="standardContextual"/>
              </w:rPr>
              <w:tab/>
            </w:r>
            <w:r w:rsidRPr="00FB131D">
              <w:rPr>
                <w:rStyle w:val="Lienhypertexte"/>
                <w:noProof/>
              </w:rPr>
              <w:t>Paiement – Facture :</w:t>
            </w:r>
            <w:r>
              <w:rPr>
                <w:noProof/>
                <w:webHidden/>
              </w:rPr>
              <w:tab/>
            </w:r>
            <w:r>
              <w:rPr>
                <w:noProof/>
                <w:webHidden/>
              </w:rPr>
              <w:fldChar w:fldCharType="begin"/>
            </w:r>
            <w:r>
              <w:rPr>
                <w:noProof/>
                <w:webHidden/>
              </w:rPr>
              <w:instrText xml:space="preserve"> PAGEREF _Toc192686206 \h </w:instrText>
            </w:r>
            <w:r>
              <w:rPr>
                <w:noProof/>
                <w:webHidden/>
              </w:rPr>
            </w:r>
            <w:r>
              <w:rPr>
                <w:noProof/>
                <w:webHidden/>
              </w:rPr>
              <w:fldChar w:fldCharType="separate"/>
            </w:r>
            <w:r>
              <w:rPr>
                <w:noProof/>
                <w:webHidden/>
              </w:rPr>
              <w:t>9</w:t>
            </w:r>
            <w:r>
              <w:rPr>
                <w:noProof/>
                <w:webHidden/>
              </w:rPr>
              <w:fldChar w:fldCharType="end"/>
            </w:r>
          </w:hyperlink>
        </w:p>
        <w:p w14:paraId="1F0B33EC" w14:textId="22EC7996" w:rsidR="00926B0A" w:rsidRDefault="00926B0A">
          <w:pPr>
            <w:pStyle w:val="TM2"/>
            <w:rPr>
              <w:rFonts w:asciiTheme="minorHAnsi" w:eastAsiaTheme="minorEastAsia" w:hAnsiTheme="minorHAnsi"/>
              <w:noProof/>
              <w:kern w:val="2"/>
              <w:sz w:val="24"/>
              <w:szCs w:val="24"/>
              <w:lang w:eastAsia="fr-FR"/>
              <w14:ligatures w14:val="standardContextual"/>
            </w:rPr>
          </w:pPr>
          <w:hyperlink w:anchor="_Toc192686207" w:history="1">
            <w:r w:rsidRPr="00FB131D">
              <w:rPr>
                <w:rStyle w:val="Lienhypertexte"/>
                <w:noProof/>
              </w:rPr>
              <w:t>Section 9.04</w:t>
            </w:r>
            <w:r>
              <w:rPr>
                <w:rFonts w:asciiTheme="minorHAnsi" w:eastAsiaTheme="minorEastAsia" w:hAnsiTheme="minorHAnsi"/>
                <w:noProof/>
                <w:kern w:val="2"/>
                <w:sz w:val="24"/>
                <w:szCs w:val="24"/>
                <w:lang w:eastAsia="fr-FR"/>
                <w14:ligatures w14:val="standardContextual"/>
              </w:rPr>
              <w:tab/>
            </w:r>
            <w:r w:rsidRPr="00FB131D">
              <w:rPr>
                <w:rStyle w:val="Lienhypertexte"/>
                <w:noProof/>
              </w:rPr>
              <w:t>Révision des prix</w:t>
            </w:r>
            <w:r>
              <w:rPr>
                <w:noProof/>
                <w:webHidden/>
              </w:rPr>
              <w:tab/>
            </w:r>
            <w:r>
              <w:rPr>
                <w:noProof/>
                <w:webHidden/>
              </w:rPr>
              <w:fldChar w:fldCharType="begin"/>
            </w:r>
            <w:r>
              <w:rPr>
                <w:noProof/>
                <w:webHidden/>
              </w:rPr>
              <w:instrText xml:space="preserve"> PAGEREF _Toc192686207 \h </w:instrText>
            </w:r>
            <w:r>
              <w:rPr>
                <w:noProof/>
                <w:webHidden/>
              </w:rPr>
            </w:r>
            <w:r>
              <w:rPr>
                <w:noProof/>
                <w:webHidden/>
              </w:rPr>
              <w:fldChar w:fldCharType="separate"/>
            </w:r>
            <w:r>
              <w:rPr>
                <w:noProof/>
                <w:webHidden/>
              </w:rPr>
              <w:t>10</w:t>
            </w:r>
            <w:r>
              <w:rPr>
                <w:noProof/>
                <w:webHidden/>
              </w:rPr>
              <w:fldChar w:fldCharType="end"/>
            </w:r>
          </w:hyperlink>
        </w:p>
        <w:p w14:paraId="0BD39C69" w14:textId="7B0D757C"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208" w:history="1">
            <w:r w:rsidRPr="00FB131D">
              <w:rPr>
                <w:rStyle w:val="Lienhypertexte"/>
                <w:noProof/>
              </w:rPr>
              <w:t>Article X.</w:t>
            </w:r>
            <w:r>
              <w:rPr>
                <w:rFonts w:asciiTheme="minorHAnsi" w:eastAsiaTheme="minorEastAsia" w:hAnsiTheme="minorHAnsi"/>
                <w:noProof/>
                <w:kern w:val="2"/>
                <w:sz w:val="24"/>
                <w:szCs w:val="24"/>
                <w:lang w:eastAsia="fr-FR"/>
                <w14:ligatures w14:val="standardContextual"/>
              </w:rPr>
              <w:tab/>
            </w:r>
            <w:r w:rsidRPr="00FB131D">
              <w:rPr>
                <w:rStyle w:val="Lienhypertexte"/>
                <w:noProof/>
              </w:rPr>
              <w:t>PENALITES ou REFACTIONS</w:t>
            </w:r>
            <w:r>
              <w:rPr>
                <w:noProof/>
                <w:webHidden/>
              </w:rPr>
              <w:tab/>
            </w:r>
            <w:r>
              <w:rPr>
                <w:noProof/>
                <w:webHidden/>
              </w:rPr>
              <w:fldChar w:fldCharType="begin"/>
            </w:r>
            <w:r>
              <w:rPr>
                <w:noProof/>
                <w:webHidden/>
              </w:rPr>
              <w:instrText xml:space="preserve"> PAGEREF _Toc192686208 \h </w:instrText>
            </w:r>
            <w:r>
              <w:rPr>
                <w:noProof/>
                <w:webHidden/>
              </w:rPr>
            </w:r>
            <w:r>
              <w:rPr>
                <w:noProof/>
                <w:webHidden/>
              </w:rPr>
              <w:fldChar w:fldCharType="separate"/>
            </w:r>
            <w:r>
              <w:rPr>
                <w:noProof/>
                <w:webHidden/>
              </w:rPr>
              <w:t>10</w:t>
            </w:r>
            <w:r>
              <w:rPr>
                <w:noProof/>
                <w:webHidden/>
              </w:rPr>
              <w:fldChar w:fldCharType="end"/>
            </w:r>
          </w:hyperlink>
        </w:p>
        <w:p w14:paraId="50241A0C" w14:textId="49BEDF2E"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209" w:history="1">
            <w:r w:rsidRPr="00FB131D">
              <w:rPr>
                <w:rStyle w:val="Lienhypertexte"/>
                <w:noProof/>
              </w:rPr>
              <w:t>Article XI.</w:t>
            </w:r>
            <w:r>
              <w:rPr>
                <w:rFonts w:asciiTheme="minorHAnsi" w:eastAsiaTheme="minorEastAsia" w:hAnsiTheme="minorHAnsi"/>
                <w:noProof/>
                <w:kern w:val="2"/>
                <w:sz w:val="24"/>
                <w:szCs w:val="24"/>
                <w:lang w:eastAsia="fr-FR"/>
                <w14:ligatures w14:val="standardContextual"/>
              </w:rPr>
              <w:tab/>
            </w:r>
            <w:r w:rsidRPr="00FB131D">
              <w:rPr>
                <w:rStyle w:val="Lienhypertexte"/>
                <w:noProof/>
              </w:rPr>
              <w:t>CLAUSE DE CONFIDENTIALITE</w:t>
            </w:r>
            <w:r>
              <w:rPr>
                <w:noProof/>
                <w:webHidden/>
              </w:rPr>
              <w:tab/>
            </w:r>
            <w:r>
              <w:rPr>
                <w:noProof/>
                <w:webHidden/>
              </w:rPr>
              <w:fldChar w:fldCharType="begin"/>
            </w:r>
            <w:r>
              <w:rPr>
                <w:noProof/>
                <w:webHidden/>
              </w:rPr>
              <w:instrText xml:space="preserve"> PAGEREF _Toc192686209 \h </w:instrText>
            </w:r>
            <w:r>
              <w:rPr>
                <w:noProof/>
                <w:webHidden/>
              </w:rPr>
            </w:r>
            <w:r>
              <w:rPr>
                <w:noProof/>
                <w:webHidden/>
              </w:rPr>
              <w:fldChar w:fldCharType="separate"/>
            </w:r>
            <w:r>
              <w:rPr>
                <w:noProof/>
                <w:webHidden/>
              </w:rPr>
              <w:t>11</w:t>
            </w:r>
            <w:r>
              <w:rPr>
                <w:noProof/>
                <w:webHidden/>
              </w:rPr>
              <w:fldChar w:fldCharType="end"/>
            </w:r>
          </w:hyperlink>
        </w:p>
        <w:p w14:paraId="14081727" w14:textId="5444FF46"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210" w:history="1">
            <w:r w:rsidRPr="00FB131D">
              <w:rPr>
                <w:rStyle w:val="Lienhypertexte"/>
                <w:noProof/>
              </w:rPr>
              <w:t>Article XII.</w:t>
            </w:r>
            <w:r>
              <w:rPr>
                <w:rFonts w:asciiTheme="minorHAnsi" w:eastAsiaTheme="minorEastAsia" w:hAnsiTheme="minorHAnsi"/>
                <w:noProof/>
                <w:kern w:val="2"/>
                <w:sz w:val="24"/>
                <w:szCs w:val="24"/>
                <w:lang w:eastAsia="fr-FR"/>
                <w14:ligatures w14:val="standardContextual"/>
              </w:rPr>
              <w:tab/>
            </w:r>
            <w:r w:rsidRPr="00FB131D">
              <w:rPr>
                <w:rStyle w:val="Lienhypertexte"/>
                <w:noProof/>
              </w:rPr>
              <w:t>RESILIATION</w:t>
            </w:r>
            <w:r>
              <w:rPr>
                <w:noProof/>
                <w:webHidden/>
              </w:rPr>
              <w:tab/>
            </w:r>
            <w:r>
              <w:rPr>
                <w:noProof/>
                <w:webHidden/>
              </w:rPr>
              <w:fldChar w:fldCharType="begin"/>
            </w:r>
            <w:r>
              <w:rPr>
                <w:noProof/>
                <w:webHidden/>
              </w:rPr>
              <w:instrText xml:space="preserve"> PAGEREF _Toc192686210 \h </w:instrText>
            </w:r>
            <w:r>
              <w:rPr>
                <w:noProof/>
                <w:webHidden/>
              </w:rPr>
            </w:r>
            <w:r>
              <w:rPr>
                <w:noProof/>
                <w:webHidden/>
              </w:rPr>
              <w:fldChar w:fldCharType="separate"/>
            </w:r>
            <w:r>
              <w:rPr>
                <w:noProof/>
                <w:webHidden/>
              </w:rPr>
              <w:t>11</w:t>
            </w:r>
            <w:r>
              <w:rPr>
                <w:noProof/>
                <w:webHidden/>
              </w:rPr>
              <w:fldChar w:fldCharType="end"/>
            </w:r>
          </w:hyperlink>
        </w:p>
        <w:p w14:paraId="156CF003" w14:textId="14BA0188"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211" w:history="1">
            <w:r w:rsidRPr="00FB131D">
              <w:rPr>
                <w:rStyle w:val="Lienhypertexte"/>
                <w:noProof/>
              </w:rPr>
              <w:t>Article XIII.</w:t>
            </w:r>
            <w:r>
              <w:rPr>
                <w:rFonts w:asciiTheme="minorHAnsi" w:eastAsiaTheme="minorEastAsia" w:hAnsiTheme="minorHAnsi"/>
                <w:noProof/>
                <w:kern w:val="2"/>
                <w:sz w:val="24"/>
                <w:szCs w:val="24"/>
                <w:lang w:eastAsia="fr-FR"/>
                <w14:ligatures w14:val="standardContextual"/>
              </w:rPr>
              <w:tab/>
            </w:r>
            <w:r w:rsidRPr="00FB131D">
              <w:rPr>
                <w:rStyle w:val="Lienhypertexte"/>
                <w:noProof/>
              </w:rPr>
              <w:t>DIFFERENDS ET LITIGES</w:t>
            </w:r>
            <w:r>
              <w:rPr>
                <w:noProof/>
                <w:webHidden/>
              </w:rPr>
              <w:tab/>
            </w:r>
            <w:r>
              <w:rPr>
                <w:noProof/>
                <w:webHidden/>
              </w:rPr>
              <w:fldChar w:fldCharType="begin"/>
            </w:r>
            <w:r>
              <w:rPr>
                <w:noProof/>
                <w:webHidden/>
              </w:rPr>
              <w:instrText xml:space="preserve"> PAGEREF _Toc192686211 \h </w:instrText>
            </w:r>
            <w:r>
              <w:rPr>
                <w:noProof/>
                <w:webHidden/>
              </w:rPr>
            </w:r>
            <w:r>
              <w:rPr>
                <w:noProof/>
                <w:webHidden/>
              </w:rPr>
              <w:fldChar w:fldCharType="separate"/>
            </w:r>
            <w:r>
              <w:rPr>
                <w:noProof/>
                <w:webHidden/>
              </w:rPr>
              <w:t>12</w:t>
            </w:r>
            <w:r>
              <w:rPr>
                <w:noProof/>
                <w:webHidden/>
              </w:rPr>
              <w:fldChar w:fldCharType="end"/>
            </w:r>
          </w:hyperlink>
        </w:p>
        <w:p w14:paraId="0F406973" w14:textId="092FE510" w:rsidR="00926B0A" w:rsidRDefault="00926B0A">
          <w:pPr>
            <w:pStyle w:val="TM1"/>
            <w:rPr>
              <w:rFonts w:asciiTheme="minorHAnsi" w:eastAsiaTheme="minorEastAsia" w:hAnsiTheme="minorHAnsi"/>
              <w:noProof/>
              <w:kern w:val="2"/>
              <w:sz w:val="24"/>
              <w:szCs w:val="24"/>
              <w:lang w:eastAsia="fr-FR"/>
              <w14:ligatures w14:val="standardContextual"/>
            </w:rPr>
          </w:pPr>
          <w:hyperlink w:anchor="_Toc192686212" w:history="1">
            <w:r w:rsidRPr="00FB131D">
              <w:rPr>
                <w:rStyle w:val="Lienhypertexte"/>
                <w:noProof/>
              </w:rPr>
              <w:t>Article XIV.</w:t>
            </w:r>
            <w:r>
              <w:rPr>
                <w:rFonts w:asciiTheme="minorHAnsi" w:eastAsiaTheme="minorEastAsia" w:hAnsiTheme="minorHAnsi"/>
                <w:noProof/>
                <w:kern w:val="2"/>
                <w:sz w:val="24"/>
                <w:szCs w:val="24"/>
                <w:lang w:eastAsia="fr-FR"/>
                <w14:ligatures w14:val="standardContextual"/>
              </w:rPr>
              <w:tab/>
            </w:r>
            <w:r w:rsidRPr="00FB131D">
              <w:rPr>
                <w:rStyle w:val="Lienhypertexte"/>
                <w:noProof/>
              </w:rPr>
              <w:t>DEROGATIONS AU CCAG-FCS</w:t>
            </w:r>
            <w:r>
              <w:rPr>
                <w:noProof/>
                <w:webHidden/>
              </w:rPr>
              <w:tab/>
            </w:r>
            <w:r>
              <w:rPr>
                <w:noProof/>
                <w:webHidden/>
              </w:rPr>
              <w:fldChar w:fldCharType="begin"/>
            </w:r>
            <w:r>
              <w:rPr>
                <w:noProof/>
                <w:webHidden/>
              </w:rPr>
              <w:instrText xml:space="preserve"> PAGEREF _Toc192686212 \h </w:instrText>
            </w:r>
            <w:r>
              <w:rPr>
                <w:noProof/>
                <w:webHidden/>
              </w:rPr>
            </w:r>
            <w:r>
              <w:rPr>
                <w:noProof/>
                <w:webHidden/>
              </w:rPr>
              <w:fldChar w:fldCharType="separate"/>
            </w:r>
            <w:r>
              <w:rPr>
                <w:noProof/>
                <w:webHidden/>
              </w:rPr>
              <w:t>12</w:t>
            </w:r>
            <w:r>
              <w:rPr>
                <w:noProof/>
                <w:webHidden/>
              </w:rPr>
              <w:fldChar w:fldCharType="end"/>
            </w:r>
          </w:hyperlink>
        </w:p>
        <w:p w14:paraId="550A9512" w14:textId="351A29C2" w:rsidR="0084389F" w:rsidRDefault="0084389F" w:rsidP="00FC31EC">
          <w:r>
            <w:rPr>
              <w:b/>
              <w:bCs/>
            </w:rPr>
            <w:fldChar w:fldCharType="end"/>
          </w:r>
        </w:p>
      </w:sdtContent>
    </w:sdt>
    <w:p w14:paraId="1205A9A3" w14:textId="77777777" w:rsidR="0084389F" w:rsidRDefault="0084389F" w:rsidP="00FC31EC"/>
    <w:p w14:paraId="7E497A5F" w14:textId="77777777" w:rsidR="0070284A" w:rsidRDefault="0070284A" w:rsidP="00FC31EC"/>
    <w:p w14:paraId="63E89C80" w14:textId="77777777" w:rsidR="0070284A" w:rsidRDefault="0070284A" w:rsidP="00FC31EC"/>
    <w:p w14:paraId="7334C75A" w14:textId="437ED829" w:rsidR="00AE16C8" w:rsidRPr="00AE16C8" w:rsidRDefault="00605A46" w:rsidP="00AE16C8">
      <w:pPr>
        <w:pStyle w:val="Titre1"/>
      </w:pPr>
      <w:r>
        <w:br w:type="page"/>
      </w:r>
      <w:bookmarkStart w:id="0" w:name="_Toc49868749"/>
      <w:bookmarkStart w:id="1" w:name="_Toc192686180"/>
      <w:r w:rsidR="00AE16C8" w:rsidRPr="00AE16C8">
        <w:lastRenderedPageBreak/>
        <w:t>OBJET DU MARCHE- DISPOSITIONS GENERALES</w:t>
      </w:r>
      <w:bookmarkEnd w:id="0"/>
      <w:bookmarkEnd w:id="1"/>
      <w:r w:rsidR="00AE16C8" w:rsidRPr="00AE16C8">
        <w:t xml:space="preserve"> </w:t>
      </w:r>
    </w:p>
    <w:p w14:paraId="4AD0C8A6" w14:textId="3FCBE9A3" w:rsidR="00AE16C8" w:rsidRPr="00AE16C8" w:rsidRDefault="00AE16C8" w:rsidP="00AE16C8">
      <w:pPr>
        <w:pStyle w:val="Titre2"/>
      </w:pPr>
      <w:bookmarkStart w:id="2" w:name="_Toc49868750"/>
      <w:bookmarkStart w:id="3" w:name="_Toc192686181"/>
      <w:r w:rsidRPr="00AE16C8">
        <w:t>Partie contractante</w:t>
      </w:r>
      <w:bookmarkEnd w:id="2"/>
      <w:bookmarkEnd w:id="3"/>
    </w:p>
    <w:p w14:paraId="1B689F0C" w14:textId="77777777" w:rsidR="00255BA9" w:rsidRDefault="00AE16C8" w:rsidP="00AE16C8">
      <w:r w:rsidRPr="00AE16C8">
        <w:t>Le marché est passé pour le compte de l’INC, représenté par son directeur général. L’INC est un EPIC établissement public à caractère industriel et commercial dont le siège est :</w:t>
      </w:r>
      <w:r w:rsidR="00255BA9" w:rsidRPr="00255BA9">
        <w:t xml:space="preserve"> </w:t>
      </w:r>
    </w:p>
    <w:p w14:paraId="2EC2ADE0" w14:textId="44DFD943" w:rsidR="00255BA9" w:rsidRDefault="00255BA9" w:rsidP="00C84F2A">
      <w:pPr>
        <w:jc w:val="center"/>
      </w:pPr>
      <w:r w:rsidRPr="00255BA9">
        <w:t>76, avenue Pierre Brossolette</w:t>
      </w:r>
    </w:p>
    <w:p w14:paraId="28B3513D" w14:textId="36BA93BE" w:rsidR="00AE16C8" w:rsidRPr="00AE16C8" w:rsidRDefault="00255BA9" w:rsidP="00C84F2A">
      <w:pPr>
        <w:jc w:val="center"/>
      </w:pPr>
      <w:r w:rsidRPr="00255BA9">
        <w:t>91242 MALAKOFF</w:t>
      </w:r>
    </w:p>
    <w:p w14:paraId="599990C8" w14:textId="0F8D8232" w:rsidR="00AE16C8" w:rsidRPr="00AE16C8" w:rsidRDefault="00AE16C8" w:rsidP="00AE16C8">
      <w:pPr>
        <w:pStyle w:val="Titre2"/>
      </w:pPr>
      <w:bookmarkStart w:id="4" w:name="_Toc49868751"/>
      <w:bookmarkStart w:id="5" w:name="_Toc192686182"/>
      <w:r w:rsidRPr="00AE16C8">
        <w:t>Objet du marché :</w:t>
      </w:r>
      <w:bookmarkEnd w:id="4"/>
      <w:bookmarkEnd w:id="5"/>
      <w:r w:rsidRPr="00AE16C8">
        <w:t xml:space="preserve"> </w:t>
      </w:r>
    </w:p>
    <w:p w14:paraId="7E68AC0C" w14:textId="5CBB9163" w:rsidR="00AE16C8" w:rsidRPr="00AE16C8" w:rsidRDefault="00255BA9" w:rsidP="00AE16C8">
      <w:r w:rsidRPr="00255BA9">
        <w:t>Le présent marché a pour objet l’exécution des prestations de diffusion des publications de l’INC (mensuels, hors-séries et mook)</w:t>
      </w:r>
      <w:r>
        <w:t>.</w:t>
      </w:r>
    </w:p>
    <w:p w14:paraId="7A5AAC0F" w14:textId="1DFE8271" w:rsidR="00AE16C8" w:rsidRPr="00AE16C8" w:rsidRDefault="00AE16C8" w:rsidP="00AE16C8">
      <w:r w:rsidRPr="00AE16C8">
        <w:t>La description des prestations figure au C.C.T.P.</w:t>
      </w:r>
    </w:p>
    <w:p w14:paraId="0387BF2D" w14:textId="77777777" w:rsidR="00AE16C8" w:rsidRPr="00AE16C8" w:rsidRDefault="00AE16C8" w:rsidP="00AE16C8">
      <w:r w:rsidRPr="00AE16C8">
        <w:t>Le marché est conclu avec une obligation de résultat.</w:t>
      </w:r>
    </w:p>
    <w:p w14:paraId="68A2EB2C" w14:textId="7B4CA385" w:rsidR="00AE16C8" w:rsidRPr="00AE16C8" w:rsidRDefault="00AE16C8" w:rsidP="00AE16C8">
      <w:pPr>
        <w:pStyle w:val="Titre2"/>
      </w:pPr>
      <w:bookmarkStart w:id="6" w:name="_Toc49868752"/>
      <w:bookmarkStart w:id="7" w:name="_Toc192686183"/>
      <w:r w:rsidRPr="00AE16C8">
        <w:t>Dévolution :</w:t>
      </w:r>
      <w:bookmarkEnd w:id="6"/>
      <w:bookmarkEnd w:id="7"/>
      <w:r w:rsidRPr="00AE16C8">
        <w:t xml:space="preserve"> </w:t>
      </w:r>
    </w:p>
    <w:p w14:paraId="41517329" w14:textId="137C56AC" w:rsidR="00AE16C8" w:rsidRPr="00AE16C8" w:rsidRDefault="00AE16C8" w:rsidP="00AE16C8">
      <w:r>
        <w:t>Le marché n’est pas alloti.</w:t>
      </w:r>
    </w:p>
    <w:p w14:paraId="02F2A1E6" w14:textId="3E6D52F2" w:rsidR="00AE16C8" w:rsidRPr="00AE16C8" w:rsidRDefault="00AE16C8" w:rsidP="00AE16C8">
      <w:pPr>
        <w:pStyle w:val="Titre2"/>
      </w:pPr>
      <w:bookmarkStart w:id="8" w:name="_Toc49868753"/>
      <w:bookmarkStart w:id="9" w:name="_Toc192686184"/>
      <w:r w:rsidRPr="00AE16C8">
        <w:t>Durée du marché :</w:t>
      </w:r>
      <w:bookmarkEnd w:id="8"/>
      <w:bookmarkEnd w:id="9"/>
      <w:r w:rsidRPr="00AE16C8">
        <w:t xml:space="preserve"> </w:t>
      </w:r>
    </w:p>
    <w:p w14:paraId="0DF99A60" w14:textId="77777777" w:rsidR="00AF1AEF" w:rsidRDefault="00AF1AEF" w:rsidP="00AF1AEF">
      <w:r>
        <w:t>Le marché prend effet à compter du 1</w:t>
      </w:r>
      <w:r w:rsidRPr="00094E6E">
        <w:rPr>
          <w:vertAlign w:val="superscript"/>
        </w:rPr>
        <w:t>er</w:t>
      </w:r>
      <w:r>
        <w:t xml:space="preserve"> juillet 2025 et se termine 12 mois plus tard pour la première période.</w:t>
      </w:r>
    </w:p>
    <w:p w14:paraId="2CAC26F3" w14:textId="5DDE2205" w:rsidR="00AE16C8" w:rsidRPr="00AE16C8" w:rsidRDefault="00AE16C8" w:rsidP="00AE16C8">
      <w:r w:rsidRPr="00AE16C8">
        <w:t xml:space="preserve">Le présent marché pourra être reconduit </w:t>
      </w:r>
      <w:r w:rsidR="00255BA9">
        <w:t xml:space="preserve">tacitement pour une durée d’un an, </w:t>
      </w:r>
      <w:r w:rsidRPr="00AE16C8">
        <w:t>au maximum trois fois, aux mêmes conditions, sauf dénonciation du marché trois mois avant son échéance.</w:t>
      </w:r>
    </w:p>
    <w:p w14:paraId="4DEE411C" w14:textId="09ECCFDD" w:rsidR="00AE16C8" w:rsidRPr="00AE16C8" w:rsidRDefault="00AE16C8" w:rsidP="00AE16C8">
      <w:pPr>
        <w:pStyle w:val="Titre1"/>
      </w:pPr>
      <w:bookmarkStart w:id="10" w:name="_Toc49868754"/>
      <w:bookmarkStart w:id="11" w:name="_Toc192686185"/>
      <w:r w:rsidRPr="00AE16C8">
        <w:t>Evaluation des prestations à réaliser :</w:t>
      </w:r>
      <w:bookmarkEnd w:id="10"/>
      <w:bookmarkEnd w:id="11"/>
    </w:p>
    <w:p w14:paraId="4844A903" w14:textId="77777777" w:rsidR="00AE16C8" w:rsidRPr="00AE16C8" w:rsidRDefault="00AE16C8" w:rsidP="00AE16C8">
      <w:r w:rsidRPr="00AE16C8">
        <w:t xml:space="preserve">Dès la consultation du dossier et avant la remise de l’acte d’engagement, le soumissionnaire aura pris soin de signaler par écrit à l’organisme toute anomalie ou insuffisance qui lui apparaîtrait dans l’exécution prévue. </w:t>
      </w:r>
    </w:p>
    <w:p w14:paraId="0D14A9C4" w14:textId="77777777" w:rsidR="00AE16C8" w:rsidRPr="00AE16C8" w:rsidRDefault="00AE16C8" w:rsidP="00AE16C8">
      <w:r w:rsidRPr="00AE16C8">
        <w:t xml:space="preserve">En aucun cas, le titulaire ne pourra arguer d'imprécisions, d'erreurs, d'omissions ou de contradictions du CCTP pour justifier une demande de supplément. </w:t>
      </w:r>
    </w:p>
    <w:p w14:paraId="6CC1773A" w14:textId="77777777" w:rsidR="00AE16C8" w:rsidRPr="00AE16C8" w:rsidRDefault="00AE16C8" w:rsidP="00AE16C8">
      <w:r w:rsidRPr="00AE16C8">
        <w:t xml:space="preserve">Les anomalies survenant au cours du marché et n’entrant pas dans les événements considérés comme cas de force majeure seront réputées être comprises dans l’économie du marché. </w:t>
      </w:r>
    </w:p>
    <w:p w14:paraId="5507E0A8" w14:textId="77777777" w:rsidR="00AE16C8" w:rsidRPr="00AE16C8" w:rsidRDefault="00AE16C8" w:rsidP="00AE16C8">
      <w:r w:rsidRPr="00AE16C8">
        <w:t>Les aléas qui donneraient naissance à une interruption provisoire des prestations sans bouleverser l’économie du marché ne feront pas l’objet d’ajustements de la part de l’organisme.</w:t>
      </w:r>
    </w:p>
    <w:p w14:paraId="3668F98A" w14:textId="74EFA707" w:rsidR="00AE16C8" w:rsidRPr="00AE16C8" w:rsidRDefault="00AE16C8" w:rsidP="00AE16C8">
      <w:pPr>
        <w:pStyle w:val="Titre1"/>
      </w:pPr>
      <w:bookmarkStart w:id="12" w:name="_Toc49868755"/>
      <w:bookmarkStart w:id="13" w:name="_Toc192686186"/>
      <w:r w:rsidRPr="00AE16C8">
        <w:t>PIECES CONSTITUTIVES DU MARCHE</w:t>
      </w:r>
      <w:bookmarkEnd w:id="12"/>
      <w:bookmarkEnd w:id="13"/>
      <w:r w:rsidRPr="00AE16C8">
        <w:t xml:space="preserve"> </w:t>
      </w:r>
    </w:p>
    <w:p w14:paraId="7439F7A6" w14:textId="77777777" w:rsidR="00AE16C8" w:rsidRPr="00AE16C8" w:rsidRDefault="00AE16C8" w:rsidP="00AE16C8">
      <w:r w:rsidRPr="00AE16C8">
        <w:t xml:space="preserve">Le présent marché est régi par les documents contractuels ci-après cités dans l’ordre de priorité décroissant suivant : </w:t>
      </w:r>
    </w:p>
    <w:p w14:paraId="6EDE974F" w14:textId="77777777" w:rsidR="00AE16C8" w:rsidRPr="00AE16C8" w:rsidRDefault="00AE16C8" w:rsidP="00AE16C8"/>
    <w:p w14:paraId="6C5FA337" w14:textId="2DCBF142" w:rsidR="00AE16C8" w:rsidRPr="00AE16C8" w:rsidRDefault="00AE16C8" w:rsidP="00C84F2A">
      <w:pPr>
        <w:pStyle w:val="Titre2"/>
      </w:pPr>
      <w:bookmarkStart w:id="14" w:name="_Toc49868756"/>
      <w:r w:rsidRPr="00AE16C8">
        <w:t xml:space="preserve">Les Pièces </w:t>
      </w:r>
      <w:proofErr w:type="gramStart"/>
      <w:r w:rsidRPr="00AE16C8">
        <w:t>particulières:</w:t>
      </w:r>
      <w:bookmarkEnd w:id="14"/>
      <w:proofErr w:type="gramEnd"/>
      <w:r w:rsidRPr="00AE16C8">
        <w:t xml:space="preserve"> </w:t>
      </w:r>
    </w:p>
    <w:p w14:paraId="2C055604" w14:textId="77777777" w:rsidR="00AE16C8" w:rsidRPr="00AE16C8" w:rsidRDefault="00AE16C8" w:rsidP="00AE16C8"/>
    <w:p w14:paraId="63C1939E" w14:textId="7466E456" w:rsidR="00AE16C8" w:rsidRPr="00AE16C8" w:rsidRDefault="00AE16C8" w:rsidP="00AE16C8">
      <w:r w:rsidRPr="00AE16C8">
        <w:t>•</w:t>
      </w:r>
      <w:r w:rsidRPr="00AE16C8">
        <w:tab/>
        <w:t>Pièce N°</w:t>
      </w:r>
      <w:proofErr w:type="gramStart"/>
      <w:r w:rsidRPr="00AE16C8">
        <w:t>1:</w:t>
      </w:r>
      <w:proofErr w:type="gramEnd"/>
      <w:r w:rsidRPr="00AE16C8">
        <w:t xml:space="preserve"> L'acte d'engagement « AE » et toutes les annexes :</w:t>
      </w:r>
    </w:p>
    <w:p w14:paraId="14490F22" w14:textId="58799ED0" w:rsidR="00AE16C8" w:rsidRPr="00AE16C8" w:rsidRDefault="00AE16C8" w:rsidP="00C84F2A">
      <w:pPr>
        <w:ind w:left="1134"/>
      </w:pPr>
      <w:r w:rsidRPr="00AE16C8">
        <w:lastRenderedPageBreak/>
        <w:t>o</w:t>
      </w:r>
      <w:r w:rsidRPr="00AE16C8">
        <w:tab/>
        <w:t>Annexe 0 à l’AE : bordereau d’analyse de la conformité des réponses</w:t>
      </w:r>
    </w:p>
    <w:p w14:paraId="51D6530F" w14:textId="2D503D1B" w:rsidR="00AE16C8" w:rsidRPr="00AE16C8" w:rsidRDefault="00AE16C8" w:rsidP="00C84F2A">
      <w:pPr>
        <w:ind w:left="1134"/>
      </w:pPr>
      <w:r w:rsidRPr="00AE16C8">
        <w:t>o</w:t>
      </w:r>
      <w:r w:rsidRPr="00AE16C8">
        <w:tab/>
        <w:t>Annexe 1 à l’AE : Bordereau des Prix Unitaires (BPU),</w:t>
      </w:r>
    </w:p>
    <w:p w14:paraId="15DE13CF" w14:textId="52B0078D" w:rsidR="00AE16C8" w:rsidRPr="00AE16C8" w:rsidRDefault="00AE16C8" w:rsidP="00C84F2A">
      <w:pPr>
        <w:ind w:left="1134"/>
      </w:pPr>
      <w:r w:rsidRPr="00AE16C8">
        <w:t>o</w:t>
      </w:r>
      <w:r w:rsidRPr="00AE16C8">
        <w:tab/>
        <w:t xml:space="preserve">Annexe 2 à l’AE : Bordereau de réponse au critère « </w:t>
      </w:r>
      <w:r w:rsidR="00F60879" w:rsidRPr="00B109D4">
        <w:t xml:space="preserve">Apport de Valeur </w:t>
      </w:r>
      <w:r w:rsidR="00F60879">
        <w:t>Technique</w:t>
      </w:r>
      <w:r w:rsidRPr="00AE16C8">
        <w:t xml:space="preserve"> »</w:t>
      </w:r>
      <w:r w:rsidRPr="00AE16C8">
        <w:tab/>
      </w:r>
    </w:p>
    <w:p w14:paraId="03AAAC7E" w14:textId="77777777" w:rsidR="00AE16C8" w:rsidRPr="00AE16C8" w:rsidRDefault="00AE16C8" w:rsidP="00AE16C8">
      <w:r w:rsidRPr="00AE16C8">
        <w:t>•</w:t>
      </w:r>
      <w:r w:rsidRPr="00AE16C8">
        <w:tab/>
        <w:t>Pièce N°</w:t>
      </w:r>
      <w:proofErr w:type="gramStart"/>
      <w:r w:rsidRPr="00AE16C8">
        <w:t>2:</w:t>
      </w:r>
      <w:proofErr w:type="gramEnd"/>
      <w:r w:rsidRPr="00AE16C8">
        <w:t xml:space="preserve"> Le présent CCAP </w:t>
      </w:r>
    </w:p>
    <w:p w14:paraId="45A80B68" w14:textId="461E7E7E" w:rsidR="00AE16C8" w:rsidRPr="00AE16C8" w:rsidRDefault="00AE16C8" w:rsidP="00AE16C8">
      <w:r w:rsidRPr="00AE16C8">
        <w:t>•</w:t>
      </w:r>
      <w:r w:rsidRPr="00AE16C8">
        <w:tab/>
        <w:t>Pièce N°</w:t>
      </w:r>
      <w:proofErr w:type="gramStart"/>
      <w:r w:rsidRPr="00AE16C8">
        <w:t>3:</w:t>
      </w:r>
      <w:proofErr w:type="gramEnd"/>
      <w:r w:rsidRPr="00AE16C8">
        <w:t xml:space="preserve"> Le cahier des clauses techniques particulières (CCTP) Distribution INC 202</w:t>
      </w:r>
      <w:r w:rsidR="00255BA9">
        <w:t>5-048</w:t>
      </w:r>
    </w:p>
    <w:p w14:paraId="5ACA6002" w14:textId="1AE7928D" w:rsidR="00AE16C8" w:rsidRPr="00AE16C8" w:rsidRDefault="00AE16C8" w:rsidP="00AE16C8">
      <w:r w:rsidRPr="00AE16C8">
        <w:t>•</w:t>
      </w:r>
      <w:r w:rsidRPr="00AE16C8">
        <w:tab/>
        <w:t xml:space="preserve">Pièce N°4 : </w:t>
      </w:r>
      <w:r w:rsidR="00F60879" w:rsidRPr="00AE16C8">
        <w:t xml:space="preserve">Annexe 3 à l’AE : </w:t>
      </w:r>
      <w:r w:rsidR="00F60879">
        <w:t>Mémoire technique</w:t>
      </w:r>
      <w:r w:rsidR="00F60879" w:rsidRPr="00AE16C8" w:rsidDel="00F60879">
        <w:t xml:space="preserve"> </w:t>
      </w:r>
    </w:p>
    <w:p w14:paraId="20D214A8" w14:textId="77777777" w:rsidR="00AE16C8" w:rsidRPr="00AE16C8" w:rsidRDefault="00AE16C8" w:rsidP="00AE16C8"/>
    <w:p w14:paraId="6079852A" w14:textId="40EDD87B" w:rsidR="00AE16C8" w:rsidRPr="00AE16C8" w:rsidRDefault="00AE16C8" w:rsidP="00C84F2A">
      <w:pPr>
        <w:pStyle w:val="Titre2"/>
      </w:pPr>
      <w:bookmarkStart w:id="15" w:name="_Toc49868757"/>
      <w:r w:rsidRPr="00AE16C8">
        <w:t>Les Pièces générales</w:t>
      </w:r>
      <w:r w:rsidR="00255BA9">
        <w:t xml:space="preserve"> </w:t>
      </w:r>
      <w:r w:rsidRPr="00AE16C8">
        <w:t>(1)</w:t>
      </w:r>
      <w:r w:rsidR="00F60879">
        <w:t xml:space="preserve"> </w:t>
      </w:r>
      <w:r w:rsidRPr="00AE16C8">
        <w:t>:</w:t>
      </w:r>
      <w:bookmarkEnd w:id="15"/>
      <w:r w:rsidRPr="00AE16C8">
        <w:t xml:space="preserve"> </w:t>
      </w:r>
    </w:p>
    <w:p w14:paraId="30F68A8E" w14:textId="374AF244" w:rsidR="00AE16C8" w:rsidRPr="00AE16C8" w:rsidRDefault="00AE16C8" w:rsidP="00AE16C8">
      <w:r w:rsidRPr="00AE16C8">
        <w:t>•</w:t>
      </w:r>
      <w:r w:rsidRPr="00AE16C8">
        <w:tab/>
        <w:t>Pièce n°5 : les lois applicables (loi BICHET) et les recommandations de l’ARCEP</w:t>
      </w:r>
    </w:p>
    <w:p w14:paraId="7D2E2B72" w14:textId="3DDC8B50" w:rsidR="00AE16C8" w:rsidRPr="00AE16C8" w:rsidRDefault="00AE16C8" w:rsidP="00AE16C8">
      <w:r w:rsidRPr="00AE16C8">
        <w:t>•</w:t>
      </w:r>
      <w:r w:rsidRPr="00AE16C8">
        <w:tab/>
        <w:t>Pièce N°</w:t>
      </w:r>
      <w:proofErr w:type="gramStart"/>
      <w:r w:rsidRPr="00AE16C8">
        <w:t>6:</w:t>
      </w:r>
      <w:proofErr w:type="gramEnd"/>
      <w:r w:rsidRPr="00AE16C8">
        <w:t xml:space="preserve"> Le code </w:t>
      </w:r>
      <w:r w:rsidR="000B7742">
        <w:t>de la commande publique</w:t>
      </w:r>
    </w:p>
    <w:p w14:paraId="6F45A7A7" w14:textId="50D94D36" w:rsidR="00AE16C8" w:rsidRPr="00AE16C8" w:rsidRDefault="00AE16C8" w:rsidP="00AE16C8">
      <w:r w:rsidRPr="00AE16C8">
        <w:t>•</w:t>
      </w:r>
      <w:r w:rsidRPr="00AE16C8">
        <w:tab/>
        <w:t>Pièce N°</w:t>
      </w:r>
      <w:proofErr w:type="gramStart"/>
      <w:r w:rsidRPr="00AE16C8">
        <w:t>7:</w:t>
      </w:r>
      <w:proofErr w:type="gramEnd"/>
      <w:r w:rsidRPr="00AE16C8">
        <w:t xml:space="preserve"> Le cahier des clauses administratives générales applicable aux marchés publics de fournitures courantes et services approuvé par l’arrêté du </w:t>
      </w:r>
      <w:r w:rsidR="00F60879">
        <w:t>30 mars 2021</w:t>
      </w:r>
      <w:r w:rsidRPr="00AE16C8">
        <w:t xml:space="preserve"> et dit CCAG/FCS ci-après. </w:t>
      </w:r>
    </w:p>
    <w:p w14:paraId="5E3D9998" w14:textId="77777777" w:rsidR="00AE16C8" w:rsidRPr="00AE16C8" w:rsidRDefault="00AE16C8" w:rsidP="00AE16C8"/>
    <w:p w14:paraId="7C3A33A8" w14:textId="77777777" w:rsidR="00AE16C8" w:rsidRPr="00AE16C8" w:rsidRDefault="00AE16C8" w:rsidP="00AE16C8">
      <w:r w:rsidRPr="00AE16C8">
        <w:t xml:space="preserve">(1) Documents non joints dont le titulaire déclare avoir pris connaissance. </w:t>
      </w:r>
    </w:p>
    <w:p w14:paraId="5FDCB342" w14:textId="77777777" w:rsidR="00AE16C8" w:rsidRPr="00AE16C8" w:rsidRDefault="00AE16C8" w:rsidP="00AE16C8">
      <w:r w:rsidRPr="00AE16C8">
        <w:t xml:space="preserve">Les documents applicables sont ceux en vigueur à la date de signature par le titulaire du présent marché. </w:t>
      </w:r>
    </w:p>
    <w:p w14:paraId="1664BB26" w14:textId="37325588" w:rsidR="00AE16C8" w:rsidRPr="00AE16C8" w:rsidRDefault="00AE16C8" w:rsidP="00AE16C8">
      <w:r w:rsidRPr="00AE16C8">
        <w:t>Seuls les exemplaires conservés sur la place des marchés publics dans les locaux de l’INC font foi.</w:t>
      </w:r>
    </w:p>
    <w:p w14:paraId="25F5484B" w14:textId="77A95BC4" w:rsidR="00AE16C8" w:rsidRPr="00AE16C8" w:rsidRDefault="00AE16C8" w:rsidP="00AE16C8">
      <w:pPr>
        <w:pStyle w:val="Titre1"/>
      </w:pPr>
      <w:bookmarkStart w:id="16" w:name="_Toc49868758"/>
      <w:bookmarkStart w:id="17" w:name="_Toc192686187"/>
      <w:r w:rsidRPr="00AE16C8">
        <w:t>MODALITES D'EXECUTION DU MARCHE</w:t>
      </w:r>
      <w:bookmarkEnd w:id="16"/>
      <w:bookmarkEnd w:id="17"/>
      <w:r w:rsidRPr="00AE16C8">
        <w:t xml:space="preserve"> </w:t>
      </w:r>
    </w:p>
    <w:p w14:paraId="1EBC25EA" w14:textId="5E069E23" w:rsidR="00AE16C8" w:rsidRPr="00AE16C8" w:rsidRDefault="00AE16C8" w:rsidP="00AE16C8">
      <w:pPr>
        <w:pStyle w:val="Titre2"/>
      </w:pPr>
      <w:bookmarkStart w:id="18" w:name="_Toc49868759"/>
      <w:bookmarkStart w:id="19" w:name="_Toc192686188"/>
      <w:r w:rsidRPr="00AE16C8">
        <w:t>Désignation des interlocuteurs</w:t>
      </w:r>
      <w:r w:rsidR="000B7742">
        <w:t xml:space="preserve"> </w:t>
      </w:r>
      <w:r w:rsidRPr="00AE16C8">
        <w:t>:</w:t>
      </w:r>
      <w:bookmarkEnd w:id="18"/>
      <w:bookmarkEnd w:id="19"/>
      <w:r w:rsidRPr="00AE16C8">
        <w:t xml:space="preserve"> </w:t>
      </w:r>
    </w:p>
    <w:p w14:paraId="330732A3" w14:textId="46CC90FB" w:rsidR="00AE16C8" w:rsidRPr="00AE16C8" w:rsidRDefault="00AE16C8" w:rsidP="00AE16C8">
      <w:pPr>
        <w:pStyle w:val="paragraphedeliste2"/>
      </w:pPr>
      <w:r w:rsidRPr="00AE16C8">
        <w:t xml:space="preserve">D’une part, l’INC, représentée par son directeur, désigné dans les pièces du marché par l’expression « l’organisme » ; </w:t>
      </w:r>
    </w:p>
    <w:p w14:paraId="362E6CA2" w14:textId="77777777" w:rsidR="00AE16C8" w:rsidRPr="00AE16C8" w:rsidRDefault="00AE16C8" w:rsidP="00AE16C8">
      <w:pPr>
        <w:pStyle w:val="paragraphedeliste2"/>
        <w:numPr>
          <w:ilvl w:val="0"/>
          <w:numId w:val="0"/>
        </w:numPr>
        <w:ind w:left="1356"/>
      </w:pPr>
    </w:p>
    <w:p w14:paraId="5EFA3F51" w14:textId="3705356F" w:rsidR="00AE16C8" w:rsidRPr="00AE16C8" w:rsidRDefault="00AE16C8" w:rsidP="00AE16C8">
      <w:pPr>
        <w:pStyle w:val="paragraphedeliste2"/>
      </w:pPr>
      <w:r w:rsidRPr="00AE16C8">
        <w:t xml:space="preserve">D’autre part, le prestataire de service qui conclut le marché avec l’organisme et désigné dans les pièces du marché par l’expression « le titulaire ». </w:t>
      </w:r>
    </w:p>
    <w:p w14:paraId="415BE4E9" w14:textId="77777777" w:rsidR="00AE16C8" w:rsidRPr="00AE16C8" w:rsidRDefault="00AE16C8" w:rsidP="00AE16C8">
      <w:r w:rsidRPr="00AE16C8">
        <w:t xml:space="preserve">Le titulaire désigne, dès la notification du marché, un responsable ayant qualité pour le représenter vis-à-vis de l’organisme ou de son représentant. Ce responsable est désigné dans le présent CCAP par l’expression « le représentant du titulaire ». </w:t>
      </w:r>
    </w:p>
    <w:p w14:paraId="7D699A5A" w14:textId="77777777" w:rsidR="00AE16C8" w:rsidRPr="00AE16C8" w:rsidRDefault="00AE16C8" w:rsidP="00AE16C8">
      <w:r w:rsidRPr="00AE16C8">
        <w:t>Il s’agit d’un interlocuteur unique (avec un numéro unique) qui assure le suivi administratif et commercial du marché.</w:t>
      </w:r>
    </w:p>
    <w:p w14:paraId="38B52993" w14:textId="582D239D" w:rsidR="00AE16C8" w:rsidRPr="00AE16C8" w:rsidRDefault="00AE16C8" w:rsidP="00AE16C8">
      <w:pPr>
        <w:pStyle w:val="Titre2"/>
      </w:pPr>
      <w:bookmarkStart w:id="20" w:name="_Toc49868760"/>
      <w:bookmarkStart w:id="21" w:name="_Toc192686189"/>
      <w:r w:rsidRPr="00AE16C8">
        <w:t>Détails des prestations :</w:t>
      </w:r>
      <w:bookmarkEnd w:id="20"/>
      <w:bookmarkEnd w:id="21"/>
      <w:r w:rsidRPr="00AE16C8">
        <w:t xml:space="preserve"> </w:t>
      </w:r>
    </w:p>
    <w:p w14:paraId="1908CAF7" w14:textId="0D51CEB7" w:rsidR="00AE16C8" w:rsidRPr="00AE16C8" w:rsidRDefault="000B7742" w:rsidP="00AE16C8">
      <w:r>
        <w:t>L</w:t>
      </w:r>
      <w:r w:rsidR="00AE16C8" w:rsidRPr="00AE16C8">
        <w:t>a description des prestations systématiques est indiquée de manière détaillée dans le Cahier des Clauses Techniques Particulières (CCTP) ainsi que dans ses annexes.</w:t>
      </w:r>
    </w:p>
    <w:p w14:paraId="015F220D" w14:textId="77777777" w:rsidR="00AE16C8" w:rsidRPr="00AE16C8" w:rsidRDefault="00AE16C8" w:rsidP="00AE16C8">
      <w:r w:rsidRPr="00AE16C8">
        <w:t>Les exigences sont assorties de critères et de niveau que le prestataire se doit d’assurera la mise en œuvre des moyens pour, pour chaque exigence, être en mesure d’atteindre le niveau demandé pour chaque critère détaillant l’exigence.</w:t>
      </w:r>
    </w:p>
    <w:p w14:paraId="39AA08AA" w14:textId="77777777" w:rsidR="00AE16C8" w:rsidRPr="00AE16C8" w:rsidRDefault="00AE16C8" w:rsidP="00AE16C8">
      <w:r w:rsidRPr="00AE16C8">
        <w:t>Toute clause du mémoire technique remettant en cause les exigences, les critères et les niveaux, sauf clause dument négociée serait nulle et non avenue.</w:t>
      </w:r>
    </w:p>
    <w:p w14:paraId="70962506" w14:textId="25F3FBDB" w:rsidR="00AE16C8" w:rsidRPr="00AE16C8" w:rsidRDefault="00AE16C8" w:rsidP="00AE16C8">
      <w:pPr>
        <w:pStyle w:val="Titre1"/>
      </w:pPr>
      <w:bookmarkStart w:id="22" w:name="_Toc49868761"/>
      <w:bookmarkStart w:id="23" w:name="_Toc192686190"/>
      <w:r w:rsidRPr="00AE16C8">
        <w:lastRenderedPageBreak/>
        <w:t>CONDITIONS ADMINISTRATIVES D’EXECUTION</w:t>
      </w:r>
      <w:bookmarkEnd w:id="22"/>
      <w:bookmarkEnd w:id="23"/>
      <w:r w:rsidRPr="00AE16C8">
        <w:t xml:space="preserve"> </w:t>
      </w:r>
    </w:p>
    <w:p w14:paraId="57275774" w14:textId="60ABAF92" w:rsidR="00AE16C8" w:rsidRPr="00AE16C8" w:rsidRDefault="00AE16C8" w:rsidP="00AE16C8">
      <w:pPr>
        <w:pStyle w:val="Titre2"/>
      </w:pPr>
      <w:bookmarkStart w:id="24" w:name="_Toc49868762"/>
      <w:bookmarkStart w:id="25" w:name="_Toc192686191"/>
      <w:r w:rsidRPr="00AE16C8">
        <w:t>Engagement de responsabilité</w:t>
      </w:r>
      <w:bookmarkEnd w:id="24"/>
      <w:bookmarkEnd w:id="25"/>
      <w:r w:rsidRPr="00AE16C8">
        <w:t xml:space="preserve"> </w:t>
      </w:r>
    </w:p>
    <w:p w14:paraId="1B52CF6A" w14:textId="77777777" w:rsidR="00AE16C8" w:rsidRPr="00AE16C8" w:rsidRDefault="00AE16C8" w:rsidP="00AE16C8">
      <w:r w:rsidRPr="00AE16C8">
        <w:t>Le titulaire est entièrement responsable de la bonne réalisation du contrat, et prend en charge, en cas de défaillance, la Valeur Montant Fort des journaux confiés.</w:t>
      </w:r>
    </w:p>
    <w:p w14:paraId="52EBD9EB" w14:textId="77777777" w:rsidR="00AE16C8" w:rsidRPr="00AE16C8" w:rsidRDefault="00AE16C8" w:rsidP="00AE16C8">
      <w:r w:rsidRPr="00AE16C8">
        <w:t xml:space="preserve">L’intervention ne doit en aucun cas altérer l’intégrité ou la disponibilité du système d’information du client. </w:t>
      </w:r>
    </w:p>
    <w:p w14:paraId="3E84E206" w14:textId="4B8AD25D" w:rsidR="00AE16C8" w:rsidRPr="00AE16C8" w:rsidRDefault="00AE16C8" w:rsidP="00AE16C8">
      <w:pPr>
        <w:pStyle w:val="Titre2"/>
      </w:pPr>
      <w:bookmarkStart w:id="26" w:name="_Toc49868763"/>
      <w:bookmarkStart w:id="27" w:name="_Toc192686192"/>
      <w:r w:rsidRPr="00AE16C8">
        <w:t>Reprise du personnel</w:t>
      </w:r>
      <w:bookmarkEnd w:id="26"/>
      <w:bookmarkEnd w:id="27"/>
      <w:r w:rsidRPr="00AE16C8">
        <w:t xml:space="preserve"> </w:t>
      </w:r>
    </w:p>
    <w:p w14:paraId="0ADFD65A" w14:textId="16740A0A" w:rsidR="00AE16C8" w:rsidRPr="00AE16C8" w:rsidRDefault="00AE16C8" w:rsidP="00AE16C8">
      <w:r w:rsidRPr="00AE16C8">
        <w:t>Le titulaire fera son affaire de la reprise du personnel en fonction de ses obligations en matière de droit du travail (code du travail, conventions collectives…)</w:t>
      </w:r>
      <w:r w:rsidR="000B7742">
        <w:t>.</w:t>
      </w:r>
    </w:p>
    <w:p w14:paraId="3B640BC3" w14:textId="5638A71A" w:rsidR="00AE16C8" w:rsidRPr="00AE16C8" w:rsidRDefault="00AE16C8" w:rsidP="00AE16C8">
      <w:pPr>
        <w:pStyle w:val="Titre2"/>
      </w:pPr>
      <w:bookmarkStart w:id="28" w:name="_Toc49868764"/>
      <w:bookmarkStart w:id="29" w:name="_Toc192686193"/>
      <w:r w:rsidRPr="00AE16C8">
        <w:t>Assurances</w:t>
      </w:r>
      <w:bookmarkEnd w:id="28"/>
      <w:bookmarkEnd w:id="29"/>
      <w:r w:rsidRPr="00AE16C8">
        <w:t xml:space="preserve"> </w:t>
      </w:r>
    </w:p>
    <w:p w14:paraId="6B87A937" w14:textId="566F8482" w:rsidR="00AE16C8" w:rsidRPr="00AE16C8" w:rsidRDefault="00AE16C8" w:rsidP="00AE16C8">
      <w:r w:rsidRPr="00AE16C8">
        <w:t xml:space="preserve">Le titulaire prend les précautions nécessaires pour éviter les accidents à son personnel et celui de l’organisme. </w:t>
      </w:r>
    </w:p>
    <w:p w14:paraId="44148196" w14:textId="0F3B56EE" w:rsidR="00AE16C8" w:rsidRPr="00AE16C8" w:rsidRDefault="00AE16C8" w:rsidP="00AE16C8">
      <w:r w:rsidRPr="00AE16C8">
        <w:t xml:space="preserve">Le titulaire garantit les risques d’accidents professionnels liés à l’exécution des prestations qui pourraient se produire tant sur les lieux de travail que pendant les trajets et déplacements vers le site ou requis par ses prestations au titre des missions afférentes au contrat. </w:t>
      </w:r>
    </w:p>
    <w:p w14:paraId="08C39DD3" w14:textId="7282AAEB" w:rsidR="00AE16C8" w:rsidRPr="00AE16C8" w:rsidRDefault="00AE16C8" w:rsidP="00AE16C8">
      <w:r w:rsidRPr="00AE16C8">
        <w:t xml:space="preserve">Le titulaire s’engage à souscrire une police d’assurance spécifique pour les biens y compris journaux et périodiques mis à sa disposition par l’organisme. Cette police doit couvrir tous les risques dont il pourrait être tenu pour responsable dans les conditions du droit commun, notamment accident, incendie, explosion, vol, dégâts des eaux, conséquence d’un défaut. </w:t>
      </w:r>
    </w:p>
    <w:p w14:paraId="00749488" w14:textId="19E3FDFF" w:rsidR="00AE16C8" w:rsidRPr="00AE16C8" w:rsidRDefault="00AE16C8" w:rsidP="00AE16C8">
      <w:r w:rsidRPr="00AE16C8">
        <w:t xml:space="preserve">Le titulaire demeure seul responsable, sans recours auprès de l’organisme, de tous dommages, dégâts, vols, accidents et autres sinistres causés par négligence, manquement dans l'exécution du contrat ou toute autre cause pouvant lui être imputée. </w:t>
      </w:r>
    </w:p>
    <w:p w14:paraId="37BACA7E" w14:textId="5A93E698" w:rsidR="00AE16C8" w:rsidRPr="00AE16C8" w:rsidRDefault="00AE16C8" w:rsidP="00AE16C8">
      <w:r w:rsidRPr="00AE16C8">
        <w:t xml:space="preserve">La responsabilité du titulaire s’étend sur tout ce qui relève du travail couvert par le contrat et ne se termine qu’à l’expiration de celui-ci. </w:t>
      </w:r>
    </w:p>
    <w:p w14:paraId="0798AFDF" w14:textId="77022F94" w:rsidR="00AE16C8" w:rsidRPr="00AE16C8" w:rsidRDefault="00AE16C8" w:rsidP="00AE16C8">
      <w:r w:rsidRPr="00AE16C8">
        <w:t xml:space="preserve">Pour tout matériel confié au personnel du titulaire, l’entretien de routine et l’usage selon les règles de l’art et de la législation de sécurité restent sous la responsabilité du titulaire. </w:t>
      </w:r>
    </w:p>
    <w:p w14:paraId="144C1B61" w14:textId="29E84338" w:rsidR="00AE16C8" w:rsidRPr="00AE16C8" w:rsidRDefault="00AE16C8" w:rsidP="00AE16C8">
      <w:r w:rsidRPr="00AE16C8">
        <w:t xml:space="preserve">Le titulaire est tenu de faire assurer à ses frais, préalablement à leur mise à disposition et tant qu’il en dispose, les matériels et objets qui lui sont confiés. Sa responsabilité protège l’organisme contre toute réclamation pour blessures et dommages aux biens, d’où qu’ils proviennent, pour toute cause pouvant lui être imputée. </w:t>
      </w:r>
    </w:p>
    <w:p w14:paraId="44013904" w14:textId="4E6777F6" w:rsidR="00AE16C8" w:rsidRPr="00AE16C8" w:rsidRDefault="00AE16C8" w:rsidP="00AE16C8">
      <w:r w:rsidRPr="00AE16C8">
        <w:t xml:space="preserve">Avant tout commencement d'exécution, le titulaire doit justifier qu'il a souscrit auprès de compagnies notoirement solvables une assurance couvrant notamment, entre autres garanties, les conséquences pécuniaires qu’il peut encourir dans le cas de dommages causés aux tiers et à l’organisme et engageant sa responsabilité. </w:t>
      </w:r>
    </w:p>
    <w:p w14:paraId="7DF5170E" w14:textId="77777777" w:rsidR="00AE16C8" w:rsidRPr="00AE16C8" w:rsidRDefault="00AE16C8" w:rsidP="00AE16C8">
      <w:r w:rsidRPr="00AE16C8">
        <w:t xml:space="preserve">Par dérogation à l’article 9 du CCAG-FCS, Les polices d'assurance doivent être communiquées à l’organisme dans les 10 jours de sa demande. Une déclaration de la compagnie d'assurance précisant qu'elle dispose d'une expédition certifiée du texte du présent CCAP devra être envoyée à l’organisme dans le mois suivant la notification du marché. Cette déclaration précise la nature, le montant, la durée de garantie et les franchises éventuelles des contrats d’assurances souscrits par le titulaire. </w:t>
      </w:r>
    </w:p>
    <w:p w14:paraId="2DC26BE9" w14:textId="7271F02E" w:rsidR="00AE16C8" w:rsidRPr="00AE16C8" w:rsidRDefault="00AE16C8" w:rsidP="00AE16C8">
      <w:r w:rsidRPr="00AE16C8">
        <w:t xml:space="preserve">L’organisme peut à tout moment se faire justifier par le titulaire du paiement régulier des primes d'assurance. </w:t>
      </w:r>
    </w:p>
    <w:p w14:paraId="16B28E6E" w14:textId="77777777" w:rsidR="00AE16C8" w:rsidRPr="00AE16C8" w:rsidRDefault="00AE16C8" w:rsidP="00AE16C8">
      <w:r w:rsidRPr="00AE16C8">
        <w:t xml:space="preserve">Le titulaire doit prévenir l’organisme de toute modification dans ses qualifications et ses polices d'assurance dans un délai d'un mois à compter de la date de la modification. </w:t>
      </w:r>
    </w:p>
    <w:p w14:paraId="5B0EE20F" w14:textId="77777777" w:rsidR="00AE16C8" w:rsidRPr="00AE16C8" w:rsidRDefault="00AE16C8" w:rsidP="00AE16C8"/>
    <w:p w14:paraId="47D3440B" w14:textId="1818106C" w:rsidR="00AE16C8" w:rsidRPr="00AE16C8" w:rsidRDefault="00AE16C8" w:rsidP="00AE16C8">
      <w:r w:rsidRPr="00AE16C8">
        <w:lastRenderedPageBreak/>
        <w:t xml:space="preserve">Les clauses d’assurances initiales et celles résultant d’une modification de police sont soumises à l’organisme qui peut demander une extension de garantie après concertation avec le titulaire et éventuellement son assureur. </w:t>
      </w:r>
    </w:p>
    <w:p w14:paraId="0EE6443F" w14:textId="77777777" w:rsidR="00AE16C8" w:rsidRPr="00AE16C8" w:rsidRDefault="00AE16C8" w:rsidP="00AE16C8">
      <w:r w:rsidRPr="00AE16C8">
        <w:t xml:space="preserve">Les franchises sont à la charge du Titulaire </w:t>
      </w:r>
    </w:p>
    <w:p w14:paraId="2DBED3F4" w14:textId="12C5E334" w:rsidR="00AE16C8" w:rsidRPr="00AE16C8" w:rsidRDefault="00AE16C8" w:rsidP="00AE16C8">
      <w:pPr>
        <w:pStyle w:val="Titre1"/>
      </w:pPr>
      <w:bookmarkStart w:id="30" w:name="_Toc49868765"/>
      <w:bookmarkStart w:id="31" w:name="_Toc192686194"/>
      <w:r w:rsidRPr="00AE16C8">
        <w:t>SOUS-TRAITANCE ET CESSION DU MARCHE</w:t>
      </w:r>
      <w:bookmarkEnd w:id="30"/>
      <w:bookmarkEnd w:id="31"/>
      <w:r w:rsidRPr="00AE16C8">
        <w:t xml:space="preserve"> </w:t>
      </w:r>
    </w:p>
    <w:p w14:paraId="0A77F839" w14:textId="5F20A613" w:rsidR="00AE16C8" w:rsidRPr="00AE16C8" w:rsidRDefault="00AE16C8" w:rsidP="00AE16C8">
      <w:pPr>
        <w:pStyle w:val="Titre2"/>
      </w:pPr>
      <w:bookmarkStart w:id="32" w:name="_Toc49868766"/>
      <w:bookmarkStart w:id="33" w:name="_Toc192686195"/>
      <w:r w:rsidRPr="00AE16C8">
        <w:t>Acception des sous-traitants</w:t>
      </w:r>
      <w:bookmarkEnd w:id="32"/>
      <w:bookmarkEnd w:id="33"/>
      <w:r w:rsidRPr="00AE16C8">
        <w:t xml:space="preserve"> </w:t>
      </w:r>
    </w:p>
    <w:p w14:paraId="377A56A2" w14:textId="77777777" w:rsidR="00AE16C8" w:rsidRPr="00AE16C8" w:rsidRDefault="00AE16C8" w:rsidP="00AE16C8">
      <w:r w:rsidRPr="00AE16C8">
        <w:t xml:space="preserve">Conformément à l’article 3.6 du CCAG-FCS, le titulaire ne peut sous-traiter l'exécution de certaines parties de son marché sans avoir obtenu de l’organisme l'acceptation de chaque sous-traitant et l'agrément des conditions de paiement de chaque contrat de sous-traitance. </w:t>
      </w:r>
    </w:p>
    <w:p w14:paraId="6B5A59F8" w14:textId="77777777" w:rsidR="00AE16C8" w:rsidRPr="00AE16C8" w:rsidRDefault="00AE16C8" w:rsidP="00AE16C8"/>
    <w:p w14:paraId="043A6620" w14:textId="77777777" w:rsidR="00AE16C8" w:rsidRPr="00AE16C8" w:rsidRDefault="00AE16C8" w:rsidP="00AE16C8">
      <w:r w:rsidRPr="00AE16C8">
        <w:t xml:space="preserve">En vue d'obtenir cette acceptation et cet agrément, il remet contre récépissé à l’INC ou lui adresse par lettre recommandée avec demande d'avis de réception une déclaration mentionnant : </w:t>
      </w:r>
    </w:p>
    <w:p w14:paraId="4F6C83CF" w14:textId="27154583" w:rsidR="00AE16C8" w:rsidRPr="00294469" w:rsidRDefault="00AE16C8" w:rsidP="00294469">
      <w:pPr>
        <w:pStyle w:val="Titre6"/>
        <w:numPr>
          <w:ilvl w:val="0"/>
          <w:numId w:val="51"/>
        </w:numPr>
        <w:rPr>
          <w:rFonts w:ascii="Arial" w:hAnsi="Arial" w:cs="Arial"/>
        </w:rPr>
      </w:pPr>
      <w:r w:rsidRPr="00294469">
        <w:rPr>
          <w:rFonts w:ascii="Arial" w:hAnsi="Arial" w:cs="Arial"/>
        </w:rPr>
        <w:t xml:space="preserve">la nature des prestations dont la sous-traitance est prévue ; </w:t>
      </w:r>
    </w:p>
    <w:p w14:paraId="11098028" w14:textId="74C178BA" w:rsidR="00AE16C8" w:rsidRPr="00294469" w:rsidRDefault="00AE16C8" w:rsidP="00294469">
      <w:pPr>
        <w:pStyle w:val="Titre6"/>
        <w:numPr>
          <w:ilvl w:val="0"/>
          <w:numId w:val="51"/>
        </w:numPr>
        <w:rPr>
          <w:rFonts w:ascii="Arial" w:hAnsi="Arial" w:cs="Arial"/>
        </w:rPr>
      </w:pPr>
      <w:r w:rsidRPr="00294469">
        <w:rPr>
          <w:rFonts w:ascii="Arial" w:hAnsi="Arial" w:cs="Arial"/>
        </w:rPr>
        <w:t xml:space="preserve">le nom, la raison ou la dénomination sociale et l'adresse du sous-traitant proposé ; </w:t>
      </w:r>
    </w:p>
    <w:p w14:paraId="34863DD9" w14:textId="3DBF359C" w:rsidR="00AE16C8" w:rsidRPr="00294469" w:rsidRDefault="00AE16C8" w:rsidP="00294469">
      <w:pPr>
        <w:pStyle w:val="Titre6"/>
        <w:numPr>
          <w:ilvl w:val="0"/>
          <w:numId w:val="51"/>
        </w:numPr>
        <w:rPr>
          <w:rFonts w:ascii="Arial" w:hAnsi="Arial" w:cs="Arial"/>
        </w:rPr>
      </w:pPr>
      <w:r w:rsidRPr="00294469">
        <w:rPr>
          <w:rFonts w:ascii="Arial" w:hAnsi="Arial" w:cs="Arial"/>
        </w:rPr>
        <w:t xml:space="preserve">les conditions de paiement prévues par le projet de contrat de sous-traitance et le montant envisagé de chaque partie sous-traitée précisés, notamment la date d'établissement des prix et, le cas échéant, les modalités de variation de prix, le régime des avances, des acomptes, des réfactions, des primes, des pénalités ; </w:t>
      </w:r>
    </w:p>
    <w:p w14:paraId="0F10A52C" w14:textId="0277ECA5" w:rsidR="00AE16C8" w:rsidRPr="00294469" w:rsidRDefault="00AE16C8" w:rsidP="00AE16C8">
      <w:pPr>
        <w:pStyle w:val="Titre6"/>
        <w:numPr>
          <w:ilvl w:val="0"/>
          <w:numId w:val="51"/>
        </w:numPr>
        <w:rPr>
          <w:rFonts w:ascii="Arial" w:hAnsi="Arial" w:cs="Arial"/>
        </w:rPr>
      </w:pPr>
      <w:r w:rsidRPr="00294469">
        <w:rPr>
          <w:rFonts w:ascii="Arial" w:hAnsi="Arial" w:cs="Arial"/>
        </w:rPr>
        <w:t xml:space="preserve">lorsque le sous-traitant a droit au paiement direct, le montant prévisionnel des sommes à payer au sous-traitant ainsi que les modalités de règlement de ces sommes. </w:t>
      </w:r>
    </w:p>
    <w:p w14:paraId="0C9D45AE" w14:textId="77777777" w:rsidR="00AE16C8" w:rsidRPr="00AE16C8" w:rsidRDefault="00AE16C8" w:rsidP="00AE16C8">
      <w:r w:rsidRPr="00AE16C8">
        <w:t xml:space="preserve">Le silence de l’organisme gardé pendant vingt et un jours à compter de la réception des documents susmentionnés vaut acceptation du sous-traitant et agrément des conditions de paiement. </w:t>
      </w:r>
    </w:p>
    <w:p w14:paraId="38CB0413" w14:textId="5EAB55C6" w:rsidR="00AE16C8" w:rsidRPr="00AE16C8" w:rsidRDefault="00AE16C8" w:rsidP="00AE16C8">
      <w:r w:rsidRPr="00AE16C8">
        <w:t xml:space="preserve">Toutefois, lorsque la demande de sous-traitance est présentée avec l'offre du prestataire, la notification du marché emporte acceptation du sous-traitant et agrément des conditions de paiement. </w:t>
      </w:r>
    </w:p>
    <w:p w14:paraId="5F6822D8" w14:textId="77777777" w:rsidR="00AE16C8" w:rsidRPr="00AE16C8" w:rsidRDefault="00AE16C8" w:rsidP="00AE16C8">
      <w:r w:rsidRPr="00AE16C8">
        <w:t xml:space="preserve">Lorsqu'un sous-traitant doit être payé directement, le titulaire est tenu, lors de la demande d'acceptation, d'établir que le nantissement dont le marché a pu faire l'objet ne fait pas obstacle au paiement direct du sous-traitant. </w:t>
      </w:r>
    </w:p>
    <w:p w14:paraId="3C9422C5" w14:textId="704C3E51" w:rsidR="00AE16C8" w:rsidRPr="00AE16C8" w:rsidRDefault="00AE16C8" w:rsidP="00AE16C8">
      <w:r w:rsidRPr="00AE16C8">
        <w:t xml:space="preserve">Dans tous les cas, le titulaire demeure entièrement responsable vis-à-vis de l’organisme des prestations sous-traitées. </w:t>
      </w:r>
    </w:p>
    <w:p w14:paraId="0B99C3C6" w14:textId="43BDA650" w:rsidR="00AE16C8" w:rsidRPr="00AE16C8" w:rsidRDefault="00AE16C8" w:rsidP="00AE16C8">
      <w:pPr>
        <w:pStyle w:val="Titre2"/>
      </w:pPr>
      <w:bookmarkStart w:id="34" w:name="_Toc49868767"/>
      <w:bookmarkStart w:id="35" w:name="_Toc192686196"/>
      <w:r w:rsidRPr="00AE16C8">
        <w:t>Modalités de paiement direct</w:t>
      </w:r>
      <w:bookmarkEnd w:id="34"/>
      <w:bookmarkEnd w:id="35"/>
      <w:r w:rsidRPr="00AE16C8">
        <w:t xml:space="preserve"> </w:t>
      </w:r>
    </w:p>
    <w:p w14:paraId="5F40DCFD" w14:textId="7CB1E703" w:rsidR="00AE16C8" w:rsidRPr="00AE16C8" w:rsidRDefault="00AE16C8" w:rsidP="00AE16C8">
      <w:proofErr w:type="gramStart"/>
      <w:r w:rsidRPr="00AE16C8">
        <w:t>Conformément  au</w:t>
      </w:r>
      <w:proofErr w:type="gramEnd"/>
      <w:r w:rsidRPr="00AE16C8">
        <w:t xml:space="preserve"> Code </w:t>
      </w:r>
      <w:r w:rsidR="000B7742">
        <w:t>de la commande publique</w:t>
      </w:r>
      <w:r w:rsidRPr="00AE16C8">
        <w:t xml:space="preserve">, lorsque le montant du contrat de sous-traitance est égal ou supérieur à 600 Euros TTC, le sous-traitant, qui a été accepté et dont les conditions de paiement ont été agréées par le pouvoir adjudicateur, est payé directement, pour la partie du marché dont il assure l'exécution. </w:t>
      </w:r>
    </w:p>
    <w:p w14:paraId="37837473" w14:textId="112C01C7" w:rsidR="00AE16C8" w:rsidRPr="00AE16C8" w:rsidRDefault="00AE16C8" w:rsidP="00AE16C8">
      <w:r w:rsidRPr="00AE16C8">
        <w:t>Le titulaire du marché joint en double exemplaire à la facture mensuelle la somme à régler par l’organisme à chaque sous-traitant concerné ; cette somme tient compte d'une éventuelle révision ou actualisation des prix prévus dans le contrat de sous-traitance et inclut la TVA.</w:t>
      </w:r>
    </w:p>
    <w:p w14:paraId="178C3C4B" w14:textId="747A0F3A" w:rsidR="00AE16C8" w:rsidRPr="00AE16C8" w:rsidRDefault="00AE16C8" w:rsidP="00AE16C8">
      <w:pPr>
        <w:pStyle w:val="Titre2"/>
      </w:pPr>
      <w:bookmarkStart w:id="36" w:name="_Toc49868768"/>
      <w:bookmarkStart w:id="37" w:name="_Toc192686197"/>
      <w:r w:rsidRPr="00AE16C8">
        <w:t>Cession de marché</w:t>
      </w:r>
      <w:bookmarkEnd w:id="36"/>
      <w:bookmarkEnd w:id="37"/>
      <w:r w:rsidRPr="00AE16C8">
        <w:t xml:space="preserve"> </w:t>
      </w:r>
    </w:p>
    <w:p w14:paraId="79F1CBEE" w14:textId="77777777" w:rsidR="00AE16C8" w:rsidRPr="00AE16C8" w:rsidRDefault="00AE16C8" w:rsidP="00AE16C8">
      <w:r w:rsidRPr="00AE16C8">
        <w:t xml:space="preserve">Le Titulaire ne peut céder le marché sans un accord préalablement écrit de l'Organisme. </w:t>
      </w:r>
    </w:p>
    <w:p w14:paraId="4C295CA0" w14:textId="77777777" w:rsidR="00AE16C8" w:rsidRPr="00AE16C8" w:rsidRDefault="00AE16C8" w:rsidP="00AE16C8">
      <w:r w:rsidRPr="00AE16C8">
        <w:t xml:space="preserve">La cession du marché ne peut être acceptée par l’INC si la cession est jugée irrégulière. </w:t>
      </w:r>
    </w:p>
    <w:p w14:paraId="69D34701" w14:textId="77777777" w:rsidR="00AE16C8" w:rsidRPr="00AE16C8" w:rsidRDefault="00AE16C8" w:rsidP="00AE16C8"/>
    <w:p w14:paraId="6957EC3E" w14:textId="77777777" w:rsidR="00AE16C8" w:rsidRPr="00AE16C8" w:rsidRDefault="00AE16C8" w:rsidP="00AE16C8">
      <w:r w:rsidRPr="00AE16C8">
        <w:lastRenderedPageBreak/>
        <w:t>L’INC peut s’opposer à cette cession, sauf lorsqu’il est fait application de la loi n°85-98 du 25 janvier 1985 relative au redressement et à la liquidation judiciaire des entreprises, ou dans les cas de fusion notamment, lorsque l’activité du Titulaire est cédée à la seule condition que le repreneur présente au moins les mêmes compétences et garanties au regard du Titulaire et que le cessionnaire accepte les conditions du marché.</w:t>
      </w:r>
    </w:p>
    <w:p w14:paraId="6D0F0287" w14:textId="77777777" w:rsidR="00AE16C8" w:rsidRPr="00AE16C8" w:rsidRDefault="00AE16C8" w:rsidP="00294469"/>
    <w:p w14:paraId="3F5BE1B2" w14:textId="47E9417A" w:rsidR="00AE16C8" w:rsidRPr="00AE16C8" w:rsidRDefault="00AE16C8" w:rsidP="00AE16C8">
      <w:pPr>
        <w:pStyle w:val="Titre1"/>
      </w:pPr>
      <w:bookmarkStart w:id="38" w:name="_Toc49868769"/>
      <w:bookmarkStart w:id="39" w:name="_Toc192686198"/>
      <w:r w:rsidRPr="00AE16C8">
        <w:t>CONTROLE ET RECEPTION DES PRESTATIONS – REFACTIONS PARTIELLES et/ou GENERALES</w:t>
      </w:r>
      <w:bookmarkEnd w:id="38"/>
      <w:bookmarkEnd w:id="39"/>
    </w:p>
    <w:p w14:paraId="48222EBC" w14:textId="0A254DD2" w:rsidR="00AE16C8" w:rsidRPr="00AE16C8" w:rsidRDefault="00AE16C8" w:rsidP="00AE16C8">
      <w:r w:rsidRPr="00AE16C8">
        <w:t xml:space="preserve">Par dérogation aux dispositions du chapitre 5 du CCAG-FCS, la vérification de la bonne exécution des prestations est réalisée selon les modalités de contrôle et de </w:t>
      </w:r>
      <w:proofErr w:type="spellStart"/>
      <w:r w:rsidRPr="00AE16C8">
        <w:t>reporting</w:t>
      </w:r>
      <w:proofErr w:type="spellEnd"/>
      <w:r w:rsidRPr="00AE16C8">
        <w:t xml:space="preserve"> prévues à l’article 4 du CCTP</w:t>
      </w:r>
      <w:r w:rsidR="000B7742">
        <w:t>.</w:t>
      </w:r>
    </w:p>
    <w:p w14:paraId="423EAA27" w14:textId="00F7C6E7" w:rsidR="00AE16C8" w:rsidRPr="00AE16C8" w:rsidRDefault="00AE16C8" w:rsidP="00AE16C8">
      <w:pPr>
        <w:pStyle w:val="Titre2"/>
      </w:pPr>
      <w:bookmarkStart w:id="40" w:name="_Toc49868770"/>
      <w:bookmarkStart w:id="41" w:name="_Toc192686199"/>
      <w:r w:rsidRPr="00AE16C8">
        <w:t>Résultats des contrôles</w:t>
      </w:r>
      <w:bookmarkEnd w:id="40"/>
      <w:bookmarkEnd w:id="41"/>
    </w:p>
    <w:p w14:paraId="53106CDF" w14:textId="3C963A99" w:rsidR="00AE16C8" w:rsidRPr="00AE16C8" w:rsidRDefault="00AE16C8" w:rsidP="00AE16C8">
      <w:r w:rsidRPr="00AE16C8">
        <w:t>Qu’ils soient quotidiens, inopinés ou contradictoires tels que définis dans l’article 4 du CCTP, les contrôles défaillants sont notés dans le tableau synthétique de suivi des services faits, peuvent faire l’objet de réclamations, et doivent faire l’objet de remise en état.</w:t>
      </w:r>
    </w:p>
    <w:p w14:paraId="6BB41755" w14:textId="085A76A4" w:rsidR="00AE16C8" w:rsidRPr="00AE16C8" w:rsidRDefault="00AE16C8" w:rsidP="00AE16C8">
      <w:r w:rsidRPr="00AE16C8">
        <w:t>Ces remises en état sont incluses dans les montants prévus au marché.</w:t>
      </w:r>
    </w:p>
    <w:p w14:paraId="6EFC0772" w14:textId="03B415F8" w:rsidR="00AE16C8" w:rsidRPr="00AE16C8" w:rsidRDefault="00AE16C8" w:rsidP="00AE16C8">
      <w:pPr>
        <w:pStyle w:val="Titre2"/>
      </w:pPr>
      <w:bookmarkStart w:id="42" w:name="_Toc49868771"/>
      <w:bookmarkStart w:id="43" w:name="_Toc192686200"/>
      <w:r w:rsidRPr="00AE16C8">
        <w:t>Réfactions diverses</w:t>
      </w:r>
      <w:bookmarkEnd w:id="42"/>
      <w:bookmarkEnd w:id="43"/>
    </w:p>
    <w:p w14:paraId="55B69B85" w14:textId="77777777" w:rsidR="00AE16C8" w:rsidRPr="00AE16C8" w:rsidRDefault="00AE16C8" w:rsidP="00AE16C8">
      <w:r w:rsidRPr="00AE16C8">
        <w:t>Les réfactions sanctionnent les non-exécutions de la prestation, qu’elles soient partielles ou totales.</w:t>
      </w:r>
    </w:p>
    <w:p w14:paraId="17FE0E3D" w14:textId="73FB3383" w:rsidR="00AE16C8" w:rsidRPr="00AE16C8" w:rsidRDefault="00AE16C8" w:rsidP="00AE16C8">
      <w:r w:rsidRPr="00AE16C8">
        <w:t xml:space="preserve">Elles s’additionnent aux pénalités prévues à l’article </w:t>
      </w:r>
      <w:r w:rsidR="00294469">
        <w:t>pénalités</w:t>
      </w:r>
      <w:r w:rsidRPr="00AE16C8">
        <w:t>.</w:t>
      </w:r>
    </w:p>
    <w:p w14:paraId="0874EACB" w14:textId="77777777" w:rsidR="00AE16C8" w:rsidRPr="00AE16C8" w:rsidRDefault="00AE16C8" w:rsidP="00AE16C8">
      <w:r w:rsidRPr="00AE16C8">
        <w:t xml:space="preserve">La non-exécution de la prestation donnera lieu à une mise en demeure. Celle-ci indique la date limite avant laquelle le titulaire devra effectuer la prestation et pourra prendre la forme d’un courrier, d’un courriel ou d’une télécopie. </w:t>
      </w:r>
    </w:p>
    <w:p w14:paraId="08601CCE" w14:textId="77777777" w:rsidR="00AE16C8" w:rsidRPr="00AE16C8" w:rsidRDefault="00AE16C8" w:rsidP="00AE16C8">
      <w:r w:rsidRPr="00AE16C8">
        <w:t xml:space="preserve">A l’issue de ce délai, la non-exécution de la prestation entraine le rejet de la prestation sans mise en demeure préalable. Le pouvoir adjudicateur se réserve le droit de faire réaliser la prestation par une autre entreprise aux frais exclusifs du titulaire. </w:t>
      </w:r>
    </w:p>
    <w:p w14:paraId="5E225014" w14:textId="06F42546" w:rsidR="00AE16C8" w:rsidRPr="00AE16C8" w:rsidRDefault="00AE16C8" w:rsidP="00AE16C8">
      <w:r w:rsidRPr="00AE16C8">
        <w:t xml:space="preserve">En cas de non-exécution de la prestation 2 mois de suite, ou 2 fois sur une période de 6 mois le marché pourra être résilié aux torts exclusifs du titulaire conformément à l’article 10 du présent CCAP. </w:t>
      </w:r>
    </w:p>
    <w:p w14:paraId="38BBBA77" w14:textId="0C48FC07" w:rsidR="00AE16C8" w:rsidRPr="00AE16C8" w:rsidRDefault="00AE16C8" w:rsidP="00AE16C8">
      <w:pPr>
        <w:pStyle w:val="Titre2"/>
      </w:pPr>
      <w:bookmarkStart w:id="44" w:name="_Toc49868772"/>
      <w:bookmarkStart w:id="45" w:name="_Toc192686201"/>
      <w:r w:rsidRPr="00AE16C8">
        <w:t>Présentation mensuelle du tableau synthétique de suivi des services faits</w:t>
      </w:r>
      <w:bookmarkEnd w:id="44"/>
      <w:bookmarkEnd w:id="45"/>
    </w:p>
    <w:p w14:paraId="14ED274C" w14:textId="571CB48F" w:rsidR="00AE16C8" w:rsidRPr="00AE16C8" w:rsidRDefault="003A2802" w:rsidP="00AE16C8">
      <w:r>
        <w:t>Le</w:t>
      </w:r>
      <w:r w:rsidR="00AE16C8" w:rsidRPr="00AE16C8">
        <w:t xml:space="preserve"> titulaire remet à la fin du mois un tableau reprenant l’ensemble des exigences, des critères et des niveaux et indiquant les niveaux obtenus dans le mois pour ses prestations au regard de chaque ligne d’exigence.</w:t>
      </w:r>
    </w:p>
    <w:p w14:paraId="69094DB2" w14:textId="77777777" w:rsidR="00AE16C8" w:rsidRPr="00AE16C8" w:rsidRDefault="00AE16C8" w:rsidP="00AE16C8">
      <w:r w:rsidRPr="00AE16C8">
        <w:t>Il conserve par devers lui l’ensemble des éléments qui lui ont permis de calculer les résultats obtenus.</w:t>
      </w:r>
    </w:p>
    <w:p w14:paraId="24EFCB34" w14:textId="66F94160" w:rsidR="00AE16C8" w:rsidRPr="00AE16C8" w:rsidRDefault="00AE16C8" w:rsidP="00AE16C8">
      <w:r w:rsidRPr="00AE16C8">
        <w:t>Le pouvoir adjudicateur, s’il est d’accord avec les niveaux signe le tableau synthétique de suivi des services faits qui devient dès lors une attestation de service fait</w:t>
      </w:r>
    </w:p>
    <w:p w14:paraId="7B9C82DA" w14:textId="034DFFDB" w:rsidR="00AE16C8" w:rsidRPr="00AE16C8" w:rsidRDefault="00AE16C8" w:rsidP="00AE16C8">
      <w:r w:rsidRPr="00AE16C8">
        <w:t xml:space="preserve">En cas de </w:t>
      </w:r>
      <w:proofErr w:type="gramStart"/>
      <w:r w:rsidRPr="00AE16C8">
        <w:t>non obtention</w:t>
      </w:r>
      <w:proofErr w:type="gramEnd"/>
      <w:r w:rsidRPr="00AE16C8">
        <w:t xml:space="preserve"> des niveaux attendus, les pénalités prévues à l’article 8 de ce cahier des charges sont applicables sans discussion. Le tableau synthétique de suivi des services n’est alors signé que sur présentation des avoirs correspondant aux pénalités, et ce sans qu’il soit nécessaire au pouvoir adjudicateur d’émettre de demande sous forme de lettre ou courriel pour l’application de ces pénalités.</w:t>
      </w:r>
    </w:p>
    <w:p w14:paraId="3E54CDDF" w14:textId="77777777" w:rsidR="00AE16C8" w:rsidRPr="00AE16C8" w:rsidRDefault="00AE16C8" w:rsidP="00AE16C8">
      <w:r w:rsidRPr="00AE16C8">
        <w:t>Dans ce cas, dès que les avoirs sont fournis, le pouvoir adjudicateur signe le tableau synthétique des services faits comme vu supra.</w:t>
      </w:r>
    </w:p>
    <w:p w14:paraId="566AB469" w14:textId="77777777" w:rsidR="00AE16C8" w:rsidRPr="00AE16C8" w:rsidRDefault="00AE16C8" w:rsidP="00AE16C8"/>
    <w:p w14:paraId="1ECB70D1" w14:textId="625D3153" w:rsidR="00AE16C8" w:rsidRPr="00AE16C8" w:rsidRDefault="00AE16C8" w:rsidP="00AE16C8">
      <w:r w:rsidRPr="00AE16C8">
        <w:lastRenderedPageBreak/>
        <w:t>Dans le cas où exceptionnellement un niveau requis n’aurait pas été atteint, mais que le pouvoir adjudicateur souhaite dispenser de manière très exceptionnelle le titulaire des pénalités exigibles, le pouvoir adjudicateur mentionne dans la colonne ad hoc dans le TSSSF le motif d’exonération de ces pénalités et accepte le tableau synthétique des services faits en renonçant aux avoirs.</w:t>
      </w:r>
    </w:p>
    <w:p w14:paraId="74F2032E" w14:textId="4FF865EF" w:rsidR="00AE16C8" w:rsidRPr="00AE16C8" w:rsidRDefault="00AE16C8" w:rsidP="00294469">
      <w:pPr>
        <w:pStyle w:val="Titre2"/>
      </w:pPr>
      <w:bookmarkStart w:id="46" w:name="_Toc49868773"/>
      <w:bookmarkStart w:id="47" w:name="_Toc192686202"/>
      <w:r w:rsidRPr="00AE16C8">
        <w:t>Contrôle par audit</w:t>
      </w:r>
      <w:bookmarkEnd w:id="46"/>
      <w:bookmarkEnd w:id="47"/>
    </w:p>
    <w:p w14:paraId="1C8EFF05" w14:textId="6FAB632B" w:rsidR="00AE16C8" w:rsidRPr="00AE16C8" w:rsidRDefault="00AE16C8" w:rsidP="00AE16C8">
      <w:r w:rsidRPr="00AE16C8">
        <w:t>À tout moment lors de l’exécution du marché, le pouvoir adjudicateur se réserve le droit de faire procéder à un audit opérationnel, social et/ou environnemental du titulaire. Cet audit porte sur le respect de la réglementation, ainsi que sur le respect des promesses faites par le titulaire dans son offre (mémoire technique, acte d’engagement et ses annexes)</w:t>
      </w:r>
    </w:p>
    <w:p w14:paraId="31FFBA18" w14:textId="1D084E14" w:rsidR="00AE16C8" w:rsidRPr="00AE16C8" w:rsidRDefault="00AE16C8" w:rsidP="00AE16C8">
      <w:r w:rsidRPr="00AE16C8">
        <w:t>Dans le cas où cet audit est défaillant avec des non-conformités majeures (défaillance généralisée ou constante par rapport à une promesse ou par rapport à une exigence légale), un audit de suivi est rendu nécessaire. Audit et audits de suivi sont mis à la charge du titulaire, et les pénalités prévues pour cette défaillance sont appliquées.</w:t>
      </w:r>
    </w:p>
    <w:p w14:paraId="33D262C1" w14:textId="62A806A4" w:rsidR="00AE16C8" w:rsidRPr="00AE16C8" w:rsidRDefault="00AE16C8" w:rsidP="00AE16C8">
      <w:r w:rsidRPr="00AE16C8">
        <w:t>Dans le cas où aucune défaillance n’est identifiée par l’auditeur, l’audit reste à la charge du pouvoir adjudicateur.</w:t>
      </w:r>
    </w:p>
    <w:p w14:paraId="4A9862AB" w14:textId="4CE3D444" w:rsidR="00AE16C8" w:rsidRPr="00AE16C8" w:rsidRDefault="00AE16C8" w:rsidP="00AE16C8">
      <w:r w:rsidRPr="00AE16C8">
        <w:t>Les auditeurs sociaux sont des auditeurs travaillant pour des organismes certificateurs (AFNOR, Bureau VERITAS, SGS), et sont qualifiés APSCA</w:t>
      </w:r>
    </w:p>
    <w:p w14:paraId="69B1D823" w14:textId="5B53004E" w:rsidR="00AE16C8" w:rsidRPr="00AE16C8" w:rsidRDefault="00AE16C8" w:rsidP="00AE16C8">
      <w:r w:rsidRPr="00AE16C8">
        <w:t xml:space="preserve">La nature des </w:t>
      </w:r>
      <w:r w:rsidR="000B7742" w:rsidRPr="00AE16C8">
        <w:t>non-conformités</w:t>
      </w:r>
      <w:r w:rsidRPr="00AE16C8">
        <w:t xml:space="preserve"> (critiques, majeures, mineures) fait l’objet d’une catégorisation précise qui sera remise au démarrage des prestations, et s’appuie sur les catégorisations classiques des audits de conformité ou RSE. </w:t>
      </w:r>
    </w:p>
    <w:p w14:paraId="149B4404" w14:textId="179C3062" w:rsidR="00AE16C8" w:rsidRPr="00AE16C8" w:rsidRDefault="00AE16C8" w:rsidP="00AE16C8">
      <w:pPr>
        <w:pStyle w:val="Titre1"/>
      </w:pPr>
      <w:bookmarkStart w:id="48" w:name="_Toc49868774"/>
      <w:bookmarkStart w:id="49" w:name="_Toc192686203"/>
      <w:r w:rsidRPr="00AE16C8">
        <w:t>PRIX - PAIEMENT - ETABLISSEMENT DE LA FACTURE</w:t>
      </w:r>
      <w:bookmarkEnd w:id="48"/>
      <w:bookmarkEnd w:id="49"/>
      <w:r w:rsidRPr="00AE16C8">
        <w:t xml:space="preserve"> </w:t>
      </w:r>
    </w:p>
    <w:p w14:paraId="73B438C4" w14:textId="1622727D" w:rsidR="00AE16C8" w:rsidRPr="00AE16C8" w:rsidRDefault="00AE16C8" w:rsidP="00AE16C8">
      <w:pPr>
        <w:pStyle w:val="Titre2"/>
      </w:pPr>
      <w:bookmarkStart w:id="50" w:name="_Toc49868775"/>
      <w:bookmarkStart w:id="51" w:name="_Toc192686204"/>
      <w:r w:rsidRPr="00AE16C8">
        <w:t>Formes des prix :</w:t>
      </w:r>
      <w:bookmarkEnd w:id="50"/>
      <w:bookmarkEnd w:id="51"/>
      <w:r w:rsidRPr="00AE16C8">
        <w:t xml:space="preserve"> </w:t>
      </w:r>
    </w:p>
    <w:p w14:paraId="72EA9277" w14:textId="70F2B7C9" w:rsidR="00AE16C8" w:rsidRPr="00AE16C8" w:rsidRDefault="00AE16C8" w:rsidP="00294469">
      <w:r w:rsidRPr="00AE16C8">
        <w:t>Le marché est rémunéré à prix forfaitaires (Prestations systématiques) variables en quantité et unités d’œuvres, selon l’annexe financière.</w:t>
      </w:r>
      <w:bookmarkStart w:id="52" w:name="_Toc49868776"/>
    </w:p>
    <w:p w14:paraId="5C6D1385" w14:textId="0B90C67A" w:rsidR="00AE16C8" w:rsidRPr="00AE16C8" w:rsidRDefault="00AE16C8" w:rsidP="00AE16C8">
      <w:pPr>
        <w:pStyle w:val="Titre2"/>
      </w:pPr>
      <w:bookmarkStart w:id="53" w:name="_Toc192686205"/>
      <w:r w:rsidRPr="00AE16C8">
        <w:t>Contenu des prix</w:t>
      </w:r>
      <w:bookmarkEnd w:id="52"/>
      <w:bookmarkEnd w:id="53"/>
    </w:p>
    <w:p w14:paraId="1DF3CE0D" w14:textId="3FECA441" w:rsidR="00AE16C8" w:rsidRPr="00AE16C8" w:rsidRDefault="00AE16C8" w:rsidP="00AE16C8">
      <w:r w:rsidRPr="00AE16C8">
        <w:t>Le</w:t>
      </w:r>
      <w:r w:rsidR="000B7742">
        <w:t>s</w:t>
      </w:r>
      <w:r w:rsidRPr="00AE16C8">
        <w:t xml:space="preserve"> prix </w:t>
      </w:r>
      <w:r w:rsidR="000B7742" w:rsidRPr="00AE16C8">
        <w:t>compren</w:t>
      </w:r>
      <w:r w:rsidR="000B7742">
        <w:t xml:space="preserve">nent </w:t>
      </w:r>
      <w:r w:rsidRPr="00AE16C8">
        <w:t xml:space="preserve">l’accomplissement de l’ensemble des prestations décrites dans les pièces contractuelles. </w:t>
      </w:r>
    </w:p>
    <w:p w14:paraId="565EAAB8" w14:textId="2EE2E8EE" w:rsidR="00AE16C8" w:rsidRPr="00AE16C8" w:rsidRDefault="00AE16C8" w:rsidP="00AE16C8">
      <w:r w:rsidRPr="00AE16C8">
        <w:t xml:space="preserve">Les prix, exprimés en euros, incluent notamment l’ensemble des vacations, dépenses de main-d’œuvre, fournitures et transports nécessaires, tous les frais généraux, bénéfices, frais, charges sociales, fiscales, para fiscales et taxes diverses ainsi que les risques d’accident personnels ou aux tiers, pouvant survenir lors de l’exécution des prestations de sorte qu’aucun supplément de quelque nature que ce soit ne puisse s’y ajouter. </w:t>
      </w:r>
    </w:p>
    <w:p w14:paraId="08C82B04" w14:textId="77777777" w:rsidR="00AE16C8" w:rsidRPr="00AE16C8" w:rsidRDefault="00AE16C8" w:rsidP="00AE16C8">
      <w:r w:rsidRPr="00AE16C8">
        <w:t xml:space="preserve">Le montant des facturations sera majoré de la T.V.A. au taux en vigueur au moment de l’établissement de la facture. Si ce taux venait à changer au cours du marché, le nouveau taux s’appliquerait de plein droit. </w:t>
      </w:r>
    </w:p>
    <w:p w14:paraId="73308315" w14:textId="74663437" w:rsidR="00AE16C8" w:rsidRPr="00AE16C8" w:rsidRDefault="00AE16C8" w:rsidP="00AE16C8">
      <w:pPr>
        <w:pStyle w:val="Titre2"/>
      </w:pPr>
      <w:bookmarkStart w:id="54" w:name="_Toc49868777"/>
      <w:bookmarkStart w:id="55" w:name="_Toc192686206"/>
      <w:r w:rsidRPr="00AE16C8">
        <w:t>Paiement – Facture</w:t>
      </w:r>
      <w:bookmarkEnd w:id="54"/>
      <w:bookmarkEnd w:id="55"/>
    </w:p>
    <w:p w14:paraId="2721B27E" w14:textId="4878F8E3" w:rsidR="00AE16C8" w:rsidRPr="00AE16C8" w:rsidRDefault="00AE16C8" w:rsidP="00294469">
      <w:pPr>
        <w:pStyle w:val="Titre5"/>
      </w:pPr>
      <w:r w:rsidRPr="00AE16C8">
        <w:t xml:space="preserve">Paiements et fréquences associées. </w:t>
      </w:r>
    </w:p>
    <w:p w14:paraId="52C95AF9" w14:textId="77777777" w:rsidR="00AE16C8" w:rsidRPr="00AE16C8" w:rsidRDefault="00AE16C8" w:rsidP="00AE16C8"/>
    <w:p w14:paraId="11B3DC13" w14:textId="77777777" w:rsidR="00AE16C8" w:rsidRPr="00AE16C8" w:rsidRDefault="00AE16C8" w:rsidP="00AE16C8"/>
    <w:p w14:paraId="4B8AF87A" w14:textId="77777777" w:rsidR="00AE16C8" w:rsidRPr="00AE16C8" w:rsidRDefault="00AE16C8" w:rsidP="00AE16C8">
      <w:r w:rsidRPr="00AE16C8">
        <w:lastRenderedPageBreak/>
        <w:t>Ces prestations à prix forfaitaire objet du marché, seront calculées à la réalisation de la prestation, mensuellement, semestriellement ou annuellement tel que cela figure dans l’annexe financière à l’acte d’engagement et déduites des sommes récupérées par le titulaire au profit de l’INC (produit des ventes)</w:t>
      </w:r>
    </w:p>
    <w:p w14:paraId="69616508" w14:textId="77777777" w:rsidR="00E54C5A" w:rsidRPr="00741786" w:rsidRDefault="00E54C5A" w:rsidP="00C84F2A">
      <w:pPr>
        <w:pStyle w:val="Titre5"/>
      </w:pPr>
      <w:bookmarkStart w:id="56" w:name="_Toc179970253"/>
      <w:r w:rsidRPr="00741786">
        <w:t>Modalités de paiement</w:t>
      </w:r>
      <w:bookmarkEnd w:id="56"/>
      <w:r w:rsidRPr="00741786">
        <w:t xml:space="preserve"> </w:t>
      </w:r>
    </w:p>
    <w:p w14:paraId="586DC9BC" w14:textId="77777777" w:rsidR="00E54C5A" w:rsidRDefault="00E54C5A" w:rsidP="00E54C5A">
      <w:r>
        <w:t>Le titulaire ainsi que, le cas échéant, ses cotraitants et ses sous-traitants concernés, doivent transmettre leurs demandes de paiement sur le portail mutualisé de l’Etat Chorus Pro (</w:t>
      </w:r>
      <w:hyperlink r:id="rId12" w:history="1">
        <w:r w:rsidRPr="002301EE">
          <w:rPr>
            <w:rStyle w:val="Lienhypertexte"/>
          </w:rPr>
          <w:t>https://chorus-pro.gouv.fr</w:t>
        </w:r>
      </w:hyperlink>
      <w:r>
        <w:t>).</w:t>
      </w:r>
    </w:p>
    <w:p w14:paraId="06E1055F" w14:textId="77777777" w:rsidR="00E54C5A" w:rsidRDefault="00E54C5A" w:rsidP="00E54C5A">
      <w:r>
        <w:t xml:space="preserve">Les informations permettant de déposer les factures sur Chorus portail pro sont les suivantes : </w:t>
      </w:r>
    </w:p>
    <w:p w14:paraId="0197B959" w14:textId="77777777" w:rsidR="00E54C5A" w:rsidRPr="0047196B" w:rsidRDefault="00E54C5A" w:rsidP="00E54C5A">
      <w:pPr>
        <w:pStyle w:val="Paragraphedeliste"/>
        <w:numPr>
          <w:ilvl w:val="0"/>
          <w:numId w:val="7"/>
        </w:numPr>
        <w:spacing w:before="0" w:after="0" w:line="257" w:lineRule="auto"/>
      </w:pPr>
      <w:r w:rsidRPr="0047196B">
        <w:t>Siret : n° 381856723000</w:t>
      </w:r>
      <w:r>
        <w:t>30</w:t>
      </w:r>
      <w:r w:rsidRPr="0047196B">
        <w:t xml:space="preserve"> ;</w:t>
      </w:r>
    </w:p>
    <w:p w14:paraId="34AE48C6" w14:textId="77777777" w:rsidR="00E54C5A" w:rsidRPr="0047196B" w:rsidRDefault="00E54C5A" w:rsidP="00E54C5A">
      <w:pPr>
        <w:pStyle w:val="Paragraphedeliste"/>
        <w:numPr>
          <w:ilvl w:val="0"/>
          <w:numId w:val="7"/>
        </w:numPr>
        <w:spacing w:before="0" w:after="0" w:line="257" w:lineRule="auto"/>
      </w:pPr>
      <w:r w:rsidRPr="0047196B">
        <w:t>Code service Chorus Pro : FACURES_PUBLIQUES</w:t>
      </w:r>
    </w:p>
    <w:p w14:paraId="1D2AABAD" w14:textId="77777777" w:rsidR="00E54C5A" w:rsidRPr="0047196B" w:rsidRDefault="00E54C5A" w:rsidP="00E54C5A">
      <w:pPr>
        <w:pStyle w:val="Paragraphedeliste"/>
        <w:numPr>
          <w:ilvl w:val="0"/>
          <w:numId w:val="7"/>
        </w:numPr>
        <w:spacing w:before="0" w:after="0" w:line="257" w:lineRule="auto"/>
      </w:pPr>
      <w:r w:rsidRPr="0047196B">
        <w:t>Engagement(s) : les informations sont référencées sur chaque bon de commande – dans le cartouche Facturation électronique « Références Chorus Pro » ;</w:t>
      </w:r>
    </w:p>
    <w:p w14:paraId="0908BF5D" w14:textId="25CF20C5" w:rsidR="00E54C5A" w:rsidRDefault="00E54C5A" w:rsidP="00E54C5A">
      <w:pPr>
        <w:pStyle w:val="Paragraphedeliste"/>
        <w:numPr>
          <w:ilvl w:val="0"/>
          <w:numId w:val="7"/>
        </w:numPr>
        <w:spacing w:before="0" w:after="0" w:line="257" w:lineRule="auto"/>
      </w:pPr>
      <w:r w:rsidRPr="0047196B">
        <w:t>Numéro de marché : 202</w:t>
      </w:r>
      <w:r>
        <w:t>5-048</w:t>
      </w:r>
    </w:p>
    <w:p w14:paraId="2FA214C3" w14:textId="77777777" w:rsidR="00E54C5A" w:rsidRPr="0047196B" w:rsidRDefault="00E54C5A" w:rsidP="00E54C5A">
      <w:pPr>
        <w:pStyle w:val="Paragraphedeliste"/>
        <w:numPr>
          <w:ilvl w:val="0"/>
          <w:numId w:val="0"/>
        </w:numPr>
        <w:ind w:left="720"/>
      </w:pPr>
    </w:p>
    <w:p w14:paraId="780340FC" w14:textId="77777777" w:rsidR="00E54C5A" w:rsidRDefault="00E54C5A" w:rsidP="00E54C5A">
      <w:r>
        <w:t>Ces informations devront également figurer dans l’entête de la demande de paiement.</w:t>
      </w:r>
    </w:p>
    <w:p w14:paraId="2FE0F853" w14:textId="77777777" w:rsidR="00E54C5A" w:rsidRPr="0023152A" w:rsidRDefault="00E54C5A" w:rsidP="00C84F2A">
      <w:pPr>
        <w:pStyle w:val="Titre5"/>
        <w:rPr>
          <w:b/>
        </w:rPr>
      </w:pPr>
      <w:bookmarkStart w:id="57" w:name="_Toc179970254"/>
      <w:r w:rsidRPr="0023152A">
        <w:t>Mentions de la facture</w:t>
      </w:r>
      <w:bookmarkEnd w:id="57"/>
    </w:p>
    <w:p w14:paraId="4CF1F724" w14:textId="77777777" w:rsidR="00E54C5A" w:rsidRPr="00094E6E" w:rsidRDefault="00E54C5A" w:rsidP="00E54C5A">
      <w:pPr>
        <w:rPr>
          <w:b/>
          <w:bCs/>
          <w:u w:val="single"/>
        </w:rPr>
      </w:pPr>
      <w:r w:rsidRPr="00094E6E">
        <w:rPr>
          <w:b/>
          <w:bCs/>
          <w:u w:val="single"/>
        </w:rPr>
        <w:t xml:space="preserve">Pour les prestations complémentaires (réalisations de </w:t>
      </w:r>
      <w:proofErr w:type="spellStart"/>
      <w:r w:rsidRPr="00094E6E">
        <w:rPr>
          <w:b/>
          <w:bCs/>
          <w:u w:val="single"/>
        </w:rPr>
        <w:t>packs</w:t>
      </w:r>
      <w:proofErr w:type="spellEnd"/>
      <w:r w:rsidRPr="00094E6E">
        <w:rPr>
          <w:b/>
          <w:bCs/>
          <w:u w:val="single"/>
        </w:rPr>
        <w:t>, déposes de stickers etc…) :</w:t>
      </w:r>
    </w:p>
    <w:p w14:paraId="64A35241" w14:textId="3C4E1CB7" w:rsidR="00E54C5A" w:rsidRDefault="00E54C5A" w:rsidP="00E54C5A">
      <w:r>
        <w:t xml:space="preserve">La facture ou son équivalent mentionne, outre les mentions légales, les indications suivantes : </w:t>
      </w:r>
    </w:p>
    <w:p w14:paraId="68977A1A" w14:textId="77777777" w:rsidR="00E54C5A" w:rsidRPr="00B14FFD" w:rsidRDefault="00E54C5A" w:rsidP="00E54C5A">
      <w:pPr>
        <w:pStyle w:val="Retraitcorpsdetexte"/>
        <w:numPr>
          <w:ilvl w:val="0"/>
          <w:numId w:val="12"/>
        </w:numPr>
        <w:spacing w:before="0" w:after="0" w:line="257" w:lineRule="auto"/>
        <w:ind w:left="1066" w:hanging="357"/>
        <w:jc w:val="left"/>
        <w:rPr>
          <w:rFonts w:eastAsia="Verdana" w:cs="Arial"/>
          <w:color w:val="000000"/>
          <w:lang w:eastAsia="fr-FR"/>
        </w:rPr>
      </w:pPr>
      <w:r w:rsidRPr="00B14FFD">
        <w:rPr>
          <w:rFonts w:eastAsia="Verdana" w:cs="Arial"/>
          <w:color w:val="000000"/>
          <w:lang w:eastAsia="fr-FR"/>
        </w:rPr>
        <w:t>la désignation des parties contractantes du marché (titulaire et INC),</w:t>
      </w:r>
    </w:p>
    <w:p w14:paraId="16342644" w14:textId="77777777" w:rsidR="00E54C5A" w:rsidRPr="000B1396" w:rsidRDefault="00E54C5A" w:rsidP="00E54C5A">
      <w:pPr>
        <w:pStyle w:val="Paragraphedeliste"/>
        <w:numPr>
          <w:ilvl w:val="0"/>
          <w:numId w:val="12"/>
        </w:numPr>
        <w:spacing w:before="0" w:after="0" w:line="257" w:lineRule="auto"/>
      </w:pPr>
      <w:r w:rsidRPr="000B1396">
        <w:t xml:space="preserve">L’objet succinct du marché et son numéro, </w:t>
      </w:r>
    </w:p>
    <w:p w14:paraId="69ACCAFA" w14:textId="77777777" w:rsidR="00E54C5A" w:rsidRPr="000B1396" w:rsidRDefault="00E54C5A" w:rsidP="00E54C5A">
      <w:pPr>
        <w:pStyle w:val="Paragraphedeliste"/>
        <w:numPr>
          <w:ilvl w:val="0"/>
          <w:numId w:val="12"/>
        </w:numPr>
        <w:spacing w:before="0" w:after="0" w:line="257" w:lineRule="auto"/>
      </w:pPr>
      <w:r w:rsidRPr="000B1396">
        <w:t xml:space="preserve">Le numéro de compte bancaire ou postal, </w:t>
      </w:r>
    </w:p>
    <w:p w14:paraId="24F3D594" w14:textId="77777777" w:rsidR="00E54C5A" w:rsidRDefault="00E54C5A" w:rsidP="00E54C5A">
      <w:pPr>
        <w:pStyle w:val="Paragraphedeliste"/>
        <w:numPr>
          <w:ilvl w:val="0"/>
          <w:numId w:val="12"/>
        </w:numPr>
        <w:spacing w:before="0" w:after="0" w:line="257" w:lineRule="auto"/>
      </w:pPr>
      <w:r w:rsidRPr="000B1396">
        <w:t>la nature et le prix des prestations réalisées</w:t>
      </w:r>
      <w:r>
        <w:t>,</w:t>
      </w:r>
    </w:p>
    <w:p w14:paraId="395552CD" w14:textId="77777777" w:rsidR="00E54C5A" w:rsidRDefault="00E54C5A" w:rsidP="00E54C5A">
      <w:pPr>
        <w:pStyle w:val="Paragraphedeliste"/>
        <w:numPr>
          <w:ilvl w:val="0"/>
          <w:numId w:val="12"/>
        </w:numPr>
        <w:spacing w:before="0" w:after="0" w:line="257" w:lineRule="auto"/>
      </w:pPr>
      <w:r>
        <w:t xml:space="preserve">la période d’exécution, </w:t>
      </w:r>
    </w:p>
    <w:p w14:paraId="1956599E" w14:textId="77777777" w:rsidR="00E54C5A" w:rsidRPr="000B1396" w:rsidRDefault="00E54C5A" w:rsidP="00E54C5A">
      <w:pPr>
        <w:pStyle w:val="Paragraphedeliste"/>
        <w:numPr>
          <w:ilvl w:val="0"/>
          <w:numId w:val="12"/>
        </w:numPr>
        <w:spacing w:before="0" w:after="0" w:line="257" w:lineRule="auto"/>
      </w:pPr>
      <w:r>
        <w:t xml:space="preserve">le numéro de bon de commande, le cas échéant, </w:t>
      </w:r>
    </w:p>
    <w:p w14:paraId="20B8BF64" w14:textId="77777777" w:rsidR="00E54C5A" w:rsidRPr="000B1396" w:rsidRDefault="00E54C5A" w:rsidP="00E54C5A">
      <w:pPr>
        <w:pStyle w:val="Paragraphedeliste"/>
        <w:numPr>
          <w:ilvl w:val="0"/>
          <w:numId w:val="12"/>
        </w:numPr>
        <w:spacing w:before="0" w:after="0" w:line="257" w:lineRule="auto"/>
      </w:pPr>
      <w:r w:rsidRPr="000B1396">
        <w:t xml:space="preserve">le montant HT de la prestation réalisée, </w:t>
      </w:r>
    </w:p>
    <w:p w14:paraId="6A93339F" w14:textId="77777777" w:rsidR="00E54C5A" w:rsidRPr="000B1396" w:rsidRDefault="00E54C5A" w:rsidP="00E54C5A">
      <w:pPr>
        <w:pStyle w:val="Paragraphedeliste"/>
        <w:numPr>
          <w:ilvl w:val="0"/>
          <w:numId w:val="12"/>
        </w:numPr>
        <w:spacing w:before="0" w:after="0" w:line="257" w:lineRule="auto"/>
      </w:pPr>
      <w:r w:rsidRPr="000B1396">
        <w:t>le taux et montant de la TVA,</w:t>
      </w:r>
    </w:p>
    <w:p w14:paraId="2C3041DD" w14:textId="77777777" w:rsidR="00E54C5A" w:rsidRDefault="00E54C5A" w:rsidP="00E54C5A">
      <w:pPr>
        <w:pStyle w:val="Paragraphedeliste"/>
        <w:numPr>
          <w:ilvl w:val="0"/>
          <w:numId w:val="12"/>
        </w:numPr>
        <w:spacing w:before="0" w:after="0" w:line="257" w:lineRule="auto"/>
      </w:pPr>
      <w:r w:rsidRPr="000B1396">
        <w:t>le montant total TTC.</w:t>
      </w:r>
    </w:p>
    <w:p w14:paraId="2B71ADEB" w14:textId="77777777" w:rsidR="00E54C5A" w:rsidRDefault="00E54C5A" w:rsidP="00E54C5A">
      <w:pPr>
        <w:spacing w:before="0" w:after="0" w:line="257" w:lineRule="auto"/>
      </w:pPr>
    </w:p>
    <w:p w14:paraId="3D52C1C0" w14:textId="77777777" w:rsidR="00E54C5A" w:rsidRPr="00094E6E" w:rsidRDefault="00E54C5A" w:rsidP="00E54C5A">
      <w:pPr>
        <w:rPr>
          <w:b/>
          <w:bCs/>
          <w:u w:val="single"/>
        </w:rPr>
      </w:pPr>
      <w:r w:rsidRPr="00094E6E">
        <w:rPr>
          <w:b/>
          <w:bCs/>
          <w:u w:val="single"/>
        </w:rPr>
        <w:t>Pour la distribution :</w:t>
      </w:r>
    </w:p>
    <w:p w14:paraId="2ADFC0B6" w14:textId="77777777" w:rsidR="00E54C5A" w:rsidRPr="003A2802" w:rsidRDefault="00E54C5A" w:rsidP="00E54C5A">
      <w:r>
        <w:t xml:space="preserve">Le titulaire </w:t>
      </w:r>
      <w:r w:rsidRPr="003A2802">
        <w:t>reverse les recettes des ventes nettes de commissions</w:t>
      </w:r>
      <w:r>
        <w:t xml:space="preserve"> e</w:t>
      </w:r>
      <w:r w:rsidRPr="003A2802">
        <w:t xml:space="preserve">t fournit des </w:t>
      </w:r>
      <w:r>
        <w:t>c</w:t>
      </w:r>
      <w:r w:rsidRPr="003A2802">
        <w:t>omptes-rendus de distribution permettant le contrôle actif du chiffre net reversé.</w:t>
      </w:r>
    </w:p>
    <w:p w14:paraId="64F0D76A" w14:textId="3B20EE5A" w:rsidR="00E54C5A" w:rsidRPr="00AE16C8" w:rsidRDefault="00E54C5A" w:rsidP="00E54C5A">
      <w:r>
        <w:t>Ces documents sont</w:t>
      </w:r>
      <w:r w:rsidRPr="00AE16C8">
        <w:t xml:space="preserve"> accompagné</w:t>
      </w:r>
      <w:r>
        <w:t>s</w:t>
      </w:r>
      <w:r w:rsidRPr="00AE16C8">
        <w:t xml:space="preserve"> de l’attestation des services faits, signée par le pouvoir adjudicateur dans les conditions </w:t>
      </w:r>
      <w:r w:rsidRPr="00C84F2A">
        <w:t xml:space="preserve">mentionnées à l’article </w:t>
      </w:r>
      <w:r w:rsidR="00C84F2A" w:rsidRPr="00C84F2A">
        <w:t>7.03</w:t>
      </w:r>
      <w:r w:rsidRPr="00C84F2A">
        <w:t>.</w:t>
      </w:r>
      <w:r w:rsidRPr="00AE16C8">
        <w:t xml:space="preserve"> </w:t>
      </w:r>
      <w:r w:rsidRPr="00C84F2A">
        <w:t xml:space="preserve">Elle est éventuellement également accompagnée des avoirs mentionnés à l’article </w:t>
      </w:r>
      <w:r w:rsidR="00C84F2A">
        <w:t>7.03</w:t>
      </w:r>
      <w:r w:rsidRPr="00AE16C8">
        <w:t xml:space="preserve">. En l’absence de ces documents, </w:t>
      </w:r>
      <w:r>
        <w:t>l’ensemble</w:t>
      </w:r>
      <w:r w:rsidRPr="00AE16C8">
        <w:t xml:space="preserve"> est systématiquement retourné au titulaire, sans que celui-ci ne puisse se prévaloir de toute indemnité de retard liée au paiement retardé. </w:t>
      </w:r>
      <w:r>
        <w:t>En cas de facture, l</w:t>
      </w:r>
      <w:r w:rsidRPr="00AE16C8">
        <w:t>a date de la nouvelle facture est modifiée.</w:t>
      </w:r>
    </w:p>
    <w:p w14:paraId="0684DA6C" w14:textId="451441DC" w:rsidR="00E54C5A" w:rsidRPr="00AE16C8" w:rsidRDefault="00E54C5A" w:rsidP="00E54C5A">
      <w:r w:rsidRPr="00AE16C8">
        <w:t>L’ensemble de ces documents (</w:t>
      </w:r>
      <w:r>
        <w:t xml:space="preserve">compte rendus de distribution, facture, </w:t>
      </w:r>
      <w:r w:rsidRPr="00AE16C8">
        <w:t>attestation de service fait, avoir) devra être adressée par mail à l’INC par courriel.</w:t>
      </w:r>
    </w:p>
    <w:p w14:paraId="31BC1DB4" w14:textId="77777777" w:rsidR="00E54C5A" w:rsidRPr="00AE16C8" w:rsidRDefault="00E54C5A" w:rsidP="00E54C5A">
      <w:r w:rsidRPr="00AE16C8">
        <w:t xml:space="preserve">L’organisme peut également subordonner le règlement des factures qui lui sont soumises à la présentation des quittances des primes d’assurance. </w:t>
      </w:r>
    </w:p>
    <w:p w14:paraId="18CC4C46" w14:textId="77777777" w:rsidR="00E54C5A" w:rsidRPr="00AE16C8" w:rsidRDefault="00E54C5A" w:rsidP="00E54C5A">
      <w:r w:rsidRPr="00AE16C8">
        <w:t xml:space="preserve">Les </w:t>
      </w:r>
      <w:r>
        <w:t>documents</w:t>
      </w:r>
      <w:r w:rsidRPr="00AE16C8">
        <w:t xml:space="preserve"> faisant état des ventes et des perceptions doivent parvenir dans les 15 jours qui suivent chaque période.</w:t>
      </w:r>
    </w:p>
    <w:p w14:paraId="214A7904" w14:textId="77777777" w:rsidR="00E54C5A" w:rsidRPr="00741786" w:rsidRDefault="00E54C5A" w:rsidP="00C84F2A">
      <w:pPr>
        <w:spacing w:before="0" w:after="0" w:line="257" w:lineRule="auto"/>
      </w:pPr>
    </w:p>
    <w:p w14:paraId="525B92BA" w14:textId="77777777" w:rsidR="00E54C5A" w:rsidRDefault="00E54C5A" w:rsidP="00C84F2A">
      <w:pPr>
        <w:pStyle w:val="Titre5"/>
      </w:pPr>
      <w:bookmarkStart w:id="58" w:name="_Toc179970255"/>
      <w:r>
        <w:t>Délai global de règlement</w:t>
      </w:r>
      <w:bookmarkEnd w:id="58"/>
    </w:p>
    <w:p w14:paraId="1E18C270" w14:textId="77777777" w:rsidR="00E54C5A" w:rsidRPr="00B73141" w:rsidRDefault="00E54C5A" w:rsidP="00E54C5A">
      <w:pPr>
        <w:pStyle w:val="Corpsdetexte"/>
      </w:pPr>
      <w:r w:rsidRPr="00B73141">
        <w:t xml:space="preserve">Le délai global de règlement des sommes dues est fixé à </w:t>
      </w:r>
      <w:r>
        <w:t>6</w:t>
      </w:r>
      <w:r w:rsidRPr="00B73141">
        <w:t>0 jours maximum à compter de la date de réception de la facture par l’INC.</w:t>
      </w:r>
    </w:p>
    <w:p w14:paraId="2D6B36A4" w14:textId="77777777" w:rsidR="00AE16C8" w:rsidRPr="00AE16C8" w:rsidRDefault="00AE16C8" w:rsidP="00AE16C8"/>
    <w:p w14:paraId="2FAFAD22" w14:textId="7511D0D1" w:rsidR="00AE16C8" w:rsidRPr="00AE16C8" w:rsidRDefault="00AE16C8" w:rsidP="00AE16C8">
      <w:pPr>
        <w:pStyle w:val="Titre2"/>
      </w:pPr>
      <w:bookmarkStart w:id="59" w:name="_Toc49868778"/>
      <w:bookmarkStart w:id="60" w:name="_Toc192686207"/>
      <w:r w:rsidRPr="00AE16C8">
        <w:lastRenderedPageBreak/>
        <w:t xml:space="preserve">Révision des </w:t>
      </w:r>
      <w:r w:rsidR="00294469">
        <w:t>p</w:t>
      </w:r>
      <w:r w:rsidRPr="00AE16C8">
        <w:t>rix</w:t>
      </w:r>
      <w:bookmarkEnd w:id="59"/>
      <w:bookmarkEnd w:id="60"/>
      <w:r w:rsidRPr="00AE16C8">
        <w:t xml:space="preserve"> </w:t>
      </w:r>
    </w:p>
    <w:p w14:paraId="0191B59E" w14:textId="77777777" w:rsidR="00AE16C8" w:rsidRPr="00AE16C8" w:rsidRDefault="00AE16C8" w:rsidP="00AE16C8">
      <w:r w:rsidRPr="00AE16C8">
        <w:t xml:space="preserve">Au stade de l’offre, les prix sont fermes pendant la durée du marché. </w:t>
      </w:r>
    </w:p>
    <w:p w14:paraId="33A822D6" w14:textId="1D415B3A" w:rsidR="00AE16C8" w:rsidRPr="00AE16C8" w:rsidRDefault="00294469" w:rsidP="00AE16C8">
      <w:r>
        <w:t>Les prix sont révisables en suivant scrupuleusement les prix validés par l’autorité de régulation.</w:t>
      </w:r>
    </w:p>
    <w:p w14:paraId="63E51195" w14:textId="50EB21A2" w:rsidR="00AE16C8" w:rsidRPr="00AE16C8" w:rsidRDefault="00AE16C8" w:rsidP="00AE16C8">
      <w:pPr>
        <w:pStyle w:val="Titre1"/>
      </w:pPr>
      <w:bookmarkStart w:id="61" w:name="_Toc49868779"/>
      <w:bookmarkStart w:id="62" w:name="_Toc192686208"/>
      <w:r w:rsidRPr="00AE16C8">
        <w:t>PENALITES</w:t>
      </w:r>
      <w:bookmarkEnd w:id="61"/>
      <w:r w:rsidRPr="00AE16C8">
        <w:t xml:space="preserve"> </w:t>
      </w:r>
      <w:r w:rsidR="00926B0A">
        <w:t>ou REFACTIONS</w:t>
      </w:r>
      <w:bookmarkEnd w:id="62"/>
    </w:p>
    <w:p w14:paraId="6E982507" w14:textId="7BADE5EE" w:rsidR="00AE16C8" w:rsidRPr="00AE16C8" w:rsidRDefault="00AE16C8" w:rsidP="00AE16C8">
      <w:r w:rsidRPr="00AE16C8">
        <w:t xml:space="preserve">Par dérogation à l’article 14 du CCAG FCS, </w:t>
      </w:r>
    </w:p>
    <w:p w14:paraId="43EF7251" w14:textId="730A4F59" w:rsidR="00AE16C8" w:rsidRPr="00AE16C8" w:rsidRDefault="00AE16C8" w:rsidP="00AE16C8">
      <w:r w:rsidRPr="00AE16C8">
        <w:t xml:space="preserve">Pour chaque exigence ayant fait l’objet de la précision d’un critère et d’un niveau, en cas de non atteinte dans la période considérée du niveau requis, une </w:t>
      </w:r>
      <w:r w:rsidR="00926B0A">
        <w:t xml:space="preserve">sanction de type </w:t>
      </w:r>
      <w:r w:rsidR="00E54C5A">
        <w:t>pénalité</w:t>
      </w:r>
      <w:r w:rsidR="00926B0A">
        <w:t xml:space="preserve"> ou réfaction </w:t>
      </w:r>
      <w:r w:rsidRPr="00AE16C8">
        <w:t xml:space="preserve">est systématiquement appliquée ; elles sont mentionnées dans le tableau ci-dessous. </w:t>
      </w:r>
    </w:p>
    <w:p w14:paraId="5342A020" w14:textId="6D92FDFE" w:rsidR="00AE16C8" w:rsidRPr="00AE16C8" w:rsidRDefault="00AE16C8" w:rsidP="00AE16C8">
      <w:r w:rsidRPr="00AE16C8">
        <w:t xml:space="preserve">L’application des </w:t>
      </w:r>
      <w:r w:rsidR="00926B0A">
        <w:t>sanctions</w:t>
      </w:r>
      <w:r w:rsidRPr="00AE16C8">
        <w:t xml:space="preserve"> ayant pour objet la sanction de la </w:t>
      </w:r>
      <w:r w:rsidR="00E54C5A" w:rsidRPr="00AE16C8">
        <w:t>non-réalisation</w:t>
      </w:r>
      <w:r w:rsidRPr="00AE16C8">
        <w:t xml:space="preserve"> d’un niveau, cette application ne fait pas obstacle au paiement complémentaire d’indemnités au titre du préjudice subi.</w:t>
      </w:r>
    </w:p>
    <w:p w14:paraId="3E05DB1E" w14:textId="6C85750C" w:rsidR="00AE16C8" w:rsidRPr="00AE16C8" w:rsidRDefault="00AE16C8" w:rsidP="00AE16C8">
      <w:r w:rsidRPr="00AE16C8">
        <w:t xml:space="preserve">L’application de ces différentes </w:t>
      </w:r>
      <w:r w:rsidR="00926B0A">
        <w:t>pénalités ou réfactions</w:t>
      </w:r>
      <w:r w:rsidRPr="00AE16C8">
        <w:t xml:space="preserve"> est cumulative sur la période considérée. </w:t>
      </w:r>
    </w:p>
    <w:tbl>
      <w:tblPr>
        <w:tblW w:w="8189" w:type="dxa"/>
        <w:tblCellMar>
          <w:left w:w="70" w:type="dxa"/>
          <w:right w:w="70" w:type="dxa"/>
        </w:tblCellMar>
        <w:tblLook w:val="04A0" w:firstRow="1" w:lastRow="0" w:firstColumn="1" w:lastColumn="0" w:noHBand="0" w:noVBand="1"/>
      </w:tblPr>
      <w:tblGrid>
        <w:gridCol w:w="3823"/>
        <w:gridCol w:w="1417"/>
        <w:gridCol w:w="851"/>
        <w:gridCol w:w="2098"/>
      </w:tblGrid>
      <w:tr w:rsidR="00AE16C8" w:rsidRPr="00AE16C8" w14:paraId="327D286F" w14:textId="77777777" w:rsidTr="00324152">
        <w:trPr>
          <w:trHeight w:val="312"/>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3F288" w14:textId="3B26F26F" w:rsidR="00AE16C8" w:rsidRPr="00AE16C8" w:rsidRDefault="00E54C5A" w:rsidP="00AE16C8">
            <w:r w:rsidRPr="00AE16C8">
              <w:t>Exigence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F6BFCB5" w14:textId="602F5B39" w:rsidR="00AE16C8" w:rsidRPr="00AE16C8" w:rsidRDefault="00E54C5A" w:rsidP="00AE16C8">
            <w:r w:rsidRPr="00AE16C8">
              <w:t>Critère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CCA9987" w14:textId="13CB7DD0" w:rsidR="00AE16C8" w:rsidRPr="00AE16C8" w:rsidRDefault="00E54C5A" w:rsidP="00AE16C8">
            <w:r w:rsidRPr="00AE16C8">
              <w:t>Niveau</w:t>
            </w:r>
          </w:p>
        </w:tc>
        <w:tc>
          <w:tcPr>
            <w:tcW w:w="2098" w:type="dxa"/>
            <w:tcBorders>
              <w:top w:val="single" w:sz="4" w:space="0" w:color="auto"/>
              <w:left w:val="nil"/>
              <w:bottom w:val="single" w:sz="4" w:space="0" w:color="auto"/>
              <w:right w:val="single" w:sz="4" w:space="0" w:color="auto"/>
            </w:tcBorders>
            <w:shd w:val="clear" w:color="auto" w:fill="auto"/>
            <w:noWrap/>
            <w:vAlign w:val="center"/>
            <w:hideMark/>
          </w:tcPr>
          <w:p w14:paraId="23709E7F" w14:textId="0D1718D5" w:rsidR="00AE16C8" w:rsidRPr="00AE16C8" w:rsidRDefault="00926B0A" w:rsidP="00AE16C8">
            <w:r>
              <w:t>Réfaction ou pénalité</w:t>
            </w:r>
          </w:p>
        </w:tc>
      </w:tr>
      <w:tr w:rsidR="00AE16C8" w:rsidRPr="00AE16C8" w14:paraId="71F327D6" w14:textId="77777777" w:rsidTr="00324152">
        <w:trPr>
          <w:trHeight w:val="312"/>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684E9F1" w14:textId="00A661D1" w:rsidR="00AE16C8" w:rsidRPr="00AE16C8" w:rsidRDefault="00E54C5A" w:rsidP="00AE16C8">
            <w:r w:rsidRPr="00AE16C8">
              <w:t>Créer</w:t>
            </w:r>
            <w:r w:rsidR="00AE16C8" w:rsidRPr="00AE16C8">
              <w:t xml:space="preserve"> des packs de remise en vente</w:t>
            </w:r>
          </w:p>
        </w:tc>
        <w:tc>
          <w:tcPr>
            <w:tcW w:w="1417" w:type="dxa"/>
            <w:tcBorders>
              <w:top w:val="nil"/>
              <w:left w:val="nil"/>
              <w:bottom w:val="single" w:sz="4" w:space="0" w:color="auto"/>
              <w:right w:val="single" w:sz="4" w:space="0" w:color="auto"/>
            </w:tcBorders>
            <w:shd w:val="clear" w:color="auto" w:fill="auto"/>
            <w:vAlign w:val="center"/>
            <w:hideMark/>
          </w:tcPr>
          <w:p w14:paraId="340F7E32" w14:textId="0A034CD2" w:rsidR="00AE16C8" w:rsidRPr="00AE16C8" w:rsidRDefault="00E54C5A" w:rsidP="00AE16C8">
            <w:r w:rsidRPr="00AE16C8">
              <w:t>Délai</w:t>
            </w:r>
            <w:r w:rsidR="00AE16C8" w:rsidRPr="00AE16C8">
              <w:t xml:space="preserve"> max</w:t>
            </w:r>
          </w:p>
        </w:tc>
        <w:tc>
          <w:tcPr>
            <w:tcW w:w="851" w:type="dxa"/>
            <w:tcBorders>
              <w:top w:val="nil"/>
              <w:left w:val="nil"/>
              <w:bottom w:val="single" w:sz="4" w:space="0" w:color="auto"/>
              <w:right w:val="single" w:sz="4" w:space="0" w:color="auto"/>
            </w:tcBorders>
            <w:shd w:val="clear" w:color="auto" w:fill="auto"/>
            <w:noWrap/>
            <w:vAlign w:val="center"/>
            <w:hideMark/>
          </w:tcPr>
          <w:p w14:paraId="51690E1E" w14:textId="77777777" w:rsidR="00AE16C8" w:rsidRPr="00AE16C8" w:rsidRDefault="00AE16C8" w:rsidP="00AE16C8">
            <w:r w:rsidRPr="00AE16C8">
              <w:t>5j</w:t>
            </w:r>
          </w:p>
        </w:tc>
        <w:tc>
          <w:tcPr>
            <w:tcW w:w="2098" w:type="dxa"/>
            <w:tcBorders>
              <w:top w:val="nil"/>
              <w:left w:val="nil"/>
              <w:bottom w:val="single" w:sz="4" w:space="0" w:color="auto"/>
              <w:right w:val="single" w:sz="4" w:space="0" w:color="auto"/>
            </w:tcBorders>
            <w:shd w:val="clear" w:color="auto" w:fill="auto"/>
            <w:noWrap/>
            <w:vAlign w:val="center"/>
            <w:hideMark/>
          </w:tcPr>
          <w:p w14:paraId="464F7974" w14:textId="77777777" w:rsidR="00AE16C8" w:rsidRPr="00AE16C8" w:rsidRDefault="00AE16C8" w:rsidP="00AE16C8">
            <w:r w:rsidRPr="00AE16C8">
              <w:t xml:space="preserve">200 eu/J </w:t>
            </w:r>
          </w:p>
        </w:tc>
      </w:tr>
      <w:tr w:rsidR="00AE16C8" w:rsidRPr="00AE16C8" w14:paraId="7856BEC9" w14:textId="77777777" w:rsidTr="00324152">
        <w:trPr>
          <w:trHeight w:val="312"/>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84C2EA3" w14:textId="3BA6C91E" w:rsidR="00AE16C8" w:rsidRPr="00AE16C8" w:rsidRDefault="00E54C5A" w:rsidP="00AE16C8">
            <w:r w:rsidRPr="00AE16C8">
              <w:t>Livrer</w:t>
            </w:r>
            <w:r w:rsidR="00AE16C8" w:rsidRPr="00AE16C8">
              <w:t xml:space="preserve"> les journaux et les packs</w:t>
            </w:r>
          </w:p>
        </w:tc>
        <w:tc>
          <w:tcPr>
            <w:tcW w:w="1417" w:type="dxa"/>
            <w:tcBorders>
              <w:top w:val="nil"/>
              <w:left w:val="nil"/>
              <w:bottom w:val="single" w:sz="4" w:space="0" w:color="auto"/>
              <w:right w:val="single" w:sz="4" w:space="0" w:color="auto"/>
            </w:tcBorders>
            <w:shd w:val="clear" w:color="auto" w:fill="auto"/>
            <w:vAlign w:val="center"/>
            <w:hideMark/>
          </w:tcPr>
          <w:p w14:paraId="3DA5DA4A" w14:textId="087E450D" w:rsidR="00AE16C8" w:rsidRPr="00AE16C8" w:rsidRDefault="00E54C5A" w:rsidP="00AE16C8">
            <w:r w:rsidRPr="00AE16C8">
              <w:t>Délai</w:t>
            </w:r>
            <w:r w:rsidR="00AE16C8" w:rsidRPr="00AE16C8">
              <w:t xml:space="preserve"> max</w:t>
            </w:r>
          </w:p>
        </w:tc>
        <w:tc>
          <w:tcPr>
            <w:tcW w:w="851" w:type="dxa"/>
            <w:tcBorders>
              <w:top w:val="nil"/>
              <w:left w:val="nil"/>
              <w:bottom w:val="single" w:sz="4" w:space="0" w:color="auto"/>
              <w:right w:val="single" w:sz="4" w:space="0" w:color="auto"/>
            </w:tcBorders>
            <w:shd w:val="clear" w:color="auto" w:fill="auto"/>
            <w:noWrap/>
            <w:vAlign w:val="center"/>
            <w:hideMark/>
          </w:tcPr>
          <w:p w14:paraId="1EB40FC4" w14:textId="77777777" w:rsidR="00AE16C8" w:rsidRPr="00AE16C8" w:rsidRDefault="00AE16C8" w:rsidP="00AE16C8">
            <w:r w:rsidRPr="00AE16C8">
              <w:t>10j</w:t>
            </w:r>
          </w:p>
        </w:tc>
        <w:tc>
          <w:tcPr>
            <w:tcW w:w="2098" w:type="dxa"/>
            <w:tcBorders>
              <w:top w:val="nil"/>
              <w:left w:val="nil"/>
              <w:bottom w:val="single" w:sz="4" w:space="0" w:color="auto"/>
              <w:right w:val="single" w:sz="4" w:space="0" w:color="auto"/>
            </w:tcBorders>
            <w:shd w:val="clear" w:color="auto" w:fill="auto"/>
            <w:noWrap/>
            <w:vAlign w:val="center"/>
            <w:hideMark/>
          </w:tcPr>
          <w:p w14:paraId="7CCDA598" w14:textId="77777777" w:rsidR="00AE16C8" w:rsidRPr="00AE16C8" w:rsidRDefault="00AE16C8" w:rsidP="00AE16C8">
            <w:r w:rsidRPr="00AE16C8">
              <w:t xml:space="preserve">200 eu/J </w:t>
            </w:r>
          </w:p>
        </w:tc>
      </w:tr>
      <w:tr w:rsidR="00AE16C8" w:rsidRPr="00AE16C8" w14:paraId="47BC883D" w14:textId="77777777" w:rsidTr="00324152">
        <w:trPr>
          <w:trHeight w:val="312"/>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2E22DEA" w14:textId="7DA0F45B" w:rsidR="00AE16C8" w:rsidRPr="00AE16C8" w:rsidRDefault="00E54C5A" w:rsidP="00AE16C8">
            <w:r w:rsidRPr="00AE16C8">
              <w:t>Fournir</w:t>
            </w:r>
            <w:r w:rsidR="00AE16C8" w:rsidRPr="00AE16C8">
              <w:t xml:space="preserve"> les </w:t>
            </w:r>
            <w:r w:rsidRPr="00AE16C8">
              <w:t>règles</w:t>
            </w:r>
            <w:r w:rsidR="00AE16C8" w:rsidRPr="00AE16C8">
              <w:t xml:space="preserve"> de répartition (réglage) </w:t>
            </w:r>
          </w:p>
        </w:tc>
        <w:tc>
          <w:tcPr>
            <w:tcW w:w="1417" w:type="dxa"/>
            <w:tcBorders>
              <w:top w:val="nil"/>
              <w:left w:val="nil"/>
              <w:bottom w:val="single" w:sz="4" w:space="0" w:color="auto"/>
              <w:right w:val="single" w:sz="4" w:space="0" w:color="auto"/>
            </w:tcBorders>
            <w:shd w:val="clear" w:color="auto" w:fill="auto"/>
            <w:vAlign w:val="center"/>
            <w:hideMark/>
          </w:tcPr>
          <w:p w14:paraId="2A083E74" w14:textId="22CB489D" w:rsidR="00AE16C8" w:rsidRPr="00AE16C8" w:rsidRDefault="00E54C5A" w:rsidP="00AE16C8">
            <w:r w:rsidRPr="00AE16C8">
              <w:t>Délai</w:t>
            </w:r>
            <w:r w:rsidR="00AE16C8" w:rsidRPr="00AE16C8">
              <w:t xml:space="preserve"> max</w:t>
            </w:r>
          </w:p>
        </w:tc>
        <w:tc>
          <w:tcPr>
            <w:tcW w:w="851" w:type="dxa"/>
            <w:tcBorders>
              <w:top w:val="nil"/>
              <w:left w:val="nil"/>
              <w:bottom w:val="single" w:sz="4" w:space="0" w:color="auto"/>
              <w:right w:val="single" w:sz="4" w:space="0" w:color="auto"/>
            </w:tcBorders>
            <w:shd w:val="clear" w:color="auto" w:fill="auto"/>
            <w:noWrap/>
            <w:vAlign w:val="center"/>
            <w:hideMark/>
          </w:tcPr>
          <w:p w14:paraId="1950B6D1" w14:textId="77777777" w:rsidR="00AE16C8" w:rsidRPr="00AE16C8" w:rsidRDefault="00AE16C8" w:rsidP="00AE16C8">
            <w:r w:rsidRPr="00AE16C8">
              <w:t>10j</w:t>
            </w:r>
          </w:p>
        </w:tc>
        <w:tc>
          <w:tcPr>
            <w:tcW w:w="2098" w:type="dxa"/>
            <w:tcBorders>
              <w:top w:val="nil"/>
              <w:left w:val="nil"/>
              <w:bottom w:val="single" w:sz="4" w:space="0" w:color="auto"/>
              <w:right w:val="single" w:sz="4" w:space="0" w:color="auto"/>
            </w:tcBorders>
            <w:shd w:val="clear" w:color="auto" w:fill="auto"/>
            <w:noWrap/>
            <w:vAlign w:val="center"/>
            <w:hideMark/>
          </w:tcPr>
          <w:p w14:paraId="48823F20" w14:textId="77777777" w:rsidR="00AE16C8" w:rsidRPr="00AE16C8" w:rsidRDefault="00AE16C8" w:rsidP="00AE16C8">
            <w:r w:rsidRPr="00AE16C8">
              <w:t xml:space="preserve">200 eu/J </w:t>
            </w:r>
          </w:p>
        </w:tc>
      </w:tr>
      <w:tr w:rsidR="00AE16C8" w:rsidRPr="00AE16C8" w14:paraId="59CCE674" w14:textId="77777777" w:rsidTr="00324152">
        <w:trPr>
          <w:trHeight w:val="312"/>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6C36F4B" w14:textId="77777777" w:rsidR="00AE16C8" w:rsidRPr="00AE16C8" w:rsidRDefault="00AE16C8" w:rsidP="00AE16C8">
            <w:r w:rsidRPr="00AE16C8">
              <w:t>Fournir l'historique des ventes</w:t>
            </w:r>
          </w:p>
        </w:tc>
        <w:tc>
          <w:tcPr>
            <w:tcW w:w="1417" w:type="dxa"/>
            <w:tcBorders>
              <w:top w:val="nil"/>
              <w:left w:val="nil"/>
              <w:bottom w:val="single" w:sz="4" w:space="0" w:color="auto"/>
              <w:right w:val="single" w:sz="4" w:space="0" w:color="auto"/>
            </w:tcBorders>
            <w:shd w:val="clear" w:color="auto" w:fill="auto"/>
            <w:vAlign w:val="center"/>
            <w:hideMark/>
          </w:tcPr>
          <w:p w14:paraId="32914FA3" w14:textId="77777777" w:rsidR="00AE16C8" w:rsidRPr="00AE16C8" w:rsidRDefault="00AE16C8" w:rsidP="00AE16C8">
            <w:r w:rsidRPr="00AE16C8">
              <w:t>Délai</w:t>
            </w:r>
          </w:p>
        </w:tc>
        <w:tc>
          <w:tcPr>
            <w:tcW w:w="851" w:type="dxa"/>
            <w:tcBorders>
              <w:top w:val="nil"/>
              <w:left w:val="nil"/>
              <w:bottom w:val="single" w:sz="4" w:space="0" w:color="auto"/>
              <w:right w:val="single" w:sz="4" w:space="0" w:color="auto"/>
            </w:tcBorders>
            <w:shd w:val="clear" w:color="auto" w:fill="auto"/>
            <w:noWrap/>
            <w:vAlign w:val="center"/>
            <w:hideMark/>
          </w:tcPr>
          <w:p w14:paraId="0BA8ED52" w14:textId="77777777" w:rsidR="00AE16C8" w:rsidRPr="00AE16C8" w:rsidRDefault="00AE16C8" w:rsidP="00AE16C8">
            <w:r w:rsidRPr="00AE16C8">
              <w:t>10 j</w:t>
            </w:r>
          </w:p>
        </w:tc>
        <w:tc>
          <w:tcPr>
            <w:tcW w:w="2098" w:type="dxa"/>
            <w:tcBorders>
              <w:top w:val="nil"/>
              <w:left w:val="nil"/>
              <w:bottom w:val="single" w:sz="4" w:space="0" w:color="auto"/>
              <w:right w:val="single" w:sz="4" w:space="0" w:color="auto"/>
            </w:tcBorders>
            <w:shd w:val="clear" w:color="auto" w:fill="auto"/>
            <w:noWrap/>
            <w:vAlign w:val="center"/>
            <w:hideMark/>
          </w:tcPr>
          <w:p w14:paraId="6AA512BE" w14:textId="77777777" w:rsidR="00AE16C8" w:rsidRPr="00AE16C8" w:rsidRDefault="00AE16C8" w:rsidP="00AE16C8">
            <w:r w:rsidRPr="00AE16C8">
              <w:t xml:space="preserve">200 eu/J </w:t>
            </w:r>
          </w:p>
        </w:tc>
      </w:tr>
      <w:tr w:rsidR="00AE16C8" w:rsidRPr="00AE16C8" w14:paraId="608E2DA0" w14:textId="77777777" w:rsidTr="00324152">
        <w:trPr>
          <w:trHeight w:val="312"/>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4B1CB68" w14:textId="77777777" w:rsidR="00AE16C8" w:rsidRPr="00AE16C8" w:rsidRDefault="00AE16C8" w:rsidP="00AE16C8">
            <w:r w:rsidRPr="00AE16C8">
              <w:t>Reversement des ventes</w:t>
            </w:r>
          </w:p>
        </w:tc>
        <w:tc>
          <w:tcPr>
            <w:tcW w:w="1417" w:type="dxa"/>
            <w:tcBorders>
              <w:top w:val="nil"/>
              <w:left w:val="nil"/>
              <w:bottom w:val="single" w:sz="4" w:space="0" w:color="auto"/>
              <w:right w:val="single" w:sz="4" w:space="0" w:color="auto"/>
            </w:tcBorders>
            <w:shd w:val="clear" w:color="auto" w:fill="auto"/>
            <w:vAlign w:val="center"/>
            <w:hideMark/>
          </w:tcPr>
          <w:p w14:paraId="53D51166" w14:textId="77777777" w:rsidR="00AE16C8" w:rsidRPr="00AE16C8" w:rsidRDefault="00AE16C8" w:rsidP="00AE16C8">
            <w:r w:rsidRPr="00AE16C8">
              <w:t>Délai</w:t>
            </w:r>
          </w:p>
        </w:tc>
        <w:tc>
          <w:tcPr>
            <w:tcW w:w="851" w:type="dxa"/>
            <w:tcBorders>
              <w:top w:val="nil"/>
              <w:left w:val="nil"/>
              <w:bottom w:val="single" w:sz="4" w:space="0" w:color="auto"/>
              <w:right w:val="single" w:sz="4" w:space="0" w:color="auto"/>
            </w:tcBorders>
            <w:shd w:val="clear" w:color="auto" w:fill="auto"/>
            <w:noWrap/>
            <w:vAlign w:val="center"/>
            <w:hideMark/>
          </w:tcPr>
          <w:p w14:paraId="30094DDF" w14:textId="77777777" w:rsidR="00AE16C8" w:rsidRPr="00AE16C8" w:rsidRDefault="00AE16C8" w:rsidP="00AE16C8">
            <w:r w:rsidRPr="00AE16C8">
              <w:t>60 j</w:t>
            </w:r>
          </w:p>
        </w:tc>
        <w:tc>
          <w:tcPr>
            <w:tcW w:w="2098" w:type="dxa"/>
            <w:tcBorders>
              <w:top w:val="nil"/>
              <w:left w:val="nil"/>
              <w:bottom w:val="single" w:sz="4" w:space="0" w:color="auto"/>
              <w:right w:val="single" w:sz="4" w:space="0" w:color="auto"/>
            </w:tcBorders>
            <w:shd w:val="clear" w:color="auto" w:fill="auto"/>
            <w:noWrap/>
            <w:vAlign w:val="center"/>
            <w:hideMark/>
          </w:tcPr>
          <w:p w14:paraId="6FFD395A" w14:textId="47AAF280" w:rsidR="00AE16C8" w:rsidRPr="00AE16C8" w:rsidRDefault="00AE16C8" w:rsidP="00AE16C8">
            <w:r w:rsidRPr="00AE16C8">
              <w:t>13%/an</w:t>
            </w:r>
            <w:r w:rsidR="00926B0A">
              <w:t xml:space="preserve"> </w:t>
            </w:r>
          </w:p>
        </w:tc>
      </w:tr>
      <w:tr w:rsidR="00AE16C8" w:rsidRPr="00AE16C8" w14:paraId="6C75D801" w14:textId="77777777" w:rsidTr="00324152">
        <w:trPr>
          <w:trHeight w:val="312"/>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9793DBF" w14:textId="77777777" w:rsidR="00AE16C8" w:rsidRPr="00AE16C8" w:rsidRDefault="00AE16C8" w:rsidP="00AE16C8">
            <w:r w:rsidRPr="00AE16C8">
              <w:t>Fourniture CRD Détaillé</w:t>
            </w:r>
          </w:p>
        </w:tc>
        <w:tc>
          <w:tcPr>
            <w:tcW w:w="1417" w:type="dxa"/>
            <w:tcBorders>
              <w:top w:val="nil"/>
              <w:left w:val="nil"/>
              <w:bottom w:val="single" w:sz="4" w:space="0" w:color="auto"/>
              <w:right w:val="single" w:sz="4" w:space="0" w:color="auto"/>
            </w:tcBorders>
            <w:shd w:val="clear" w:color="auto" w:fill="auto"/>
            <w:vAlign w:val="center"/>
            <w:hideMark/>
          </w:tcPr>
          <w:p w14:paraId="4B42B46F" w14:textId="77777777" w:rsidR="00AE16C8" w:rsidRPr="00AE16C8" w:rsidRDefault="00AE16C8" w:rsidP="00AE16C8">
            <w:r w:rsidRPr="00AE16C8">
              <w:t>Fiabilité</w:t>
            </w:r>
          </w:p>
        </w:tc>
        <w:tc>
          <w:tcPr>
            <w:tcW w:w="851" w:type="dxa"/>
            <w:tcBorders>
              <w:top w:val="nil"/>
              <w:left w:val="nil"/>
              <w:bottom w:val="single" w:sz="4" w:space="0" w:color="auto"/>
              <w:right w:val="single" w:sz="4" w:space="0" w:color="auto"/>
            </w:tcBorders>
            <w:shd w:val="clear" w:color="auto" w:fill="auto"/>
            <w:noWrap/>
            <w:vAlign w:val="center"/>
            <w:hideMark/>
          </w:tcPr>
          <w:p w14:paraId="5910DD51" w14:textId="77777777" w:rsidR="00AE16C8" w:rsidRPr="00AE16C8" w:rsidRDefault="00AE16C8" w:rsidP="00AE16C8">
            <w:r w:rsidRPr="00AE16C8">
              <w:t>100%</w:t>
            </w:r>
          </w:p>
        </w:tc>
        <w:tc>
          <w:tcPr>
            <w:tcW w:w="2098" w:type="dxa"/>
            <w:tcBorders>
              <w:top w:val="nil"/>
              <w:left w:val="nil"/>
              <w:bottom w:val="single" w:sz="4" w:space="0" w:color="auto"/>
              <w:right w:val="single" w:sz="4" w:space="0" w:color="auto"/>
            </w:tcBorders>
            <w:shd w:val="clear" w:color="auto" w:fill="auto"/>
            <w:noWrap/>
            <w:vAlign w:val="center"/>
            <w:hideMark/>
          </w:tcPr>
          <w:p w14:paraId="770741D7" w14:textId="02B07CA8" w:rsidR="00AE16C8" w:rsidRPr="00AE16C8" w:rsidRDefault="00AE16C8" w:rsidP="00AE16C8">
            <w:r w:rsidRPr="00AE16C8">
              <w:t>200 eu/</w:t>
            </w:r>
            <w:r w:rsidR="00926B0A">
              <w:t xml:space="preserve"> manquement</w:t>
            </w:r>
          </w:p>
        </w:tc>
      </w:tr>
      <w:tr w:rsidR="00AE16C8" w:rsidRPr="00AE16C8" w14:paraId="1FCB0D55" w14:textId="77777777" w:rsidTr="00324152">
        <w:trPr>
          <w:trHeight w:val="312"/>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FEC84C9" w14:textId="77777777" w:rsidR="00AE16C8" w:rsidRPr="00AE16C8" w:rsidRDefault="00AE16C8" w:rsidP="00AE16C8">
            <w:r w:rsidRPr="00AE16C8">
              <w:t>Enlever les invendus des points de vente</w:t>
            </w:r>
          </w:p>
          <w:p w14:paraId="2FAF1EE9" w14:textId="77777777" w:rsidR="00AE16C8" w:rsidRPr="00AE16C8" w:rsidRDefault="00AE16C8" w:rsidP="00AE16C8">
            <w:pPr>
              <w:rPr>
                <w:b/>
                <w:bCs/>
              </w:rPr>
            </w:pPr>
          </w:p>
        </w:tc>
        <w:tc>
          <w:tcPr>
            <w:tcW w:w="1417" w:type="dxa"/>
            <w:tcBorders>
              <w:top w:val="nil"/>
              <w:left w:val="nil"/>
              <w:bottom w:val="single" w:sz="4" w:space="0" w:color="auto"/>
              <w:right w:val="single" w:sz="4" w:space="0" w:color="auto"/>
            </w:tcBorders>
            <w:shd w:val="clear" w:color="auto" w:fill="auto"/>
            <w:vAlign w:val="center"/>
            <w:hideMark/>
          </w:tcPr>
          <w:p w14:paraId="6C41AF47" w14:textId="77777777" w:rsidR="00AE16C8" w:rsidRPr="00AE16C8" w:rsidRDefault="00AE16C8" w:rsidP="00AE16C8">
            <w:r w:rsidRPr="00AE16C8">
              <w:t>Taux</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EEE2071" w14:textId="77777777" w:rsidR="00AE16C8" w:rsidRPr="00AE16C8" w:rsidRDefault="00AE16C8" w:rsidP="00AE16C8">
            <w:r w:rsidRPr="00AE16C8">
              <w:t>100%</w:t>
            </w:r>
          </w:p>
          <w:p w14:paraId="005F6D64" w14:textId="77777777" w:rsidR="00AE16C8" w:rsidRPr="00AE16C8" w:rsidRDefault="00AE16C8" w:rsidP="00AE16C8"/>
        </w:tc>
        <w:tc>
          <w:tcPr>
            <w:tcW w:w="2098" w:type="dxa"/>
            <w:tcBorders>
              <w:top w:val="nil"/>
              <w:left w:val="nil"/>
              <w:bottom w:val="single" w:sz="4" w:space="0" w:color="auto"/>
              <w:right w:val="single" w:sz="4" w:space="0" w:color="auto"/>
            </w:tcBorders>
            <w:shd w:val="clear" w:color="auto" w:fill="auto"/>
            <w:noWrap/>
            <w:vAlign w:val="center"/>
            <w:hideMark/>
          </w:tcPr>
          <w:p w14:paraId="67F43CBD" w14:textId="77777777" w:rsidR="00AE16C8" w:rsidRPr="00AE16C8" w:rsidRDefault="00AE16C8" w:rsidP="00AE16C8">
            <w:r w:rsidRPr="00AE16C8">
              <w:t>1E/</w:t>
            </w:r>
            <w:proofErr w:type="spellStart"/>
            <w:r w:rsidRPr="00AE16C8">
              <w:t>num</w:t>
            </w:r>
            <w:proofErr w:type="spellEnd"/>
            <w:r w:rsidRPr="00AE16C8">
              <w:t xml:space="preserve"> non récupéré</w:t>
            </w:r>
          </w:p>
        </w:tc>
      </w:tr>
      <w:tr w:rsidR="00AE16C8" w:rsidRPr="00AE16C8" w14:paraId="404825B9" w14:textId="77777777" w:rsidTr="00324152">
        <w:trPr>
          <w:trHeight w:val="288"/>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BCB429B" w14:textId="77777777" w:rsidR="00AE16C8" w:rsidRPr="00AE16C8" w:rsidRDefault="00AE16C8" w:rsidP="00AE16C8">
            <w:r w:rsidRPr="00AE16C8">
              <w:t>Détruire les invendus</w:t>
            </w:r>
          </w:p>
          <w:p w14:paraId="4FC70E26" w14:textId="77777777" w:rsidR="00AE16C8" w:rsidRPr="00AE16C8" w:rsidRDefault="00AE16C8" w:rsidP="00AE16C8">
            <w:pPr>
              <w:rPr>
                <w:b/>
                <w:bCs/>
              </w:rPr>
            </w:pPr>
          </w:p>
        </w:tc>
        <w:tc>
          <w:tcPr>
            <w:tcW w:w="1417" w:type="dxa"/>
            <w:tcBorders>
              <w:top w:val="nil"/>
              <w:left w:val="nil"/>
              <w:bottom w:val="single" w:sz="4" w:space="0" w:color="auto"/>
              <w:right w:val="single" w:sz="4" w:space="0" w:color="auto"/>
            </w:tcBorders>
            <w:shd w:val="clear" w:color="auto" w:fill="auto"/>
            <w:vAlign w:val="center"/>
            <w:hideMark/>
          </w:tcPr>
          <w:p w14:paraId="2276997B" w14:textId="77777777" w:rsidR="00AE16C8" w:rsidRPr="00AE16C8" w:rsidRDefault="00AE16C8" w:rsidP="00AE16C8">
            <w:r w:rsidRPr="00AE16C8">
              <w:t>destruction</w:t>
            </w:r>
          </w:p>
        </w:tc>
        <w:tc>
          <w:tcPr>
            <w:tcW w:w="851" w:type="dxa"/>
            <w:tcBorders>
              <w:top w:val="nil"/>
              <w:left w:val="nil"/>
              <w:bottom w:val="single" w:sz="4" w:space="0" w:color="auto"/>
              <w:right w:val="single" w:sz="4" w:space="0" w:color="auto"/>
            </w:tcBorders>
            <w:shd w:val="clear" w:color="auto" w:fill="auto"/>
            <w:noWrap/>
            <w:vAlign w:val="center"/>
            <w:hideMark/>
          </w:tcPr>
          <w:p w14:paraId="3AEAB6B6" w14:textId="77777777" w:rsidR="00AE16C8" w:rsidRPr="00AE16C8" w:rsidRDefault="00AE16C8" w:rsidP="00AE16C8">
            <w:r w:rsidRPr="00AE16C8">
              <w:t>100%</w:t>
            </w:r>
          </w:p>
        </w:tc>
        <w:tc>
          <w:tcPr>
            <w:tcW w:w="2098" w:type="dxa"/>
            <w:tcBorders>
              <w:top w:val="nil"/>
              <w:left w:val="nil"/>
              <w:bottom w:val="single" w:sz="4" w:space="0" w:color="auto"/>
              <w:right w:val="single" w:sz="4" w:space="0" w:color="auto"/>
            </w:tcBorders>
            <w:shd w:val="clear" w:color="auto" w:fill="auto"/>
            <w:noWrap/>
            <w:vAlign w:val="center"/>
            <w:hideMark/>
          </w:tcPr>
          <w:p w14:paraId="59703257" w14:textId="77777777" w:rsidR="00AE16C8" w:rsidRPr="00AE16C8" w:rsidRDefault="00AE16C8" w:rsidP="00AE16C8">
            <w:r w:rsidRPr="00AE16C8">
              <w:t>1E/</w:t>
            </w:r>
            <w:proofErr w:type="spellStart"/>
            <w:r w:rsidRPr="00AE16C8">
              <w:t>num</w:t>
            </w:r>
            <w:proofErr w:type="spellEnd"/>
            <w:r w:rsidRPr="00AE16C8">
              <w:t xml:space="preserve"> non détruit</w:t>
            </w:r>
          </w:p>
        </w:tc>
      </w:tr>
    </w:tbl>
    <w:p w14:paraId="1360BA53" w14:textId="2D67E8E7" w:rsidR="00AE16C8" w:rsidRPr="00AE16C8" w:rsidRDefault="00AE16C8" w:rsidP="00AE16C8">
      <w:pPr>
        <w:pStyle w:val="Titre1"/>
      </w:pPr>
      <w:bookmarkStart w:id="63" w:name="_Toc49868780"/>
      <w:bookmarkStart w:id="64" w:name="_Toc192686209"/>
      <w:r w:rsidRPr="00AE16C8">
        <w:t xml:space="preserve">CLAUSE </w:t>
      </w:r>
      <w:r w:rsidR="00294469">
        <w:t>D</w:t>
      </w:r>
      <w:r w:rsidRPr="00AE16C8">
        <w:t>E CONFIDENTIALITE</w:t>
      </w:r>
      <w:bookmarkEnd w:id="63"/>
      <w:bookmarkEnd w:id="64"/>
      <w:r w:rsidRPr="00AE16C8">
        <w:t xml:space="preserve"> </w:t>
      </w:r>
    </w:p>
    <w:p w14:paraId="00D8CD4F" w14:textId="77777777" w:rsidR="00AE16C8" w:rsidRPr="00AE16C8" w:rsidRDefault="00AE16C8" w:rsidP="00AE16C8">
      <w:r w:rsidRPr="00AE16C8">
        <w:t xml:space="preserve">Le titulaire, à l’occasion de la livraison, de la fourniture ou de l’exécution du service, s’engage à respecter une stricte confidentialité des informations (renseignements, documents, techniques, méthodes, procédés ou objets quelconques) qui lui sont confiées ou qu’il peut voir, entendre ou comprendre dans la cadre de sa mission. </w:t>
      </w:r>
    </w:p>
    <w:p w14:paraId="18490A4C" w14:textId="77777777" w:rsidR="00AE16C8" w:rsidRPr="00AE16C8" w:rsidRDefault="00AE16C8" w:rsidP="00AE16C8">
      <w:r w:rsidRPr="00AE16C8">
        <w:t>Le prestataire s’engage à respecter la charte de confidentialité qu’il fournira au démarrage de la prestation.</w:t>
      </w:r>
    </w:p>
    <w:p w14:paraId="7A349B51" w14:textId="37D674CA" w:rsidR="00AE16C8" w:rsidRPr="00AE16C8" w:rsidRDefault="00AE16C8" w:rsidP="00AE16C8">
      <w:r w:rsidRPr="00AE16C8">
        <w:t xml:space="preserve">Le titulaire doit s’assurer que les entreprises sous-traitantes placées sous sa responsabilité respectent cette charte. </w:t>
      </w:r>
    </w:p>
    <w:p w14:paraId="1D3DFBED" w14:textId="7A0D3B30" w:rsidR="00AE16C8" w:rsidRDefault="00AE16C8" w:rsidP="00AE16C8">
      <w:pPr>
        <w:pStyle w:val="Titre1"/>
      </w:pPr>
      <w:bookmarkStart w:id="65" w:name="_Toc49868781"/>
      <w:bookmarkStart w:id="66" w:name="_Toc192686210"/>
      <w:r w:rsidRPr="00AE16C8">
        <w:lastRenderedPageBreak/>
        <w:t>RESILIATION</w:t>
      </w:r>
      <w:bookmarkEnd w:id="65"/>
      <w:bookmarkEnd w:id="66"/>
      <w:r w:rsidRPr="00AE16C8">
        <w:t xml:space="preserve"> </w:t>
      </w:r>
    </w:p>
    <w:p w14:paraId="4946B281" w14:textId="77777777" w:rsidR="00E54C5A" w:rsidRDefault="00E54C5A" w:rsidP="00E54C5A">
      <w:pPr>
        <w:pStyle w:val="Titre2"/>
        <w:rPr>
          <w:sz w:val="24"/>
          <w:szCs w:val="24"/>
        </w:rPr>
      </w:pPr>
      <w:bookmarkStart w:id="67" w:name="_Toc179970295"/>
      <w:r>
        <w:rPr>
          <w:sz w:val="24"/>
          <w:szCs w:val="24"/>
        </w:rPr>
        <w:t>Résiliation pour faute</w:t>
      </w:r>
      <w:bookmarkEnd w:id="67"/>
      <w:r>
        <w:rPr>
          <w:sz w:val="24"/>
          <w:szCs w:val="24"/>
        </w:rPr>
        <w:t xml:space="preserve">  </w:t>
      </w:r>
    </w:p>
    <w:p w14:paraId="383AE238" w14:textId="77777777" w:rsidR="00E54C5A" w:rsidRPr="00625CB5" w:rsidRDefault="00E54C5A" w:rsidP="00E54C5A">
      <w:pPr>
        <w:spacing w:after="0"/>
      </w:pPr>
      <w:r>
        <w:rPr>
          <w:rFonts w:ascii="Calibri" w:hAnsi="Calibri" w:cs="Calibri"/>
          <w:sz w:val="22"/>
        </w:rPr>
        <w:t xml:space="preserve"> </w:t>
      </w:r>
      <w:r>
        <w:t xml:space="preserve">En cas d’inexactitude des documents et renseignements fournis à l’appui de la candidature ou de l’offre et mentionnés aux R.2142-3, R.2142-4 &amp; R.2143-3 à R.2143-16 du code de la commande publique ou du refus de produire les pièces prévues à l’article D.8222-5 du code du travail conformément à l’article R2143-8 du code de la commande publique, </w:t>
      </w:r>
      <w:r w:rsidRPr="00D65665">
        <w:t xml:space="preserve">l’accord-cadre sera résilié aux torts du titulaire, sans que celui-ci puisse prétendre à indemnité et, le cas échéant, avec exécution des prestations à ses frais et risques dans </w:t>
      </w:r>
      <w:r w:rsidRPr="00625CB5">
        <w:t>les conditions des articles correspondant du CCAG</w:t>
      </w:r>
      <w:r>
        <w:t>-FCS</w:t>
      </w:r>
      <w:r w:rsidRPr="00625CB5">
        <w:t>.</w:t>
      </w:r>
    </w:p>
    <w:p w14:paraId="460552A3" w14:textId="77777777" w:rsidR="00E54C5A" w:rsidRPr="00D65665" w:rsidRDefault="00E54C5A" w:rsidP="00E54C5A">
      <w:r w:rsidRPr="00625CB5">
        <w:t xml:space="preserve">Les dispositions des articles 38 et suivants du </w:t>
      </w:r>
      <w:r>
        <w:t>CCAG-FCS</w:t>
      </w:r>
      <w:r w:rsidRPr="00625CB5">
        <w:t xml:space="preserve"> applicables aux différents cas de résiliation sont applicables au présent marché.</w:t>
      </w:r>
    </w:p>
    <w:p w14:paraId="55401E51" w14:textId="77777777" w:rsidR="00E54C5A" w:rsidRDefault="00E54C5A" w:rsidP="00E54C5A">
      <w:r w:rsidRPr="00D65665">
        <w:t>Dans le cas où le titulaire ne respecterait pas les autres obligations du présent marché, l’INC serait en droit de résilier le marché aux torts du titulaire, dans les conditions des articles correspondant du CCAG</w:t>
      </w:r>
      <w:r>
        <w:t>-FCS</w:t>
      </w:r>
      <w:r w:rsidRPr="00D65665">
        <w:t xml:space="preserve"> et, le cas échéant, avec exécution des prestations à ses frais et risques dans les conditions des articles correspondant du </w:t>
      </w:r>
      <w:r>
        <w:t>CCAG-FCS</w:t>
      </w:r>
      <w:r w:rsidRPr="00D65665">
        <w:t xml:space="preserve"> et, le cas échéant, avec exécution des prestations à ses frais et risques dans les conditions des articles correspondant du CCAG</w:t>
      </w:r>
      <w:r>
        <w:t>-FCS</w:t>
      </w:r>
      <w:r w:rsidRPr="00D65665">
        <w:t>.</w:t>
      </w:r>
    </w:p>
    <w:p w14:paraId="75BBF38A" w14:textId="0EAA6B86" w:rsidR="00C84F2A" w:rsidRPr="00AE16C8" w:rsidRDefault="00C84F2A" w:rsidP="00C84F2A">
      <w:r w:rsidRPr="00AE16C8">
        <w:t xml:space="preserve">Le marché peut être </w:t>
      </w:r>
      <w:r>
        <w:t xml:space="preserve">par exemple être </w:t>
      </w:r>
      <w:r w:rsidRPr="00AE16C8">
        <w:t>résilié de plein droit aux torts exclusifs du titulaire sans que celui-ci puisse prétendre à une indemnité dans les cas qui suivent (Résiliation par courrier recommandé avec avis de réception et sans délais de préavis)</w:t>
      </w:r>
      <w:r>
        <w:t xml:space="preserve"> </w:t>
      </w:r>
      <w:r w:rsidRPr="00AE16C8">
        <w:t xml:space="preserve">En raison de la constatation d’une défaillance </w:t>
      </w:r>
      <w:r>
        <w:t xml:space="preserve">répétée </w:t>
      </w:r>
      <w:r w:rsidRPr="00AE16C8">
        <w:t xml:space="preserve">mentionnée à l’article </w:t>
      </w:r>
      <w:r>
        <w:t>9</w:t>
      </w:r>
      <w:r w:rsidRPr="00AE16C8">
        <w:t xml:space="preserve"> du présent CCAP. </w:t>
      </w:r>
    </w:p>
    <w:p w14:paraId="730959AE" w14:textId="77777777" w:rsidR="00C84F2A" w:rsidRPr="00AE16C8" w:rsidRDefault="00C84F2A" w:rsidP="00C84F2A">
      <w:r w:rsidRPr="00AE16C8">
        <w:t xml:space="preserve">Seront également considérés comme motif de résiliation aux torts du titulaire les cas suivants (sans préavis, par lettre recommandée avec avis de réception), tous les cas liés à la mauvaise gestion du personnel pouvant impliquer ou non l’image ou la responsabilité sociale du pouvoir adjudicateur comme par exemple, sans que cette liste soit limitative : </w:t>
      </w:r>
    </w:p>
    <w:p w14:paraId="48C26172" w14:textId="77777777" w:rsidR="00C84F2A" w:rsidRPr="00AE16C8" w:rsidRDefault="00C84F2A" w:rsidP="00C84F2A">
      <w:pPr>
        <w:pStyle w:val="Paragraphedeliste"/>
        <w:numPr>
          <w:ilvl w:val="0"/>
          <w:numId w:val="53"/>
        </w:numPr>
      </w:pPr>
      <w:r w:rsidRPr="00AE16C8">
        <w:t>si les conditions de transport ne respectent pas la réglementation en vigueur</w:t>
      </w:r>
    </w:p>
    <w:p w14:paraId="6421285B" w14:textId="77777777" w:rsidR="00C84F2A" w:rsidRPr="00AE16C8" w:rsidRDefault="00C84F2A" w:rsidP="00C84F2A">
      <w:pPr>
        <w:pStyle w:val="Paragraphedeliste"/>
        <w:numPr>
          <w:ilvl w:val="0"/>
          <w:numId w:val="53"/>
        </w:numPr>
      </w:pPr>
      <w:r w:rsidRPr="00AE16C8">
        <w:t>en cas d’irrégularité flagrante dans le respect du code du travail.</w:t>
      </w:r>
    </w:p>
    <w:p w14:paraId="1ECAC69B" w14:textId="241122EA" w:rsidR="00C84F2A" w:rsidRDefault="00C84F2A" w:rsidP="00E54C5A"/>
    <w:p w14:paraId="461FF7CB" w14:textId="77777777" w:rsidR="00C84F2A" w:rsidRDefault="00C84F2A" w:rsidP="00E54C5A"/>
    <w:p w14:paraId="6D4EF24D" w14:textId="77777777" w:rsidR="00C84F2A" w:rsidRPr="00D65665" w:rsidRDefault="00C84F2A" w:rsidP="00E54C5A"/>
    <w:p w14:paraId="2FC69FEF" w14:textId="77777777" w:rsidR="00E54C5A" w:rsidRPr="00D65665" w:rsidRDefault="00E54C5A" w:rsidP="00E54C5A">
      <w:pPr>
        <w:pStyle w:val="Titre2"/>
        <w:rPr>
          <w:sz w:val="24"/>
          <w:szCs w:val="24"/>
        </w:rPr>
      </w:pPr>
      <w:bookmarkStart w:id="68" w:name="_Toc179970296"/>
      <w:r w:rsidRPr="00D65665">
        <w:rPr>
          <w:sz w:val="24"/>
          <w:szCs w:val="24"/>
        </w:rPr>
        <w:t>Résiliation pour motif d’intérêt général</w:t>
      </w:r>
      <w:bookmarkEnd w:id="68"/>
      <w:r w:rsidRPr="00D65665">
        <w:rPr>
          <w:sz w:val="24"/>
          <w:szCs w:val="24"/>
        </w:rPr>
        <w:t xml:space="preserve">  </w:t>
      </w:r>
    </w:p>
    <w:p w14:paraId="20F50523" w14:textId="68A4A9EE" w:rsidR="00AE16C8" w:rsidRPr="00AE16C8" w:rsidRDefault="00AE16C8" w:rsidP="00AE16C8">
      <w:r w:rsidRPr="00AE16C8">
        <w:t xml:space="preserve">Le marché pourra être résilié selon les dispositions de l’article 6 du CCAG-FCS. </w:t>
      </w:r>
    </w:p>
    <w:p w14:paraId="1CC4A763" w14:textId="1017F54B" w:rsidR="00AE16C8" w:rsidRPr="00AE16C8" w:rsidRDefault="00AE16C8" w:rsidP="00AE16C8">
      <w:r w:rsidRPr="00AE16C8">
        <w:t xml:space="preserve">En complément, il est précisé que le marché peut être résilié de plein droit sans donner lieu à indemnité dans le cas suivant : </w:t>
      </w:r>
    </w:p>
    <w:p w14:paraId="6A011AE4" w14:textId="06E292FB" w:rsidR="00AE16C8" w:rsidRPr="00AE16C8" w:rsidRDefault="00AE16C8" w:rsidP="00AE16C8">
      <w:r w:rsidRPr="00AE16C8">
        <w:t xml:space="preserve">Certains périodiques pourront également être supprimés dans le cadre du programme de développement de l’INC ; ce dernier s’engage à résilier </w:t>
      </w:r>
      <w:r w:rsidR="003A2802">
        <w:t xml:space="preserve">la distribution </w:t>
      </w:r>
      <w:r w:rsidRPr="00AE16C8">
        <w:t xml:space="preserve">concerné par courrier recommandé 3 mois avant l’échéance. </w:t>
      </w:r>
    </w:p>
    <w:p w14:paraId="79C57840" w14:textId="2E43B8AC" w:rsidR="00AE16C8" w:rsidRPr="00AE16C8" w:rsidRDefault="00AE16C8" w:rsidP="00AE16C8">
      <w:pPr>
        <w:pStyle w:val="Titre1"/>
      </w:pPr>
      <w:bookmarkStart w:id="69" w:name="_Toc49868782"/>
      <w:bookmarkStart w:id="70" w:name="_Toc192686211"/>
      <w:r w:rsidRPr="00AE16C8">
        <w:t>DIFFERENDS ET LITIGES</w:t>
      </w:r>
      <w:bookmarkEnd w:id="69"/>
      <w:bookmarkEnd w:id="70"/>
      <w:r w:rsidRPr="00AE16C8">
        <w:t xml:space="preserve"> </w:t>
      </w:r>
    </w:p>
    <w:p w14:paraId="37B9E569" w14:textId="7FD0BFC8" w:rsidR="00AE16C8" w:rsidRPr="00AE16C8" w:rsidRDefault="00AE16C8" w:rsidP="00AE16C8">
      <w:r w:rsidRPr="00AE16C8">
        <w:t xml:space="preserve">En cas de contentieux, le tribunal compétent sera le Tribunal </w:t>
      </w:r>
      <w:proofErr w:type="gramStart"/>
      <w:r w:rsidRPr="00AE16C8">
        <w:t>Administratif  DE</w:t>
      </w:r>
      <w:proofErr w:type="gramEnd"/>
      <w:r w:rsidRPr="00AE16C8">
        <w:t xml:space="preserve"> </w:t>
      </w:r>
      <w:r w:rsidR="00294469">
        <w:t>CERGY.</w:t>
      </w:r>
    </w:p>
    <w:p w14:paraId="09F842E8" w14:textId="34A25497" w:rsidR="00AE16C8" w:rsidRDefault="00AE16C8" w:rsidP="00294469">
      <w:pPr>
        <w:pStyle w:val="Titre1"/>
      </w:pPr>
      <w:bookmarkStart w:id="71" w:name="_Toc49868783"/>
      <w:bookmarkStart w:id="72" w:name="_Toc192686212"/>
      <w:r w:rsidRPr="00AE16C8">
        <w:t>DEROGATIONS AU CCAG-FCS</w:t>
      </w:r>
      <w:bookmarkEnd w:id="71"/>
      <w:bookmarkEnd w:id="72"/>
      <w:r w:rsidRPr="00AE16C8">
        <w:t xml:space="preserve"> </w:t>
      </w:r>
    </w:p>
    <w:p w14:paraId="11799188" w14:textId="77777777" w:rsidR="00294469" w:rsidRPr="00294469" w:rsidRDefault="00294469" w:rsidP="00294469"/>
    <w:tbl>
      <w:tblPr>
        <w:tblStyle w:val="Grilledutableau"/>
        <w:tblW w:w="0" w:type="auto"/>
        <w:tblLook w:val="04A0" w:firstRow="1" w:lastRow="0" w:firstColumn="1" w:lastColumn="0" w:noHBand="0" w:noVBand="1"/>
      </w:tblPr>
      <w:tblGrid>
        <w:gridCol w:w="3020"/>
        <w:gridCol w:w="3021"/>
        <w:gridCol w:w="3021"/>
      </w:tblGrid>
      <w:tr w:rsidR="00AE16C8" w:rsidRPr="00AE16C8" w14:paraId="0FE5846E" w14:textId="77777777" w:rsidTr="00324152">
        <w:tc>
          <w:tcPr>
            <w:tcW w:w="3020" w:type="dxa"/>
          </w:tcPr>
          <w:p w14:paraId="142B7D99" w14:textId="77777777" w:rsidR="00AE16C8" w:rsidRPr="00AE16C8" w:rsidRDefault="00AE16C8" w:rsidP="00AE16C8">
            <w:r w:rsidRPr="00AE16C8">
              <w:t xml:space="preserve">ARTICLE DU CCAP </w:t>
            </w:r>
          </w:p>
        </w:tc>
        <w:tc>
          <w:tcPr>
            <w:tcW w:w="3021" w:type="dxa"/>
          </w:tcPr>
          <w:p w14:paraId="637E1CB7" w14:textId="77777777" w:rsidR="00AE16C8" w:rsidRPr="00AE16C8" w:rsidRDefault="00AE16C8" w:rsidP="00AE16C8">
            <w:r w:rsidRPr="00AE16C8">
              <w:t xml:space="preserve">DEROGATION AU CCAG </w:t>
            </w:r>
          </w:p>
        </w:tc>
        <w:tc>
          <w:tcPr>
            <w:tcW w:w="3021" w:type="dxa"/>
          </w:tcPr>
          <w:p w14:paraId="782072EA" w14:textId="77777777" w:rsidR="00AE16C8" w:rsidRPr="00AE16C8" w:rsidRDefault="00AE16C8" w:rsidP="00AE16C8">
            <w:r w:rsidRPr="00AE16C8">
              <w:t xml:space="preserve">OBJET DE LA DEROGATION </w:t>
            </w:r>
          </w:p>
        </w:tc>
      </w:tr>
      <w:tr w:rsidR="00AE16C8" w:rsidRPr="00AE16C8" w14:paraId="36E67A51" w14:textId="77777777" w:rsidTr="00324152">
        <w:tc>
          <w:tcPr>
            <w:tcW w:w="3020" w:type="dxa"/>
          </w:tcPr>
          <w:p w14:paraId="73162887" w14:textId="77777777" w:rsidR="00AE16C8" w:rsidRPr="00AE16C8" w:rsidRDefault="00AE16C8" w:rsidP="00AE16C8">
            <w:r w:rsidRPr="00AE16C8">
              <w:lastRenderedPageBreak/>
              <w:t xml:space="preserve">2 </w:t>
            </w:r>
          </w:p>
        </w:tc>
        <w:tc>
          <w:tcPr>
            <w:tcW w:w="3021" w:type="dxa"/>
          </w:tcPr>
          <w:p w14:paraId="341DC891" w14:textId="77777777" w:rsidR="00AE16C8" w:rsidRPr="00AE16C8" w:rsidRDefault="00AE16C8" w:rsidP="00AE16C8">
            <w:r w:rsidRPr="00AE16C8">
              <w:t xml:space="preserve">4.1 </w:t>
            </w:r>
          </w:p>
        </w:tc>
        <w:tc>
          <w:tcPr>
            <w:tcW w:w="3021" w:type="dxa"/>
          </w:tcPr>
          <w:p w14:paraId="75A43086" w14:textId="77777777" w:rsidR="00AE16C8" w:rsidRPr="00AE16C8" w:rsidRDefault="00AE16C8" w:rsidP="00AE16C8">
            <w:r w:rsidRPr="00AE16C8">
              <w:t xml:space="preserve">Ordre de priorité des pièces contractuelles </w:t>
            </w:r>
          </w:p>
        </w:tc>
      </w:tr>
      <w:tr w:rsidR="00AE16C8" w:rsidRPr="00AE16C8" w14:paraId="4F3FBAA8" w14:textId="77777777" w:rsidTr="00324152">
        <w:tc>
          <w:tcPr>
            <w:tcW w:w="3020" w:type="dxa"/>
          </w:tcPr>
          <w:p w14:paraId="42EF5629" w14:textId="77777777" w:rsidR="00AE16C8" w:rsidRPr="00AE16C8" w:rsidRDefault="00AE16C8" w:rsidP="00AE16C8">
            <w:r w:rsidRPr="00AE16C8">
              <w:t xml:space="preserve">4.6 </w:t>
            </w:r>
          </w:p>
        </w:tc>
        <w:tc>
          <w:tcPr>
            <w:tcW w:w="3021" w:type="dxa"/>
          </w:tcPr>
          <w:p w14:paraId="72C92979" w14:textId="77777777" w:rsidR="00AE16C8" w:rsidRPr="00AE16C8" w:rsidRDefault="00AE16C8" w:rsidP="00AE16C8">
            <w:r w:rsidRPr="00AE16C8">
              <w:t xml:space="preserve">9 </w:t>
            </w:r>
          </w:p>
        </w:tc>
        <w:tc>
          <w:tcPr>
            <w:tcW w:w="3021" w:type="dxa"/>
          </w:tcPr>
          <w:p w14:paraId="2A490B35" w14:textId="77777777" w:rsidR="00AE16C8" w:rsidRPr="00AE16C8" w:rsidRDefault="00AE16C8" w:rsidP="00AE16C8">
            <w:r w:rsidRPr="00AE16C8">
              <w:t xml:space="preserve">Assurances </w:t>
            </w:r>
          </w:p>
        </w:tc>
      </w:tr>
      <w:tr w:rsidR="00AE16C8" w:rsidRPr="00AE16C8" w14:paraId="374AA648" w14:textId="77777777" w:rsidTr="00324152">
        <w:tc>
          <w:tcPr>
            <w:tcW w:w="3020" w:type="dxa"/>
          </w:tcPr>
          <w:p w14:paraId="5AE8A708" w14:textId="77777777" w:rsidR="00AE16C8" w:rsidRPr="00AE16C8" w:rsidRDefault="00AE16C8" w:rsidP="00AE16C8">
            <w:r w:rsidRPr="00AE16C8">
              <w:t xml:space="preserve">6 </w:t>
            </w:r>
          </w:p>
        </w:tc>
        <w:tc>
          <w:tcPr>
            <w:tcW w:w="3021" w:type="dxa"/>
          </w:tcPr>
          <w:p w14:paraId="2A5CBC3E" w14:textId="77777777" w:rsidR="00AE16C8" w:rsidRPr="00AE16C8" w:rsidRDefault="00AE16C8" w:rsidP="00AE16C8">
            <w:r w:rsidRPr="00AE16C8">
              <w:t xml:space="preserve">Chapitre 5 </w:t>
            </w:r>
          </w:p>
        </w:tc>
        <w:tc>
          <w:tcPr>
            <w:tcW w:w="3021" w:type="dxa"/>
          </w:tcPr>
          <w:p w14:paraId="42AE644D" w14:textId="77777777" w:rsidR="00AE16C8" w:rsidRPr="00AE16C8" w:rsidRDefault="00AE16C8" w:rsidP="00AE16C8">
            <w:r w:rsidRPr="00AE16C8">
              <w:t xml:space="preserve">Vérification et Admission des prestations </w:t>
            </w:r>
          </w:p>
        </w:tc>
      </w:tr>
      <w:tr w:rsidR="00AE16C8" w:rsidRPr="00AE16C8" w14:paraId="2744332B" w14:textId="77777777" w:rsidTr="00324152">
        <w:tc>
          <w:tcPr>
            <w:tcW w:w="3020" w:type="dxa"/>
          </w:tcPr>
          <w:p w14:paraId="45D9D67F" w14:textId="77777777" w:rsidR="00AE16C8" w:rsidRPr="00AE16C8" w:rsidRDefault="00AE16C8" w:rsidP="00AE16C8">
            <w:r w:rsidRPr="00AE16C8">
              <w:t xml:space="preserve">7 </w:t>
            </w:r>
          </w:p>
        </w:tc>
        <w:tc>
          <w:tcPr>
            <w:tcW w:w="3021" w:type="dxa"/>
          </w:tcPr>
          <w:p w14:paraId="5106A4C5" w14:textId="77777777" w:rsidR="00AE16C8" w:rsidRPr="00AE16C8" w:rsidRDefault="00AE16C8" w:rsidP="00AE16C8">
            <w:r w:rsidRPr="00AE16C8">
              <w:t xml:space="preserve">10 </w:t>
            </w:r>
          </w:p>
        </w:tc>
        <w:tc>
          <w:tcPr>
            <w:tcW w:w="3021" w:type="dxa"/>
          </w:tcPr>
          <w:p w14:paraId="06EC0338" w14:textId="77777777" w:rsidR="00AE16C8" w:rsidRPr="00AE16C8" w:rsidRDefault="00AE16C8" w:rsidP="00AE16C8">
            <w:r w:rsidRPr="00AE16C8">
              <w:t xml:space="preserve">Prix et règlement </w:t>
            </w:r>
          </w:p>
        </w:tc>
      </w:tr>
      <w:tr w:rsidR="00AE16C8" w:rsidRPr="00AE16C8" w14:paraId="1188B16B" w14:textId="77777777" w:rsidTr="00324152">
        <w:tc>
          <w:tcPr>
            <w:tcW w:w="3020" w:type="dxa"/>
          </w:tcPr>
          <w:p w14:paraId="7E6BB875" w14:textId="77777777" w:rsidR="00AE16C8" w:rsidRPr="00AE16C8" w:rsidRDefault="00AE16C8" w:rsidP="00AE16C8">
            <w:r w:rsidRPr="00AE16C8">
              <w:t xml:space="preserve">8 </w:t>
            </w:r>
          </w:p>
        </w:tc>
        <w:tc>
          <w:tcPr>
            <w:tcW w:w="3021" w:type="dxa"/>
          </w:tcPr>
          <w:p w14:paraId="0590576B" w14:textId="77777777" w:rsidR="00AE16C8" w:rsidRPr="00AE16C8" w:rsidRDefault="00AE16C8" w:rsidP="00AE16C8">
            <w:r w:rsidRPr="00AE16C8">
              <w:t xml:space="preserve">14 </w:t>
            </w:r>
          </w:p>
        </w:tc>
        <w:tc>
          <w:tcPr>
            <w:tcW w:w="3021" w:type="dxa"/>
          </w:tcPr>
          <w:p w14:paraId="0D76618A" w14:textId="77777777" w:rsidR="00AE16C8" w:rsidRPr="00AE16C8" w:rsidRDefault="00AE16C8" w:rsidP="00AE16C8">
            <w:r w:rsidRPr="00AE16C8">
              <w:t xml:space="preserve">Pénalités </w:t>
            </w:r>
          </w:p>
        </w:tc>
      </w:tr>
      <w:tr w:rsidR="00AE16C8" w:rsidRPr="00AE16C8" w14:paraId="29E1B9C0" w14:textId="77777777" w:rsidTr="00324152">
        <w:tc>
          <w:tcPr>
            <w:tcW w:w="3020" w:type="dxa"/>
          </w:tcPr>
          <w:p w14:paraId="440B17E2" w14:textId="77777777" w:rsidR="00AE16C8" w:rsidRPr="00AE16C8" w:rsidRDefault="00AE16C8" w:rsidP="00AE16C8">
            <w:r w:rsidRPr="00AE16C8">
              <w:t xml:space="preserve">11 </w:t>
            </w:r>
          </w:p>
        </w:tc>
        <w:tc>
          <w:tcPr>
            <w:tcW w:w="3021" w:type="dxa"/>
          </w:tcPr>
          <w:p w14:paraId="78A013E9" w14:textId="77777777" w:rsidR="00AE16C8" w:rsidRPr="00AE16C8" w:rsidRDefault="00AE16C8" w:rsidP="00AE16C8">
            <w:r w:rsidRPr="00AE16C8">
              <w:t xml:space="preserve">37 </w:t>
            </w:r>
          </w:p>
        </w:tc>
        <w:tc>
          <w:tcPr>
            <w:tcW w:w="3021" w:type="dxa"/>
          </w:tcPr>
          <w:p w14:paraId="3028D78B" w14:textId="77777777" w:rsidR="00AE16C8" w:rsidRPr="00AE16C8" w:rsidRDefault="00AE16C8" w:rsidP="00AE16C8">
            <w:r w:rsidRPr="00AE16C8">
              <w:t xml:space="preserve">Règlement des litiges – compétence du tribunal </w:t>
            </w:r>
          </w:p>
        </w:tc>
      </w:tr>
    </w:tbl>
    <w:p w14:paraId="539FD4D0" w14:textId="77777777" w:rsidR="00AE16C8" w:rsidRPr="00AE16C8" w:rsidRDefault="00AE16C8" w:rsidP="00AE16C8"/>
    <w:p w14:paraId="1D2B1EBB" w14:textId="35B41624" w:rsidR="00AE16C8" w:rsidRDefault="00AE16C8" w:rsidP="00AE16C8">
      <w:r w:rsidRPr="00AE16C8">
        <w:t xml:space="preserve"> </w:t>
      </w:r>
      <w:r w:rsidRPr="00AE16C8">
        <w:tab/>
      </w:r>
      <w:r w:rsidRPr="00AE16C8">
        <w:tab/>
      </w:r>
      <w:r w:rsidRPr="00AE16C8">
        <w:tab/>
      </w:r>
      <w:r w:rsidRPr="00AE16C8">
        <w:tab/>
      </w:r>
      <w:r w:rsidRPr="00AE16C8">
        <w:tab/>
      </w:r>
      <w:r w:rsidRPr="00AE16C8">
        <w:tab/>
      </w:r>
    </w:p>
    <w:sectPr w:rsidR="00AE16C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49106" w14:textId="77777777" w:rsidR="005C63C1" w:rsidRDefault="005C63C1" w:rsidP="00FC31EC">
      <w:r>
        <w:separator/>
      </w:r>
    </w:p>
  </w:endnote>
  <w:endnote w:type="continuationSeparator" w:id="0">
    <w:p w14:paraId="75F99641" w14:textId="77777777" w:rsidR="005C63C1" w:rsidRDefault="005C63C1" w:rsidP="00FC31EC">
      <w:r>
        <w:continuationSeparator/>
      </w:r>
    </w:p>
  </w:endnote>
  <w:endnote w:type="continuationNotice" w:id="1">
    <w:p w14:paraId="1FD5C266" w14:textId="77777777" w:rsidR="005C63C1" w:rsidRDefault="005C63C1"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37D8E" w14:textId="77777777" w:rsidR="00255BA9" w:rsidRDefault="00255B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469B0" w14:textId="2F493D43" w:rsidR="00A81F9E" w:rsidRDefault="00294469" w:rsidP="00FC31EC">
    <w:pPr>
      <w:pStyle w:val="Pieddepage"/>
    </w:pPr>
    <w:r w:rsidRPr="00294469">
      <w:t>CC</w:t>
    </w:r>
    <w:r>
      <w:t>A</w:t>
    </w:r>
    <w:r w:rsidRPr="00294469">
      <w:t xml:space="preserve">P INC </w:t>
    </w:r>
    <w:r w:rsidR="00255BA9">
      <w:t>20</w:t>
    </w:r>
    <w:r w:rsidRPr="00294469">
      <w:t>25</w:t>
    </w:r>
    <w:r w:rsidR="00255BA9">
      <w:t>-</w:t>
    </w:r>
    <w:r w:rsidRPr="00294469">
      <w:t>04</w:t>
    </w:r>
    <w:r w:rsidR="00255BA9">
      <w:t>8</w:t>
    </w:r>
    <w:r w:rsidRPr="00294469">
      <w:t xml:space="preserve"> RX Diffusion</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2E3E6" w14:textId="77777777" w:rsidR="00255BA9" w:rsidRDefault="00255B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DCE65" w14:textId="77777777" w:rsidR="005C63C1" w:rsidRDefault="005C63C1" w:rsidP="00FC31EC">
      <w:r>
        <w:separator/>
      </w:r>
    </w:p>
  </w:footnote>
  <w:footnote w:type="continuationSeparator" w:id="0">
    <w:p w14:paraId="0B3190CC" w14:textId="77777777" w:rsidR="005C63C1" w:rsidRDefault="005C63C1" w:rsidP="00FC31EC">
      <w:r>
        <w:continuationSeparator/>
      </w:r>
    </w:p>
  </w:footnote>
  <w:footnote w:type="continuationNotice" w:id="1">
    <w:p w14:paraId="36145B85" w14:textId="77777777" w:rsidR="005C63C1" w:rsidRDefault="005C63C1" w:rsidP="00FC3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84BF3" w14:textId="77777777" w:rsidR="00255BA9" w:rsidRDefault="00255BA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46B14" w14:textId="77777777" w:rsidR="00255BA9" w:rsidRDefault="00255BA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BC183" w14:textId="77777777" w:rsidR="00255BA9" w:rsidRDefault="00255BA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E0F0C1D"/>
    <w:multiLevelType w:val="singleLevel"/>
    <w:tmpl w:val="10027ABE"/>
    <w:lvl w:ilvl="0">
      <w:numFmt w:val="bullet"/>
      <w:lvlText w:val="-"/>
      <w:lvlJc w:val="left"/>
      <w:pPr>
        <w:tabs>
          <w:tab w:val="num" w:pos="1068"/>
        </w:tabs>
        <w:ind w:left="1068" w:hanging="360"/>
      </w:pPr>
    </w:lvl>
  </w:abstractNum>
  <w:abstractNum w:abstractNumId="3"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6136B6"/>
    <w:multiLevelType w:val="hybridMultilevel"/>
    <w:tmpl w:val="45E27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013DB"/>
    <w:multiLevelType w:val="hybridMultilevel"/>
    <w:tmpl w:val="B412CC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6A36318"/>
    <w:multiLevelType w:val="hybridMultilevel"/>
    <w:tmpl w:val="3A3220DC"/>
    <w:lvl w:ilvl="0" w:tplc="21ECA52A">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5"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B93B44"/>
    <w:multiLevelType w:val="hybridMultilevel"/>
    <w:tmpl w:val="BDEEE0F2"/>
    <w:lvl w:ilvl="0" w:tplc="5F362890">
      <w:start w:val="4"/>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20"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3"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9"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30"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37"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38"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1"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3" w15:restartNumberingAfterBreak="0">
    <w:nsid w:val="748C77A8"/>
    <w:multiLevelType w:val="hybridMultilevel"/>
    <w:tmpl w:val="60CA910A"/>
    <w:lvl w:ilvl="0" w:tplc="5F362890">
      <w:start w:val="4"/>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49"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48"/>
  </w:num>
  <w:num w:numId="2" w16cid:durableId="123895177">
    <w:abstractNumId w:val="29"/>
  </w:num>
  <w:num w:numId="3" w16cid:durableId="620303959">
    <w:abstractNumId w:val="28"/>
  </w:num>
  <w:num w:numId="4" w16cid:durableId="108403437">
    <w:abstractNumId w:val="46"/>
  </w:num>
  <w:num w:numId="5" w16cid:durableId="648244451">
    <w:abstractNumId w:val="20"/>
  </w:num>
  <w:num w:numId="6" w16cid:durableId="1804807464">
    <w:abstractNumId w:val="21"/>
  </w:num>
  <w:num w:numId="7" w16cid:durableId="1849252919">
    <w:abstractNumId w:val="9"/>
  </w:num>
  <w:num w:numId="8" w16cid:durableId="899365396">
    <w:abstractNumId w:val="13"/>
  </w:num>
  <w:num w:numId="9" w16cid:durableId="772212778">
    <w:abstractNumId w:val="26"/>
  </w:num>
  <w:num w:numId="10" w16cid:durableId="753553594">
    <w:abstractNumId w:val="31"/>
  </w:num>
  <w:num w:numId="11" w16cid:durableId="365643042">
    <w:abstractNumId w:val="27"/>
  </w:num>
  <w:num w:numId="12" w16cid:durableId="1346831232">
    <w:abstractNumId w:val="39"/>
  </w:num>
  <w:num w:numId="13" w16cid:durableId="397367247">
    <w:abstractNumId w:val="47"/>
  </w:num>
  <w:num w:numId="14" w16cid:durableId="43339416">
    <w:abstractNumId w:val="19"/>
  </w:num>
  <w:num w:numId="15" w16cid:durableId="226957469">
    <w:abstractNumId w:val="0"/>
  </w:num>
  <w:num w:numId="16" w16cid:durableId="1050374565">
    <w:abstractNumId w:val="45"/>
  </w:num>
  <w:num w:numId="17" w16cid:durableId="1301694765">
    <w:abstractNumId w:val="8"/>
  </w:num>
  <w:num w:numId="18" w16cid:durableId="730731693">
    <w:abstractNumId w:val="17"/>
  </w:num>
  <w:num w:numId="19" w16cid:durableId="1782265556">
    <w:abstractNumId w:val="5"/>
  </w:num>
  <w:num w:numId="20" w16cid:durableId="9919272">
    <w:abstractNumId w:val="32"/>
  </w:num>
  <w:num w:numId="21" w16cid:durableId="703404568">
    <w:abstractNumId w:val="15"/>
  </w:num>
  <w:num w:numId="22" w16cid:durableId="2040472666">
    <w:abstractNumId w:val="23"/>
  </w:num>
  <w:num w:numId="23" w16cid:durableId="1433041184">
    <w:abstractNumId w:val="3"/>
  </w:num>
  <w:num w:numId="24" w16cid:durableId="781146390">
    <w:abstractNumId w:val="33"/>
  </w:num>
  <w:num w:numId="25" w16cid:durableId="1452898967">
    <w:abstractNumId w:val="30"/>
  </w:num>
  <w:num w:numId="26" w16cid:durableId="1914197919">
    <w:abstractNumId w:val="34"/>
  </w:num>
  <w:num w:numId="27" w16cid:durableId="1948273712">
    <w:abstractNumId w:val="49"/>
  </w:num>
  <w:num w:numId="28" w16cid:durableId="741414012">
    <w:abstractNumId w:val="6"/>
  </w:num>
  <w:num w:numId="29" w16cid:durableId="11345804">
    <w:abstractNumId w:val="12"/>
  </w:num>
  <w:num w:numId="30" w16cid:durableId="1948998129">
    <w:abstractNumId w:val="24"/>
  </w:num>
  <w:num w:numId="31" w16cid:durableId="886450726">
    <w:abstractNumId w:val="37"/>
  </w:num>
  <w:num w:numId="32" w16cid:durableId="1611014074">
    <w:abstractNumId w:val="38"/>
  </w:num>
  <w:num w:numId="33" w16cid:durableId="783307768">
    <w:abstractNumId w:val="28"/>
  </w:num>
  <w:num w:numId="34" w16cid:durableId="66349140">
    <w:abstractNumId w:val="28"/>
  </w:num>
  <w:num w:numId="35" w16cid:durableId="163396954">
    <w:abstractNumId w:val="28"/>
  </w:num>
  <w:num w:numId="36" w16cid:durableId="745764846">
    <w:abstractNumId w:val="28"/>
  </w:num>
  <w:num w:numId="37" w16cid:durableId="999894813">
    <w:abstractNumId w:val="35"/>
  </w:num>
  <w:num w:numId="38" w16cid:durableId="35083897">
    <w:abstractNumId w:val="16"/>
  </w:num>
  <w:num w:numId="39" w16cid:durableId="1939242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2"/>
  </w:num>
  <w:num w:numId="43" w16cid:durableId="91897572">
    <w:abstractNumId w:val="4"/>
  </w:num>
  <w:num w:numId="44" w16cid:durableId="567689389">
    <w:abstractNumId w:val="40"/>
  </w:num>
  <w:num w:numId="45" w16cid:durableId="986202012">
    <w:abstractNumId w:val="25"/>
  </w:num>
  <w:num w:numId="46" w16cid:durableId="999039881">
    <w:abstractNumId w:val="42"/>
  </w:num>
  <w:num w:numId="47" w16cid:durableId="1005206975">
    <w:abstractNumId w:val="22"/>
  </w:num>
  <w:num w:numId="48" w16cid:durableId="59602418">
    <w:abstractNumId w:val="44"/>
  </w:num>
  <w:num w:numId="49" w16cid:durableId="616836211">
    <w:abstractNumId w:val="41"/>
  </w:num>
  <w:num w:numId="50" w16cid:durableId="850294856">
    <w:abstractNumId w:val="14"/>
  </w:num>
  <w:num w:numId="51" w16cid:durableId="718361032">
    <w:abstractNumId w:val="10"/>
  </w:num>
  <w:num w:numId="52" w16cid:durableId="780077760">
    <w:abstractNumId w:val="7"/>
  </w:num>
  <w:num w:numId="53" w16cid:durableId="1581788210">
    <w:abstractNumId w:val="43"/>
  </w:num>
  <w:num w:numId="54" w16cid:durableId="1364525593">
    <w:abstractNumId w:val="18"/>
  </w:num>
  <w:num w:numId="55" w16cid:durableId="190992318">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6C8"/>
    <w:rsid w:val="000049C9"/>
    <w:rsid w:val="000071E3"/>
    <w:rsid w:val="00012F0B"/>
    <w:rsid w:val="00016A90"/>
    <w:rsid w:val="000379D9"/>
    <w:rsid w:val="0004369C"/>
    <w:rsid w:val="00050486"/>
    <w:rsid w:val="00063E9C"/>
    <w:rsid w:val="00064B2F"/>
    <w:rsid w:val="00065D4E"/>
    <w:rsid w:val="00076537"/>
    <w:rsid w:val="00082520"/>
    <w:rsid w:val="00084136"/>
    <w:rsid w:val="0008770A"/>
    <w:rsid w:val="0009286A"/>
    <w:rsid w:val="000A2866"/>
    <w:rsid w:val="000A5EBF"/>
    <w:rsid w:val="000B1396"/>
    <w:rsid w:val="000B7137"/>
    <w:rsid w:val="000B7742"/>
    <w:rsid w:val="000C4CDA"/>
    <w:rsid w:val="000D1F45"/>
    <w:rsid w:val="000E4EFB"/>
    <w:rsid w:val="000E5CC3"/>
    <w:rsid w:val="00110203"/>
    <w:rsid w:val="0012758A"/>
    <w:rsid w:val="00144C11"/>
    <w:rsid w:val="00155EC7"/>
    <w:rsid w:val="00160D0F"/>
    <w:rsid w:val="00162C71"/>
    <w:rsid w:val="00165051"/>
    <w:rsid w:val="001824FF"/>
    <w:rsid w:val="00183774"/>
    <w:rsid w:val="00190B4E"/>
    <w:rsid w:val="001B1381"/>
    <w:rsid w:val="001B7E57"/>
    <w:rsid w:val="001C1868"/>
    <w:rsid w:val="001D6F34"/>
    <w:rsid w:val="001E1B3E"/>
    <w:rsid w:val="001E2443"/>
    <w:rsid w:val="001E3CBB"/>
    <w:rsid w:val="001E51C0"/>
    <w:rsid w:val="001F5FA8"/>
    <w:rsid w:val="001F6309"/>
    <w:rsid w:val="002023F5"/>
    <w:rsid w:val="002140ED"/>
    <w:rsid w:val="002508F0"/>
    <w:rsid w:val="00254AC2"/>
    <w:rsid w:val="00255BA9"/>
    <w:rsid w:val="0025646C"/>
    <w:rsid w:val="002679C3"/>
    <w:rsid w:val="00271D3C"/>
    <w:rsid w:val="00275B5C"/>
    <w:rsid w:val="0028055C"/>
    <w:rsid w:val="00282160"/>
    <w:rsid w:val="00294469"/>
    <w:rsid w:val="0029517E"/>
    <w:rsid w:val="002A1A17"/>
    <w:rsid w:val="002A3626"/>
    <w:rsid w:val="002B24EE"/>
    <w:rsid w:val="002C2BD8"/>
    <w:rsid w:val="002D4AEB"/>
    <w:rsid w:val="002F7334"/>
    <w:rsid w:val="00305844"/>
    <w:rsid w:val="0031030E"/>
    <w:rsid w:val="00312B62"/>
    <w:rsid w:val="003402E3"/>
    <w:rsid w:val="00341C64"/>
    <w:rsid w:val="00345F64"/>
    <w:rsid w:val="00353DE8"/>
    <w:rsid w:val="0035453D"/>
    <w:rsid w:val="003608F9"/>
    <w:rsid w:val="00362E2F"/>
    <w:rsid w:val="00367BD5"/>
    <w:rsid w:val="00383847"/>
    <w:rsid w:val="003A2802"/>
    <w:rsid w:val="003A3B93"/>
    <w:rsid w:val="003C32F2"/>
    <w:rsid w:val="003C36B7"/>
    <w:rsid w:val="003E0940"/>
    <w:rsid w:val="003E6D58"/>
    <w:rsid w:val="00421E25"/>
    <w:rsid w:val="00423852"/>
    <w:rsid w:val="0042627D"/>
    <w:rsid w:val="00426B45"/>
    <w:rsid w:val="00426CC4"/>
    <w:rsid w:val="00434952"/>
    <w:rsid w:val="004358A4"/>
    <w:rsid w:val="00444F8F"/>
    <w:rsid w:val="00446E17"/>
    <w:rsid w:val="00447E62"/>
    <w:rsid w:val="0047196B"/>
    <w:rsid w:val="00487107"/>
    <w:rsid w:val="00495995"/>
    <w:rsid w:val="00496093"/>
    <w:rsid w:val="004A1679"/>
    <w:rsid w:val="004A7DDA"/>
    <w:rsid w:val="004B1673"/>
    <w:rsid w:val="004B3DD6"/>
    <w:rsid w:val="004B3F27"/>
    <w:rsid w:val="004B42F4"/>
    <w:rsid w:val="004C627E"/>
    <w:rsid w:val="004C7865"/>
    <w:rsid w:val="004D4111"/>
    <w:rsid w:val="004F06C4"/>
    <w:rsid w:val="00506058"/>
    <w:rsid w:val="00507253"/>
    <w:rsid w:val="00524B60"/>
    <w:rsid w:val="005320B9"/>
    <w:rsid w:val="0054142E"/>
    <w:rsid w:val="00542339"/>
    <w:rsid w:val="00546019"/>
    <w:rsid w:val="00560C92"/>
    <w:rsid w:val="00566785"/>
    <w:rsid w:val="0057570C"/>
    <w:rsid w:val="00576C22"/>
    <w:rsid w:val="005778C2"/>
    <w:rsid w:val="00580D63"/>
    <w:rsid w:val="005813B1"/>
    <w:rsid w:val="00595DCC"/>
    <w:rsid w:val="00596979"/>
    <w:rsid w:val="005A00DB"/>
    <w:rsid w:val="005A44FA"/>
    <w:rsid w:val="005B69FF"/>
    <w:rsid w:val="005B6F5B"/>
    <w:rsid w:val="005B7EBB"/>
    <w:rsid w:val="005C248D"/>
    <w:rsid w:val="005C63C1"/>
    <w:rsid w:val="005D52FF"/>
    <w:rsid w:val="005E0662"/>
    <w:rsid w:val="005E0BF2"/>
    <w:rsid w:val="005F471B"/>
    <w:rsid w:val="005F5D93"/>
    <w:rsid w:val="00605A46"/>
    <w:rsid w:val="00630A9D"/>
    <w:rsid w:val="00642C33"/>
    <w:rsid w:val="0064419B"/>
    <w:rsid w:val="006656B8"/>
    <w:rsid w:val="00696FCA"/>
    <w:rsid w:val="006B513D"/>
    <w:rsid w:val="006C15E9"/>
    <w:rsid w:val="006C320B"/>
    <w:rsid w:val="006C7D77"/>
    <w:rsid w:val="006D1A06"/>
    <w:rsid w:val="006D6DE2"/>
    <w:rsid w:val="006E68B0"/>
    <w:rsid w:val="006F095C"/>
    <w:rsid w:val="006F2311"/>
    <w:rsid w:val="006F3844"/>
    <w:rsid w:val="0070284A"/>
    <w:rsid w:val="00730E3A"/>
    <w:rsid w:val="00741786"/>
    <w:rsid w:val="00753E1A"/>
    <w:rsid w:val="00762E29"/>
    <w:rsid w:val="00763946"/>
    <w:rsid w:val="00765F06"/>
    <w:rsid w:val="00766536"/>
    <w:rsid w:val="00790F84"/>
    <w:rsid w:val="007A4C74"/>
    <w:rsid w:val="007A763C"/>
    <w:rsid w:val="007B3DC5"/>
    <w:rsid w:val="007D2E22"/>
    <w:rsid w:val="007D7EA3"/>
    <w:rsid w:val="007F619F"/>
    <w:rsid w:val="008063E9"/>
    <w:rsid w:val="008074F7"/>
    <w:rsid w:val="008144B7"/>
    <w:rsid w:val="00823D30"/>
    <w:rsid w:val="00825838"/>
    <w:rsid w:val="00834228"/>
    <w:rsid w:val="0084389F"/>
    <w:rsid w:val="00845673"/>
    <w:rsid w:val="00857FDB"/>
    <w:rsid w:val="00872BC5"/>
    <w:rsid w:val="00890FD2"/>
    <w:rsid w:val="00891F06"/>
    <w:rsid w:val="008A44AC"/>
    <w:rsid w:val="008A4ABF"/>
    <w:rsid w:val="008A5911"/>
    <w:rsid w:val="008B0412"/>
    <w:rsid w:val="008B30F4"/>
    <w:rsid w:val="008B56BF"/>
    <w:rsid w:val="008C1657"/>
    <w:rsid w:val="008C7EDE"/>
    <w:rsid w:val="008E05AD"/>
    <w:rsid w:val="008E7461"/>
    <w:rsid w:val="008E79B1"/>
    <w:rsid w:val="00902635"/>
    <w:rsid w:val="00907077"/>
    <w:rsid w:val="00913CF7"/>
    <w:rsid w:val="009251D0"/>
    <w:rsid w:val="00926B0A"/>
    <w:rsid w:val="009345C6"/>
    <w:rsid w:val="009461CB"/>
    <w:rsid w:val="00971420"/>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40095"/>
    <w:rsid w:val="00A44B0B"/>
    <w:rsid w:val="00A56E38"/>
    <w:rsid w:val="00A57391"/>
    <w:rsid w:val="00A57AD6"/>
    <w:rsid w:val="00A60FC3"/>
    <w:rsid w:val="00A703C9"/>
    <w:rsid w:val="00A723B1"/>
    <w:rsid w:val="00A81F9E"/>
    <w:rsid w:val="00A93827"/>
    <w:rsid w:val="00A9595B"/>
    <w:rsid w:val="00AA7C86"/>
    <w:rsid w:val="00AB60A7"/>
    <w:rsid w:val="00AC7985"/>
    <w:rsid w:val="00AD5956"/>
    <w:rsid w:val="00AE16C8"/>
    <w:rsid w:val="00AF1AEF"/>
    <w:rsid w:val="00AF28E0"/>
    <w:rsid w:val="00AF7A9D"/>
    <w:rsid w:val="00B019F2"/>
    <w:rsid w:val="00B06262"/>
    <w:rsid w:val="00B113E9"/>
    <w:rsid w:val="00B14FFD"/>
    <w:rsid w:val="00B1696A"/>
    <w:rsid w:val="00B21BB6"/>
    <w:rsid w:val="00B21D49"/>
    <w:rsid w:val="00B244C8"/>
    <w:rsid w:val="00B36BC7"/>
    <w:rsid w:val="00B4274B"/>
    <w:rsid w:val="00B5139B"/>
    <w:rsid w:val="00B530AA"/>
    <w:rsid w:val="00B5480A"/>
    <w:rsid w:val="00B71D75"/>
    <w:rsid w:val="00B73141"/>
    <w:rsid w:val="00B74C1B"/>
    <w:rsid w:val="00B851A5"/>
    <w:rsid w:val="00BB3093"/>
    <w:rsid w:val="00BB60CD"/>
    <w:rsid w:val="00BC192C"/>
    <w:rsid w:val="00BC4120"/>
    <w:rsid w:val="00BC5D81"/>
    <w:rsid w:val="00BD212F"/>
    <w:rsid w:val="00C04A6F"/>
    <w:rsid w:val="00C10BFF"/>
    <w:rsid w:val="00C15CDA"/>
    <w:rsid w:val="00C2328D"/>
    <w:rsid w:val="00C36B8A"/>
    <w:rsid w:val="00C41EEB"/>
    <w:rsid w:val="00C44D74"/>
    <w:rsid w:val="00C532B6"/>
    <w:rsid w:val="00C66170"/>
    <w:rsid w:val="00C7085F"/>
    <w:rsid w:val="00C72F55"/>
    <w:rsid w:val="00C84F2A"/>
    <w:rsid w:val="00C94F06"/>
    <w:rsid w:val="00CB4EF2"/>
    <w:rsid w:val="00CD0C0D"/>
    <w:rsid w:val="00CD6492"/>
    <w:rsid w:val="00CD799E"/>
    <w:rsid w:val="00CE55C8"/>
    <w:rsid w:val="00CF394B"/>
    <w:rsid w:val="00D10E88"/>
    <w:rsid w:val="00D12749"/>
    <w:rsid w:val="00D41D7D"/>
    <w:rsid w:val="00D57FAC"/>
    <w:rsid w:val="00D65665"/>
    <w:rsid w:val="00D7283D"/>
    <w:rsid w:val="00D82131"/>
    <w:rsid w:val="00D858C8"/>
    <w:rsid w:val="00D900FB"/>
    <w:rsid w:val="00DA5E87"/>
    <w:rsid w:val="00DB205E"/>
    <w:rsid w:val="00DB5EE9"/>
    <w:rsid w:val="00DB6479"/>
    <w:rsid w:val="00DD1F55"/>
    <w:rsid w:val="00DD3D9F"/>
    <w:rsid w:val="00DD5D12"/>
    <w:rsid w:val="00DE7BB2"/>
    <w:rsid w:val="00DF5DBE"/>
    <w:rsid w:val="00E03AE9"/>
    <w:rsid w:val="00E044DB"/>
    <w:rsid w:val="00E15A41"/>
    <w:rsid w:val="00E4484B"/>
    <w:rsid w:val="00E54C5A"/>
    <w:rsid w:val="00E80F16"/>
    <w:rsid w:val="00E83195"/>
    <w:rsid w:val="00E90701"/>
    <w:rsid w:val="00E91B8E"/>
    <w:rsid w:val="00E93A25"/>
    <w:rsid w:val="00E975E0"/>
    <w:rsid w:val="00EC2C5D"/>
    <w:rsid w:val="00ED70A0"/>
    <w:rsid w:val="00ED7A7D"/>
    <w:rsid w:val="00EF7E91"/>
    <w:rsid w:val="00F041AB"/>
    <w:rsid w:val="00F222A2"/>
    <w:rsid w:val="00F34E0A"/>
    <w:rsid w:val="00F36865"/>
    <w:rsid w:val="00F41A71"/>
    <w:rsid w:val="00F45AD8"/>
    <w:rsid w:val="00F53119"/>
    <w:rsid w:val="00F60879"/>
    <w:rsid w:val="00F617AE"/>
    <w:rsid w:val="00F82A31"/>
    <w:rsid w:val="00F839BD"/>
    <w:rsid w:val="00F90A41"/>
    <w:rsid w:val="00FA470E"/>
    <w:rsid w:val="00FC0759"/>
    <w:rsid w:val="00FC31EC"/>
    <w:rsid w:val="00FD0C0D"/>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63F16"/>
  <w15:docId w15:val="{348C33AF-9CE0-4E85-B7D3-2A78B68B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8C8"/>
    <w:pPr>
      <w:spacing w:before="120" w:after="120" w:line="256" w:lineRule="auto"/>
      <w:jc w:val="both"/>
    </w:pPr>
    <w:rPr>
      <w:rFonts w:ascii="Arial" w:hAnsi="Arial"/>
      <w:sz w:val="20"/>
    </w:rPr>
  </w:style>
  <w:style w:type="paragraph" w:styleId="Titre1">
    <w:name w:val="heading 1"/>
    <w:aliases w:val="Partie"/>
    <w:basedOn w:val="Normal"/>
    <w:next w:val="Normal"/>
    <w:link w:val="Titre1Car"/>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9"/>
    <w:semiHidden/>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1"/>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3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qFormat/>
    <w:rsid w:val="00E83195"/>
    <w:pPr>
      <w:numPr>
        <w:ilvl w:val="2"/>
      </w:numPr>
    </w:pPr>
  </w:style>
  <w:style w:type="character" w:customStyle="1" w:styleId="ParagraphedelisteCar">
    <w:name w:val="Paragraphe de liste Car"/>
    <w:basedOn w:val="Policepardfaut"/>
    <w:link w:val="Paragraphedeliste"/>
    <w:uiPriority w:val="34"/>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ACA330-08DD-49F3-A857-D6003F02E716}">
  <ds:schemaRefs>
    <ds:schemaRef ds:uri="http://schemas.microsoft.com/sharepoint/v3/contenttype/forms"/>
  </ds:schemaRefs>
</ds:datastoreItem>
</file>

<file path=customXml/itemProps2.xml><?xml version="1.0" encoding="utf-8"?>
<ds:datastoreItem xmlns:ds="http://schemas.openxmlformats.org/officeDocument/2006/customXml" ds:itemID="{2B0A3CE3-9879-49B9-8CD0-1631623D6F6E}">
  <ds:schemaRefs>
    <ds:schemaRef ds:uri="http://schemas.openxmlformats.org/officeDocument/2006/bibliography"/>
  </ds:schemaRefs>
</ds:datastoreItem>
</file>

<file path=customXml/itemProps3.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0</TotalTime>
  <Pages>12</Pages>
  <Words>4264</Words>
  <Characters>23458</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 (EA)</cp:lastModifiedBy>
  <cp:revision>2</cp:revision>
  <cp:lastPrinted>2024-08-09T14:47:00Z</cp:lastPrinted>
  <dcterms:created xsi:type="dcterms:W3CDTF">2025-03-24T17:58:00Z</dcterms:created>
  <dcterms:modified xsi:type="dcterms:W3CDTF">2025-03-24T17:58:00Z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