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085B75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725B8895" w14:textId="64F2D1D0"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3C93B523" w14:textId="7E6B4A4B"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0998E70B" w14:textId="3AD36559"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49E456FB" w14:textId="734DA623"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57E9A7AF" w14:textId="59004258"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39D2CFDF" w14:textId="23773042" w:rsidR="005D1D4D" w:rsidRPr="00D92205" w:rsidRDefault="00CE3C26"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677D7C0B" w14:textId="7600A4F2"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540CB0A0" w14:textId="44C9A97E"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05E0C2EB" w14:textId="2925BA93"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1AA26E37" w14:textId="12DC85EA"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646AFA56" w14:textId="6C4E578D"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7712A495" w14:textId="4D9FB084"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2140E530" w14:textId="783C67E3"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7</w:t>
            </w:r>
            <w:r w:rsidR="005D1D4D" w:rsidRPr="00D92205">
              <w:rPr>
                <w:noProof/>
                <w:webHidden/>
                <w:sz w:val="18"/>
                <w:szCs w:val="18"/>
              </w:rPr>
              <w:fldChar w:fldCharType="end"/>
            </w:r>
          </w:hyperlink>
        </w:p>
        <w:p w14:paraId="51A51C0E" w14:textId="4A4E69C8"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7</w:t>
            </w:r>
            <w:r w:rsidR="005D1D4D" w:rsidRPr="00D92205">
              <w:rPr>
                <w:noProof/>
                <w:webHidden/>
                <w:sz w:val="18"/>
                <w:szCs w:val="18"/>
              </w:rPr>
              <w:fldChar w:fldCharType="end"/>
            </w:r>
          </w:hyperlink>
        </w:p>
        <w:p w14:paraId="46323913" w14:textId="67543048"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7</w:t>
            </w:r>
            <w:r w:rsidR="005D1D4D" w:rsidRPr="00D92205">
              <w:rPr>
                <w:noProof/>
                <w:webHidden/>
                <w:sz w:val="18"/>
                <w:szCs w:val="18"/>
              </w:rPr>
              <w:fldChar w:fldCharType="end"/>
            </w:r>
          </w:hyperlink>
        </w:p>
        <w:p w14:paraId="0FC46EA3" w14:textId="0ED5402E"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8</w:t>
            </w:r>
            <w:r w:rsidR="005D1D4D" w:rsidRPr="00D92205">
              <w:rPr>
                <w:noProof/>
                <w:webHidden/>
                <w:sz w:val="18"/>
                <w:szCs w:val="18"/>
              </w:rPr>
              <w:fldChar w:fldCharType="end"/>
            </w:r>
          </w:hyperlink>
        </w:p>
        <w:p w14:paraId="7DD529CB" w14:textId="31DB7F4E"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8</w:t>
            </w:r>
            <w:r w:rsidR="005D1D4D" w:rsidRPr="00D92205">
              <w:rPr>
                <w:noProof/>
                <w:webHidden/>
                <w:sz w:val="18"/>
                <w:szCs w:val="18"/>
              </w:rPr>
              <w:fldChar w:fldCharType="end"/>
            </w:r>
          </w:hyperlink>
        </w:p>
        <w:p w14:paraId="75B154FE" w14:textId="09F55023"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9</w:t>
            </w:r>
            <w:r w:rsidR="005D1D4D" w:rsidRPr="00D92205">
              <w:rPr>
                <w:noProof/>
                <w:webHidden/>
                <w:sz w:val="18"/>
                <w:szCs w:val="18"/>
              </w:rPr>
              <w:fldChar w:fldCharType="end"/>
            </w:r>
          </w:hyperlink>
        </w:p>
        <w:p w14:paraId="2F16850B" w14:textId="37988A54"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9</w:t>
            </w:r>
            <w:r w:rsidR="005D1D4D" w:rsidRPr="00D92205">
              <w:rPr>
                <w:noProof/>
                <w:webHidden/>
                <w:sz w:val="18"/>
                <w:szCs w:val="18"/>
              </w:rPr>
              <w:fldChar w:fldCharType="end"/>
            </w:r>
          </w:hyperlink>
        </w:p>
        <w:p w14:paraId="0DFAB8B6" w14:textId="72C9F3CF" w:rsidR="005D1D4D" w:rsidRPr="00D92205" w:rsidRDefault="00CE3C26"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9</w:t>
            </w:r>
            <w:r w:rsidR="005D1D4D" w:rsidRPr="00D92205">
              <w:rPr>
                <w:noProof/>
                <w:webHidden/>
                <w:sz w:val="18"/>
                <w:szCs w:val="18"/>
              </w:rPr>
              <w:fldChar w:fldCharType="end"/>
            </w:r>
          </w:hyperlink>
        </w:p>
        <w:p w14:paraId="668CDD0E" w14:textId="05EEFE47" w:rsidR="005D1D4D" w:rsidRPr="00D92205" w:rsidRDefault="00CE3C26"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10</w:t>
            </w:r>
            <w:r w:rsidR="005D1D4D" w:rsidRPr="00D92205">
              <w:rPr>
                <w:noProof/>
                <w:webHidden/>
                <w:sz w:val="18"/>
                <w:szCs w:val="18"/>
              </w:rPr>
              <w:fldChar w:fldCharType="end"/>
            </w:r>
          </w:hyperlink>
        </w:p>
        <w:p w14:paraId="4509521B" w14:textId="03C16799" w:rsidR="005D1D4D" w:rsidRPr="00D92205" w:rsidRDefault="00CE3C26"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10</w:t>
            </w:r>
            <w:r w:rsidR="005D1D4D" w:rsidRPr="00D92205">
              <w:rPr>
                <w:noProof/>
                <w:webHidden/>
                <w:sz w:val="18"/>
                <w:szCs w:val="18"/>
              </w:rPr>
              <w:fldChar w:fldCharType="end"/>
            </w:r>
          </w:hyperlink>
        </w:p>
        <w:p w14:paraId="119F9E7E" w14:textId="569D43AE" w:rsidR="005D1D4D" w:rsidRPr="00D92205" w:rsidRDefault="00CE3C26"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11</w:t>
            </w:r>
            <w:r w:rsidR="005D1D4D" w:rsidRPr="00D92205">
              <w:rPr>
                <w:noProof/>
                <w:webHidden/>
                <w:sz w:val="18"/>
                <w:szCs w:val="18"/>
              </w:rPr>
              <w:fldChar w:fldCharType="end"/>
            </w:r>
          </w:hyperlink>
        </w:p>
        <w:p w14:paraId="33900298" w14:textId="59290EB2" w:rsidR="005D1D4D" w:rsidRPr="00D92205" w:rsidRDefault="00CE3C26"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12</w:t>
            </w:r>
            <w:r w:rsidR="005D1D4D" w:rsidRPr="00D92205">
              <w:rPr>
                <w:noProof/>
                <w:webHidden/>
                <w:sz w:val="18"/>
                <w:szCs w:val="18"/>
              </w:rPr>
              <w:fldChar w:fldCharType="end"/>
            </w:r>
          </w:hyperlink>
        </w:p>
        <w:p w14:paraId="36C04B40" w14:textId="188D3710" w:rsidR="005D1D4D" w:rsidRPr="00D92205" w:rsidRDefault="00CE3C26"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13</w:t>
            </w:r>
            <w:r w:rsidR="005D1D4D" w:rsidRPr="00D92205">
              <w:rPr>
                <w:noProof/>
                <w:webHidden/>
                <w:sz w:val="18"/>
                <w:szCs w:val="18"/>
              </w:rPr>
              <w:fldChar w:fldCharType="end"/>
            </w:r>
          </w:hyperlink>
        </w:p>
        <w:p w14:paraId="0A139B6A" w14:textId="43121B06" w:rsidR="005D1D4D" w:rsidRPr="00D92205" w:rsidRDefault="00CE3C26"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14</w:t>
            </w:r>
            <w:r w:rsidR="005D1D4D" w:rsidRPr="00D92205">
              <w:rPr>
                <w:noProof/>
                <w:webHidden/>
                <w:sz w:val="18"/>
                <w:szCs w:val="18"/>
              </w:rPr>
              <w:fldChar w:fldCharType="end"/>
            </w:r>
          </w:hyperlink>
        </w:p>
        <w:p w14:paraId="2D3DD7B9" w14:textId="24D24E94" w:rsidR="005D1D4D" w:rsidRPr="00D92205" w:rsidRDefault="00CE3C26"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 xml:space="preserve">un contrat qui impose au sous-traitant ultérieur, en substance, les mêmes obligations en matière de protection des données </w:t>
      </w:r>
      <w:r w:rsidRPr="00452029">
        <w:rPr>
          <w:rFonts w:cstheme="minorHAnsi"/>
          <w:sz w:val="20"/>
          <w:szCs w:val="20"/>
        </w:rPr>
        <w:lastRenderedPageBreak/>
        <w:t>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 xml:space="preserve">impact relative à la protection des données </w:t>
      </w:r>
      <w:r w:rsidRPr="00452029">
        <w:rPr>
          <w:rFonts w:cstheme="minorHAnsi"/>
          <w:sz w:val="20"/>
          <w:szCs w:val="20"/>
        </w:rPr>
        <w:lastRenderedPageBreak/>
        <w:t>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lastRenderedPageBreak/>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1D952655" w14:textId="4D326DA3" w:rsidR="000E0248" w:rsidRPr="0026784E" w:rsidRDefault="000E0248" w:rsidP="00BB79F6">
      <w:pPr>
        <w:pStyle w:val="Paragraphedeliste"/>
        <w:jc w:val="both"/>
      </w:pPr>
      <w:r>
        <w:rPr>
          <w:rFonts w:cstheme="minorHAnsi"/>
          <w:sz w:val="20"/>
          <w:szCs w:val="20"/>
        </w:rPr>
        <w:t>[</w:t>
      </w:r>
      <w:r w:rsidRPr="0026784E">
        <w:rPr>
          <w:highlight w:val="yellow"/>
        </w:rPr>
        <w:t>…</w:t>
      </w:r>
      <w:r>
        <w:t>]</w:t>
      </w:r>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CE3C26" w:rsidP="000272D9">
      <w:pPr>
        <w:pStyle w:val="Paragraphedeliste"/>
        <w:rPr>
          <w:rFonts w:cstheme="minorHAnsi"/>
          <w:sz w:val="20"/>
          <w:szCs w:val="20"/>
        </w:rPr>
      </w:pPr>
      <w:hyperlink r:id="rId8"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75DCADDD" w14:textId="77777777" w:rsidR="00A83124" w:rsidRPr="00D9180D" w:rsidRDefault="00A83124" w:rsidP="00A83124">
            <w:pPr>
              <w:spacing w:line="259" w:lineRule="auto"/>
              <w:jc w:val="both"/>
              <w:rPr>
                <w:rFonts w:cstheme="minorHAnsi"/>
                <w:b/>
                <w:sz w:val="20"/>
                <w:szCs w:val="20"/>
                <w:u w:val="single"/>
              </w:rPr>
            </w:pPr>
            <w:r w:rsidRPr="00D9180D">
              <w:rPr>
                <w:rFonts w:cstheme="minorHAnsi"/>
                <w:b/>
                <w:sz w:val="20"/>
                <w:szCs w:val="20"/>
                <w:highlight w:val="yellow"/>
                <w:u w:val="single"/>
              </w:rPr>
              <w:t>[compléter]</w:t>
            </w:r>
          </w:p>
          <w:p w14:paraId="7B355365" w14:textId="75B6FF65" w:rsidR="00DD240C" w:rsidRPr="009D79AF" w:rsidRDefault="00A83124" w:rsidP="00A83124">
            <w:pPr>
              <w:jc w:val="both"/>
              <w:rPr>
                <w:rFonts w:cstheme="minorHAnsi"/>
                <w:i/>
                <w:iCs/>
                <w:color w:val="000000" w:themeColor="text1"/>
                <w:sz w:val="18"/>
                <w:szCs w:val="18"/>
              </w:rPr>
            </w:pPr>
            <w:r>
              <w:rPr>
                <w:rFonts w:cstheme="minorHAnsi"/>
                <w:i/>
                <w:iCs/>
                <w:sz w:val="18"/>
                <w:szCs w:val="18"/>
              </w:rPr>
              <w:t xml:space="preserve">Décrire en des mots simples l’objet du traitement de données réalisé par le sous-traitant/prestataire pour le compte du </w:t>
            </w:r>
            <w:r w:rsidR="0004057C">
              <w:rPr>
                <w:rFonts w:cstheme="minorHAnsi"/>
                <w:i/>
                <w:iCs/>
                <w:sz w:val="18"/>
                <w:szCs w:val="18"/>
              </w:rPr>
              <w:t>responsable de traitement</w:t>
            </w:r>
            <w:r>
              <w:rPr>
                <w:rFonts w:cstheme="minorHAnsi"/>
                <w:i/>
                <w:iCs/>
                <w:sz w:val="18"/>
                <w:szCs w:val="18"/>
              </w:rPr>
              <w:t xml:space="preserve">. Cet objet doit </w:t>
            </w:r>
            <w:r w:rsidR="00B57500">
              <w:rPr>
                <w:rFonts w:cstheme="minorHAnsi"/>
                <w:i/>
                <w:iCs/>
                <w:sz w:val="18"/>
                <w:szCs w:val="18"/>
              </w:rPr>
              <w:t>être cohérent avec</w:t>
            </w:r>
            <w:r>
              <w:rPr>
                <w:rFonts w:cstheme="minorHAnsi"/>
                <w:i/>
                <w:iCs/>
                <w:sz w:val="18"/>
                <w:szCs w:val="18"/>
              </w:rPr>
              <w:t xml:space="preserve"> la finalité définie ci-dessous</w:t>
            </w:r>
            <w:r w:rsidR="0004057C">
              <w:rPr>
                <w:rFonts w:cstheme="minorHAnsi"/>
                <w:i/>
                <w:iCs/>
                <w:sz w:val="18"/>
                <w:szCs w:val="18"/>
              </w:rPr>
              <w:t xml:space="preserve">. </w:t>
            </w:r>
          </w:p>
          <w:p w14:paraId="2CBF8AC3" w14:textId="77777777" w:rsidR="00B57500" w:rsidRPr="009D79AF" w:rsidRDefault="00B57500" w:rsidP="00A83124">
            <w:pPr>
              <w:jc w:val="both"/>
              <w:rPr>
                <w:rFonts w:cstheme="minorHAnsi"/>
                <w:i/>
                <w:iCs/>
                <w:color w:val="000000" w:themeColor="text1"/>
                <w:sz w:val="18"/>
                <w:szCs w:val="18"/>
              </w:rPr>
            </w:pPr>
          </w:p>
          <w:p w14:paraId="1CAD98C2" w14:textId="1B797AD9" w:rsidR="00A83124" w:rsidRPr="00D92205" w:rsidRDefault="00B57500" w:rsidP="00A83124">
            <w:pPr>
              <w:jc w:val="both"/>
              <w:rPr>
                <w:rFonts w:cstheme="minorHAnsi"/>
                <w:b/>
                <w:color w:val="FF0000"/>
                <w:sz w:val="20"/>
                <w:szCs w:val="20"/>
                <w:highlight w:val="yellow"/>
                <w:u w:val="single"/>
              </w:rPr>
            </w:pPr>
            <w:r w:rsidRPr="009D79AF">
              <w:rPr>
                <w:rFonts w:cstheme="minorHAnsi"/>
                <w:i/>
                <w:iCs/>
                <w:color w:val="000000" w:themeColor="text1"/>
                <w:sz w:val="18"/>
                <w:szCs w:val="18"/>
              </w:rPr>
              <w:t>Ex</w:t>
            </w:r>
            <w:r w:rsidR="00D52C29" w:rsidRPr="009D79AF">
              <w:rPr>
                <w:rFonts w:cstheme="minorHAnsi"/>
                <w:i/>
                <w:iCs/>
                <w:color w:val="000000" w:themeColor="text1"/>
                <w:sz w:val="18"/>
                <w:szCs w:val="18"/>
              </w:rPr>
              <w:t>.</w:t>
            </w:r>
            <w:r w:rsidR="0026784E" w:rsidRPr="009D79AF">
              <w:rPr>
                <w:rFonts w:cstheme="minorHAnsi"/>
                <w:i/>
                <w:iCs/>
                <w:color w:val="000000" w:themeColor="text1"/>
                <w:sz w:val="18"/>
                <w:szCs w:val="18"/>
              </w:rPr>
              <w:t> </w:t>
            </w:r>
            <w:r w:rsidRPr="009D79AF">
              <w:rPr>
                <w:rFonts w:cstheme="minorHAnsi"/>
                <w:i/>
                <w:iCs/>
                <w:color w:val="000000" w:themeColor="text1"/>
                <w:sz w:val="18"/>
                <w:szCs w:val="18"/>
              </w:rPr>
              <w:t xml:space="preserve">: </w:t>
            </w:r>
            <w:r w:rsidR="007F4761" w:rsidRPr="009D79AF">
              <w:rPr>
                <w:rFonts w:cstheme="minorHAnsi"/>
                <w:i/>
                <w:iCs/>
                <w:color w:val="000000" w:themeColor="text1"/>
                <w:sz w:val="18"/>
                <w:szCs w:val="18"/>
              </w:rPr>
              <w:t xml:space="preserve">Envoyer des </w:t>
            </w:r>
            <w:proofErr w:type="gramStart"/>
            <w:r w:rsidR="007F4761" w:rsidRPr="009D79AF">
              <w:rPr>
                <w:rFonts w:cstheme="minorHAnsi"/>
                <w:i/>
                <w:iCs/>
                <w:color w:val="000000" w:themeColor="text1"/>
                <w:sz w:val="18"/>
                <w:szCs w:val="18"/>
              </w:rPr>
              <w:t>e-mails</w:t>
            </w:r>
            <w:proofErr w:type="gramEnd"/>
            <w:r w:rsidR="007F4761" w:rsidRPr="009D79AF">
              <w:rPr>
                <w:rFonts w:cstheme="minorHAnsi"/>
                <w:i/>
                <w:iCs/>
                <w:color w:val="000000" w:themeColor="text1"/>
                <w:sz w:val="18"/>
                <w:szCs w:val="18"/>
              </w:rPr>
              <w:t xml:space="preserve"> de prospection commerciale, tenir le registre des adhérents</w:t>
            </w:r>
            <w:r w:rsidR="003C0F80" w:rsidRPr="009D79AF">
              <w:rPr>
                <w:rFonts w:cstheme="minorHAnsi"/>
                <w:i/>
                <w:iCs/>
                <w:color w:val="000000" w:themeColor="text1"/>
                <w:sz w:val="18"/>
                <w:szCs w:val="18"/>
              </w:rPr>
              <w:t>, …</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7025776B" w14:textId="77777777"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512D51E7" w14:textId="60F9544F" w:rsidR="00DD240C" w:rsidRDefault="00103476" w:rsidP="00E067FE">
            <w:pPr>
              <w:jc w:val="both"/>
              <w:rPr>
                <w:rFonts w:cstheme="minorHAnsi"/>
                <w:i/>
                <w:iCs/>
                <w:sz w:val="18"/>
                <w:szCs w:val="18"/>
              </w:rPr>
            </w:pPr>
            <w:r w:rsidRPr="00452029">
              <w:rPr>
                <w:rFonts w:cstheme="minorHAnsi"/>
                <w:i/>
                <w:iCs/>
                <w:sz w:val="18"/>
                <w:szCs w:val="18"/>
              </w:rPr>
              <w:t>Rattacher la prestation à une finalité</w:t>
            </w:r>
            <w:r w:rsidR="001C0C0E" w:rsidRPr="00452029">
              <w:rPr>
                <w:rFonts w:cstheme="minorHAnsi"/>
                <w:i/>
                <w:iCs/>
                <w:sz w:val="18"/>
                <w:szCs w:val="18"/>
              </w:rPr>
              <w:t xml:space="preserve"> (= </w:t>
            </w:r>
            <w:r w:rsidRPr="00452029">
              <w:rPr>
                <w:rFonts w:cstheme="minorHAnsi"/>
                <w:i/>
                <w:iCs/>
                <w:sz w:val="18"/>
                <w:szCs w:val="18"/>
              </w:rPr>
              <w:t>à un traitement</w:t>
            </w:r>
            <w:r w:rsidR="001C0C0E" w:rsidRPr="00452029">
              <w:rPr>
                <w:rFonts w:cstheme="minorHAnsi"/>
                <w:i/>
                <w:iCs/>
                <w:sz w:val="18"/>
                <w:szCs w:val="18"/>
              </w:rPr>
              <w:t>)</w:t>
            </w:r>
            <w:r w:rsidRPr="00452029">
              <w:rPr>
                <w:rFonts w:cstheme="minorHAnsi"/>
                <w:i/>
                <w:iCs/>
                <w:sz w:val="18"/>
                <w:szCs w:val="18"/>
              </w:rPr>
              <w:t xml:space="preserve"> identifié </w:t>
            </w:r>
            <w:r w:rsidR="00862FF0">
              <w:rPr>
                <w:rFonts w:cstheme="minorHAnsi"/>
                <w:i/>
                <w:iCs/>
                <w:sz w:val="18"/>
                <w:szCs w:val="18"/>
              </w:rPr>
              <w:t>au</w:t>
            </w:r>
            <w:r w:rsidRPr="00452029">
              <w:rPr>
                <w:rFonts w:cstheme="minorHAnsi"/>
                <w:i/>
                <w:iCs/>
                <w:sz w:val="18"/>
                <w:szCs w:val="18"/>
              </w:rPr>
              <w:t xml:space="preserve"> registre </w:t>
            </w:r>
            <w:r w:rsidR="001C0C0E" w:rsidRPr="00452029">
              <w:rPr>
                <w:rFonts w:cstheme="minorHAnsi"/>
                <w:i/>
                <w:iCs/>
                <w:sz w:val="18"/>
                <w:szCs w:val="18"/>
              </w:rPr>
              <w:t>des traitements de la CDC tenu par DPO</w:t>
            </w:r>
            <w:r w:rsidRPr="00452029">
              <w:rPr>
                <w:rFonts w:cstheme="minorHAnsi"/>
                <w:i/>
                <w:iCs/>
                <w:sz w:val="18"/>
                <w:szCs w:val="18"/>
              </w:rPr>
              <w:t>.</w:t>
            </w:r>
            <w:r w:rsidR="001C0C0E" w:rsidRPr="00452029">
              <w:rPr>
                <w:rFonts w:cstheme="minorHAnsi"/>
                <w:i/>
                <w:iCs/>
                <w:sz w:val="18"/>
                <w:szCs w:val="18"/>
              </w:rPr>
              <w:t xml:space="preserve"> Compléter si besoin avec la sous-finalité concernée, si le traitement est découpé en sous-finalités et que la sous-traitance ne porte que sur cette sous-finalité</w:t>
            </w:r>
            <w:r w:rsidR="00153E55">
              <w:rPr>
                <w:rFonts w:cstheme="minorHAnsi"/>
                <w:i/>
                <w:iCs/>
                <w:sz w:val="18"/>
                <w:szCs w:val="18"/>
              </w:rPr>
              <w:t>, ou si la finalité macro n’est pas assez explicite</w:t>
            </w:r>
            <w:r w:rsidR="001C0C0E" w:rsidRPr="00452029">
              <w:rPr>
                <w:rFonts w:cstheme="minorHAnsi"/>
                <w:i/>
                <w:iCs/>
                <w:sz w:val="18"/>
                <w:szCs w:val="18"/>
              </w:rPr>
              <w:t>. Dans tous les cas, reprendre une (sous-)finalité inscrite au registre de la CDC</w:t>
            </w:r>
            <w:r w:rsidR="0026784E">
              <w:rPr>
                <w:rFonts w:cstheme="minorHAnsi"/>
                <w:i/>
                <w:iCs/>
                <w:sz w:val="18"/>
                <w:szCs w:val="18"/>
              </w:rPr>
              <w:t> </w:t>
            </w:r>
            <w:r w:rsidR="001C0C0E" w:rsidRPr="00452029">
              <w:rPr>
                <w:rFonts w:cstheme="minorHAnsi"/>
                <w:i/>
                <w:iCs/>
                <w:sz w:val="18"/>
                <w:szCs w:val="18"/>
              </w:rPr>
              <w:t xml:space="preserve">; à valider avec votre RDCP. </w:t>
            </w:r>
          </w:p>
          <w:p w14:paraId="588DA41D" w14:textId="77777777" w:rsidR="00D52C29" w:rsidRPr="00452029" w:rsidRDefault="00D52C29" w:rsidP="00E067FE">
            <w:pPr>
              <w:jc w:val="both"/>
              <w:rPr>
                <w:rFonts w:cstheme="minorHAnsi"/>
                <w:i/>
                <w:iCs/>
                <w:sz w:val="18"/>
                <w:szCs w:val="18"/>
              </w:rPr>
            </w:pPr>
          </w:p>
          <w:p w14:paraId="68634904" w14:textId="18D45BD7" w:rsidR="00103476" w:rsidRPr="00452029" w:rsidRDefault="00103476" w:rsidP="00452029">
            <w:pPr>
              <w:jc w:val="both"/>
              <w:rPr>
                <w:rFonts w:cstheme="minorHAnsi"/>
                <w:sz w:val="20"/>
                <w:szCs w:val="20"/>
                <w:u w:val="single"/>
              </w:rPr>
            </w:pPr>
            <w:r w:rsidRPr="00452029">
              <w:rPr>
                <w:rFonts w:cstheme="minorHAnsi"/>
                <w:i/>
                <w:iCs/>
                <w:sz w:val="18"/>
                <w:szCs w:val="18"/>
              </w:rPr>
              <w:t>Ex</w:t>
            </w:r>
            <w:r w:rsidR="00D52C29">
              <w:rPr>
                <w:rFonts w:cstheme="minorHAnsi"/>
                <w:i/>
                <w:iCs/>
                <w:sz w:val="18"/>
                <w:szCs w:val="18"/>
              </w:rPr>
              <w:t>.</w:t>
            </w:r>
            <w:r w:rsidR="0026784E">
              <w:rPr>
                <w:rFonts w:cstheme="minorHAnsi"/>
                <w:i/>
                <w:iCs/>
                <w:sz w:val="18"/>
                <w:szCs w:val="18"/>
              </w:rPr>
              <w:t> </w:t>
            </w:r>
            <w:r w:rsidRPr="00452029">
              <w:rPr>
                <w:rFonts w:cstheme="minorHAnsi"/>
                <w:i/>
                <w:iCs/>
                <w:sz w:val="18"/>
                <w:szCs w:val="18"/>
              </w:rPr>
              <w:t>: « Gérer les retraites »</w:t>
            </w:r>
            <w:r w:rsidR="00113CB7">
              <w:rPr>
                <w:rFonts w:cstheme="minorHAnsi"/>
                <w:i/>
                <w:iCs/>
                <w:sz w:val="18"/>
                <w:szCs w:val="18"/>
              </w:rPr>
              <w:t>,</w:t>
            </w:r>
            <w:r w:rsidRPr="00452029">
              <w:rPr>
                <w:rFonts w:cstheme="minorHAnsi"/>
                <w:i/>
                <w:iCs/>
                <w:sz w:val="18"/>
                <w:szCs w:val="18"/>
              </w:rPr>
              <w:t xml:space="preserve"> « Assurer les prestations bancaires »</w:t>
            </w:r>
            <w:r w:rsidR="00113CB7">
              <w:rPr>
                <w:rFonts w:cstheme="minorHAnsi"/>
                <w:i/>
                <w:iCs/>
                <w:sz w:val="18"/>
                <w:szCs w:val="18"/>
              </w:rPr>
              <w:t xml:space="preserve"> ou « Gérer les saisies »</w:t>
            </w: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291D7BCF" w14:textId="7126D384" w:rsidR="00DD240C"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56665DC4" w14:textId="72DE4D3B" w:rsidR="00103476" w:rsidRPr="009D79AF" w:rsidRDefault="00103476" w:rsidP="00452029">
            <w:pPr>
              <w:spacing w:line="259" w:lineRule="auto"/>
              <w:jc w:val="both"/>
              <w:rPr>
                <w:rFonts w:cstheme="minorHAnsi"/>
                <w:bCs/>
                <w:i/>
                <w:sz w:val="18"/>
                <w:szCs w:val="18"/>
              </w:rPr>
            </w:pPr>
            <w:r w:rsidRPr="00452029">
              <w:rPr>
                <w:rFonts w:cstheme="minorHAnsi"/>
                <w:bCs/>
                <w:i/>
                <w:iCs/>
                <w:sz w:val="18"/>
                <w:szCs w:val="18"/>
              </w:rPr>
              <w:t>Ex</w:t>
            </w:r>
            <w:r w:rsidR="00461C79">
              <w:rPr>
                <w:rFonts w:cstheme="minorHAnsi"/>
                <w:bCs/>
                <w:i/>
                <w:iCs/>
                <w:sz w:val="18"/>
                <w:szCs w:val="18"/>
              </w:rPr>
              <w:t>.</w:t>
            </w:r>
            <w:r w:rsidR="0026784E">
              <w:rPr>
                <w:rFonts w:cstheme="minorHAnsi"/>
                <w:bCs/>
                <w:i/>
                <w:iCs/>
                <w:sz w:val="18"/>
                <w:szCs w:val="18"/>
              </w:rPr>
              <w:t> </w:t>
            </w:r>
            <w:r w:rsidRPr="00452029">
              <w:rPr>
                <w:rFonts w:cstheme="minorHAnsi"/>
                <w:bCs/>
                <w:i/>
                <w:iCs/>
                <w:sz w:val="18"/>
                <w:szCs w:val="18"/>
              </w:rPr>
              <w:t>:</w:t>
            </w:r>
            <w:r w:rsidRPr="00452029">
              <w:rPr>
                <w:rFonts w:cstheme="minorHAnsi"/>
                <w:bCs/>
                <w:sz w:val="18"/>
                <w:szCs w:val="18"/>
              </w:rPr>
              <w:t xml:space="preserve"> </w:t>
            </w:r>
            <w:r w:rsidRPr="00452029">
              <w:rPr>
                <w:rFonts w:cstheme="minorHAnsi"/>
                <w:bCs/>
                <w:i/>
                <w:sz w:val="18"/>
                <w:szCs w:val="18"/>
              </w:rPr>
              <w:t>données d’identification des utilisateurs</w:t>
            </w:r>
            <w:r w:rsidR="00A710F9">
              <w:rPr>
                <w:rFonts w:cstheme="minorHAnsi"/>
                <w:bCs/>
                <w:i/>
                <w:sz w:val="18"/>
                <w:szCs w:val="18"/>
              </w:rPr>
              <w:t xml:space="preserve"> du service,</w:t>
            </w:r>
            <w:r w:rsidRPr="00452029">
              <w:rPr>
                <w:rFonts w:cstheme="minorHAnsi"/>
                <w:bCs/>
                <w:i/>
                <w:sz w:val="18"/>
                <w:szCs w:val="18"/>
              </w:rPr>
              <w:t xml:space="preserve"> </w:t>
            </w:r>
            <w:r w:rsidR="00A710F9">
              <w:rPr>
                <w:rFonts w:cstheme="minorHAnsi"/>
                <w:bCs/>
                <w:i/>
                <w:sz w:val="18"/>
                <w:szCs w:val="18"/>
              </w:rPr>
              <w:t xml:space="preserve">données </w:t>
            </w:r>
            <w:r w:rsidRPr="00452029">
              <w:rPr>
                <w:rFonts w:cstheme="minorHAnsi"/>
                <w:bCs/>
                <w:i/>
                <w:sz w:val="18"/>
                <w:szCs w:val="18"/>
              </w:rPr>
              <w:t xml:space="preserve">de connexion à l’outil, </w:t>
            </w:r>
            <w:r w:rsidR="00A710F9">
              <w:rPr>
                <w:rFonts w:cstheme="minorHAnsi"/>
                <w:bCs/>
                <w:i/>
                <w:sz w:val="18"/>
                <w:szCs w:val="18"/>
              </w:rPr>
              <w:t>do</w:t>
            </w:r>
            <w:r w:rsidRPr="00452029">
              <w:rPr>
                <w:rFonts w:cstheme="minorHAnsi"/>
                <w:bCs/>
                <w:i/>
                <w:sz w:val="18"/>
                <w:szCs w:val="18"/>
              </w:rPr>
              <w:t>nnées d’ordre économique et financier</w:t>
            </w:r>
            <w:r w:rsidR="00A710F9">
              <w:rPr>
                <w:rFonts w:cstheme="minorHAnsi"/>
                <w:bCs/>
                <w:i/>
                <w:sz w:val="18"/>
                <w:szCs w:val="18"/>
              </w:rPr>
              <w:t xml:space="preserve">, </w:t>
            </w:r>
            <w:r w:rsidRPr="00452029">
              <w:rPr>
                <w:rFonts w:cstheme="minorHAnsi"/>
                <w:bCs/>
                <w:i/>
                <w:sz w:val="18"/>
                <w:szCs w:val="18"/>
              </w:rPr>
              <w:t>NIR</w:t>
            </w:r>
            <w:r w:rsidR="00A12431">
              <w:rPr>
                <w:rFonts w:cstheme="minorHAnsi"/>
                <w:bCs/>
                <w:i/>
                <w:sz w:val="18"/>
                <w:szCs w:val="18"/>
              </w:rPr>
              <w:t>, …</w:t>
            </w:r>
            <w:r w:rsidRPr="00452029">
              <w:rPr>
                <w:rFonts w:cstheme="minorHAnsi"/>
                <w:bCs/>
                <w:sz w:val="18"/>
                <w:szCs w:val="18"/>
              </w:rPr>
              <w:t> </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75B5F50A" w14:textId="77777777"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608687F4" w14:textId="3F35F4D9" w:rsidR="00103476" w:rsidRPr="00452029" w:rsidRDefault="00103476" w:rsidP="00452029">
            <w:pPr>
              <w:jc w:val="both"/>
              <w:rPr>
                <w:rFonts w:cstheme="minorHAnsi"/>
                <w:sz w:val="20"/>
                <w:szCs w:val="20"/>
                <w:u w:val="single"/>
              </w:rPr>
            </w:pPr>
            <w:r w:rsidRPr="00452029">
              <w:rPr>
                <w:rFonts w:cstheme="minorHAnsi"/>
                <w:i/>
                <w:iCs/>
                <w:sz w:val="18"/>
                <w:szCs w:val="18"/>
              </w:rPr>
              <w:t>Ex</w:t>
            </w:r>
            <w:r w:rsidR="00461C7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les </w:t>
            </w:r>
            <w:r w:rsidR="00A710F9">
              <w:rPr>
                <w:rFonts w:cstheme="minorHAnsi"/>
                <w:i/>
                <w:iCs/>
                <w:sz w:val="18"/>
                <w:szCs w:val="18"/>
              </w:rPr>
              <w:t xml:space="preserve">collaborateurs </w:t>
            </w:r>
            <w:r w:rsidRPr="00452029">
              <w:rPr>
                <w:rFonts w:cstheme="minorHAnsi"/>
                <w:i/>
                <w:iCs/>
                <w:sz w:val="18"/>
                <w:szCs w:val="18"/>
              </w:rPr>
              <w:t xml:space="preserve">du </w:t>
            </w:r>
            <w:r w:rsidR="00DF317B">
              <w:rPr>
                <w:rFonts w:cstheme="minorHAnsi"/>
                <w:i/>
                <w:iCs/>
                <w:sz w:val="18"/>
                <w:szCs w:val="18"/>
              </w:rPr>
              <w:t>responsable</w:t>
            </w:r>
            <w:r w:rsidR="00997304" w:rsidRPr="00452029">
              <w:rPr>
                <w:rFonts w:cstheme="minorHAnsi"/>
                <w:i/>
                <w:iCs/>
                <w:sz w:val="18"/>
                <w:szCs w:val="18"/>
              </w:rPr>
              <w:t xml:space="preserve"> de traitement</w:t>
            </w:r>
            <w:r w:rsidR="00A710F9">
              <w:rPr>
                <w:rFonts w:cstheme="minorHAnsi"/>
                <w:i/>
                <w:iCs/>
                <w:sz w:val="18"/>
                <w:szCs w:val="18"/>
              </w:rPr>
              <w:t>,</w:t>
            </w:r>
            <w:r w:rsidRPr="00452029">
              <w:rPr>
                <w:rFonts w:cstheme="minorHAnsi"/>
                <w:i/>
                <w:iCs/>
                <w:sz w:val="18"/>
                <w:szCs w:val="18"/>
              </w:rPr>
              <w:t xml:space="preserve"> </w:t>
            </w:r>
            <w:r w:rsidR="00A710F9">
              <w:rPr>
                <w:rFonts w:cstheme="minorHAnsi"/>
                <w:i/>
                <w:iCs/>
                <w:sz w:val="18"/>
                <w:szCs w:val="18"/>
              </w:rPr>
              <w:t xml:space="preserve">les pensionnés ou bénéficiaires </w:t>
            </w:r>
            <w:r w:rsidRPr="00452029">
              <w:rPr>
                <w:rFonts w:cstheme="minorHAnsi"/>
                <w:i/>
                <w:iCs/>
                <w:sz w:val="18"/>
                <w:szCs w:val="18"/>
              </w:rPr>
              <w:t>du service</w:t>
            </w:r>
            <w:r w:rsidR="00A710F9">
              <w:rPr>
                <w:rFonts w:cstheme="minorHAnsi"/>
                <w:i/>
                <w:iCs/>
                <w:sz w:val="18"/>
                <w:szCs w:val="18"/>
              </w:rPr>
              <w:t xml:space="preserve"> ou de la prestation, les utilisateurs de l’outil</w:t>
            </w:r>
            <w:r w:rsidR="00A12431">
              <w:rPr>
                <w:rFonts w:cstheme="minorHAnsi"/>
                <w:i/>
                <w:iCs/>
                <w:sz w:val="18"/>
                <w:szCs w:val="18"/>
              </w:rPr>
              <w:t>, …</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57707BEF" w14:textId="030F63E5" w:rsidR="00103476"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17297804" w14:textId="7C9FDC34" w:rsidR="00DD240C" w:rsidRDefault="00A83124" w:rsidP="00E067FE">
            <w:pPr>
              <w:jc w:val="both"/>
              <w:rPr>
                <w:rFonts w:cstheme="minorHAnsi"/>
                <w:i/>
                <w:iCs/>
                <w:sz w:val="18"/>
                <w:szCs w:val="18"/>
              </w:rPr>
            </w:pPr>
            <w:r>
              <w:rPr>
                <w:rFonts w:cstheme="minorHAnsi"/>
                <w:i/>
                <w:iCs/>
                <w:sz w:val="18"/>
                <w:szCs w:val="18"/>
              </w:rPr>
              <w:t xml:space="preserve">Détailler précisément la nature des opérations de traitement effectuées dans le cadre de la sous-traitance. </w:t>
            </w:r>
          </w:p>
          <w:p w14:paraId="77BC28B8" w14:textId="77777777" w:rsidR="00053275" w:rsidRDefault="00053275" w:rsidP="00E067FE">
            <w:pPr>
              <w:jc w:val="both"/>
              <w:rPr>
                <w:rFonts w:cstheme="minorHAnsi"/>
                <w:i/>
                <w:iCs/>
                <w:sz w:val="18"/>
                <w:szCs w:val="18"/>
              </w:rPr>
            </w:pPr>
          </w:p>
          <w:p w14:paraId="12BB9BCF" w14:textId="3E64309D" w:rsidR="00103476" w:rsidRPr="00452029" w:rsidRDefault="00103476" w:rsidP="00E067FE">
            <w:pPr>
              <w:jc w:val="both"/>
              <w:rPr>
                <w:rFonts w:cstheme="minorHAnsi"/>
                <w:b/>
                <w:sz w:val="20"/>
                <w:szCs w:val="20"/>
                <w:u w:val="single"/>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collecte, </w:t>
            </w:r>
            <w:r w:rsidR="006556CE" w:rsidRPr="00452029">
              <w:rPr>
                <w:rFonts w:cstheme="minorHAnsi"/>
                <w:i/>
                <w:iCs/>
                <w:sz w:val="18"/>
                <w:szCs w:val="18"/>
              </w:rPr>
              <w:t>stockage,</w:t>
            </w:r>
            <w:r w:rsidRPr="00452029">
              <w:rPr>
                <w:rFonts w:cstheme="minorHAnsi"/>
                <w:i/>
                <w:iCs/>
                <w:sz w:val="18"/>
                <w:szCs w:val="18"/>
              </w:rPr>
              <w:t xml:space="preserve"> modification, extraction, consultation, communication, </w:t>
            </w:r>
            <w:r w:rsidR="00A710F9" w:rsidRPr="00452029">
              <w:rPr>
                <w:rFonts w:cstheme="minorHAnsi"/>
                <w:i/>
                <w:iCs/>
                <w:sz w:val="18"/>
                <w:szCs w:val="18"/>
              </w:rPr>
              <w:t>rapprochement</w:t>
            </w:r>
            <w:r w:rsidR="00A710F9">
              <w:rPr>
                <w:rFonts w:cstheme="minorHAnsi"/>
                <w:i/>
                <w:iCs/>
                <w:sz w:val="18"/>
                <w:szCs w:val="18"/>
              </w:rPr>
              <w:t xml:space="preserve"> avec d’au</w:t>
            </w:r>
            <w:r w:rsidRPr="00452029">
              <w:rPr>
                <w:rFonts w:cstheme="minorHAnsi"/>
                <w:i/>
                <w:iCs/>
                <w:sz w:val="18"/>
                <w:szCs w:val="18"/>
              </w:rPr>
              <w:t>t</w:t>
            </w:r>
            <w:r w:rsidR="00A710F9">
              <w:rPr>
                <w:rFonts w:cstheme="minorHAnsi"/>
                <w:i/>
                <w:iCs/>
                <w:sz w:val="18"/>
                <w:szCs w:val="18"/>
              </w:rPr>
              <w:t>res données</w:t>
            </w:r>
            <w:r w:rsidR="00A12431">
              <w:rPr>
                <w:rFonts w:cstheme="minorHAnsi"/>
                <w:i/>
                <w:iCs/>
                <w:sz w:val="18"/>
                <w:szCs w:val="18"/>
              </w:rPr>
              <w:t>,</w:t>
            </w:r>
            <w:r w:rsidRPr="00452029">
              <w:rPr>
                <w:rFonts w:cstheme="minorHAnsi"/>
                <w:i/>
                <w:iCs/>
                <w:sz w:val="18"/>
                <w:szCs w:val="18"/>
              </w:rPr>
              <w:t xml:space="preserve"> … </w:t>
            </w: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267A1489" w14:textId="60AE9A93" w:rsidR="001C0C0E" w:rsidRPr="00452029" w:rsidRDefault="00103476" w:rsidP="00452029">
            <w:pPr>
              <w:spacing w:line="259" w:lineRule="auto"/>
              <w:jc w:val="both"/>
              <w:rPr>
                <w:rFonts w:cstheme="minorHAnsi"/>
                <w:b/>
                <w:sz w:val="20"/>
                <w:szCs w:val="20"/>
                <w:u w:val="single"/>
              </w:rPr>
            </w:pPr>
            <w:r w:rsidRPr="00452029">
              <w:rPr>
                <w:rFonts w:cstheme="minorHAnsi"/>
                <w:b/>
                <w:sz w:val="20"/>
                <w:szCs w:val="20"/>
                <w:highlight w:val="yellow"/>
                <w:u w:val="single"/>
              </w:rPr>
              <w:t>[compléter]</w:t>
            </w:r>
          </w:p>
          <w:p w14:paraId="1E0223DF" w14:textId="4572EB60" w:rsidR="00103476" w:rsidRPr="00452029" w:rsidRDefault="00103476" w:rsidP="00452029">
            <w:pPr>
              <w:jc w:val="both"/>
              <w:rPr>
                <w:rFonts w:cstheme="minorHAnsi"/>
                <w:i/>
                <w:iCs/>
                <w:sz w:val="20"/>
                <w:szCs w:val="20"/>
              </w:rPr>
            </w:pPr>
            <w:r w:rsidRPr="00452029">
              <w:rPr>
                <w:rFonts w:cstheme="minorHAnsi"/>
                <w:i/>
                <w:iCs/>
                <w:sz w:val="18"/>
                <w:szCs w:val="18"/>
              </w:rPr>
              <w:t>Ex</w:t>
            </w:r>
            <w:r w:rsidR="00461C79" w:rsidRPr="00452029">
              <w:rPr>
                <w:rFonts w:cstheme="minorHAnsi"/>
                <w:i/>
                <w:iCs/>
                <w:sz w:val="18"/>
                <w:szCs w:val="18"/>
              </w:rPr>
              <w:t>.</w:t>
            </w:r>
            <w:r w:rsidR="0026784E">
              <w:rPr>
                <w:rFonts w:cstheme="minorHAnsi"/>
                <w:i/>
                <w:iCs/>
                <w:sz w:val="18"/>
                <w:szCs w:val="18"/>
              </w:rPr>
              <w:t> </w:t>
            </w:r>
            <w:r w:rsidRPr="00452029">
              <w:rPr>
                <w:rFonts w:cstheme="minorHAnsi"/>
                <w:i/>
                <w:iCs/>
                <w:sz w:val="18"/>
                <w:szCs w:val="18"/>
              </w:rPr>
              <w:t xml:space="preserve">: Durée </w:t>
            </w:r>
            <w:r w:rsidRPr="0004057C">
              <w:rPr>
                <w:rFonts w:cstheme="minorHAnsi"/>
                <w:i/>
                <w:iCs/>
                <w:sz w:val="18"/>
                <w:szCs w:val="18"/>
              </w:rPr>
              <w:t>du</w:t>
            </w:r>
            <w:r w:rsidR="00E067FE" w:rsidRPr="0004057C">
              <w:rPr>
                <w:rFonts w:cstheme="minorHAnsi"/>
                <w:i/>
                <w:iCs/>
                <w:sz w:val="18"/>
                <w:szCs w:val="18"/>
              </w:rPr>
              <w:t xml:space="preserve"> </w:t>
            </w:r>
            <w:r w:rsidR="00E067FE" w:rsidRPr="00430898">
              <w:rPr>
                <w:rFonts w:cstheme="minorHAnsi"/>
                <w:i/>
                <w:iCs/>
                <w:sz w:val="18"/>
                <w:szCs w:val="18"/>
              </w:rPr>
              <w:t>Contrat</w:t>
            </w:r>
            <w:r w:rsidR="0004057C" w:rsidRPr="00430898">
              <w:rPr>
                <w:rFonts w:cstheme="minorHAnsi"/>
                <w:i/>
                <w:iCs/>
                <w:sz w:val="18"/>
                <w:szCs w:val="18"/>
              </w:rPr>
              <w:t xml:space="preserve">, </w:t>
            </w:r>
            <w:r w:rsidR="00E067FE" w:rsidRPr="0004057C">
              <w:rPr>
                <w:rFonts w:cstheme="minorHAnsi"/>
                <w:i/>
                <w:iCs/>
                <w:sz w:val="18"/>
                <w:szCs w:val="18"/>
              </w:rPr>
              <w:t>avec</w:t>
            </w:r>
            <w:r w:rsidR="00E067FE" w:rsidRPr="00452029">
              <w:rPr>
                <w:rFonts w:cstheme="minorHAnsi"/>
                <w:i/>
                <w:iCs/>
                <w:sz w:val="18"/>
                <w:szCs w:val="18"/>
              </w:rPr>
              <w:t xml:space="preserve"> ajout d’un délai supplémentaire éventuel (et sa justification)</w:t>
            </w:r>
            <w:r w:rsidR="0026784E">
              <w:rPr>
                <w:rFonts w:cstheme="minorHAnsi"/>
                <w:i/>
                <w:iCs/>
                <w:sz w:val="18"/>
                <w:szCs w:val="18"/>
              </w:rPr>
              <w:t> </w:t>
            </w:r>
            <w:r w:rsidR="00E067FE" w:rsidRPr="00452029">
              <w:rPr>
                <w:rFonts w:cstheme="minorHAnsi"/>
                <w:i/>
                <w:iCs/>
                <w:sz w:val="18"/>
                <w:szCs w:val="18"/>
              </w:rPr>
              <w:t xml:space="preserve">; ou durée du traitement si plus courte que </w:t>
            </w:r>
            <w:r w:rsidR="00D52C29">
              <w:rPr>
                <w:rFonts w:cstheme="minorHAnsi"/>
                <w:i/>
                <w:iCs/>
                <w:sz w:val="18"/>
                <w:szCs w:val="18"/>
              </w:rPr>
              <w:t xml:space="preserve">la </w:t>
            </w:r>
            <w:r w:rsidR="00E067FE" w:rsidRPr="00452029">
              <w:rPr>
                <w:rFonts w:cstheme="minorHAnsi"/>
                <w:i/>
                <w:iCs/>
                <w:sz w:val="18"/>
                <w:szCs w:val="18"/>
              </w:rPr>
              <w:t xml:space="preserve">durée du </w:t>
            </w:r>
            <w:r w:rsidR="00B95ED1">
              <w:rPr>
                <w:rFonts w:cstheme="minorHAnsi"/>
                <w:i/>
                <w:iCs/>
                <w:sz w:val="18"/>
                <w:szCs w:val="18"/>
              </w:rPr>
              <w:t>Contrat</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D92205"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OUI  [   ]   /   NON [   ]</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3ADE8058" w14:textId="5738613D" w:rsidR="00943341" w:rsidRDefault="009271A4" w:rsidP="00943341">
            <w:pPr>
              <w:rPr>
                <w:rFonts w:cstheme="minorHAnsi"/>
                <w:b/>
                <w:sz w:val="18"/>
                <w:szCs w:val="18"/>
                <w:u w:val="single"/>
              </w:rPr>
            </w:pPr>
            <w:r w:rsidRPr="00D92205">
              <w:rPr>
                <w:rFonts w:cstheme="minorHAnsi"/>
                <w:b/>
                <w:sz w:val="18"/>
                <w:szCs w:val="18"/>
                <w:highlight w:val="yellow"/>
                <w:u w:val="single"/>
              </w:rPr>
              <w:t>[compléter]</w:t>
            </w:r>
          </w:p>
          <w:p w14:paraId="28F73D19" w14:textId="77777777" w:rsidR="00943341" w:rsidRPr="00D92205" w:rsidRDefault="00943341" w:rsidP="00943341">
            <w:pPr>
              <w:rPr>
                <w:rFonts w:cstheme="minorHAnsi"/>
                <w:b/>
                <w:sz w:val="18"/>
                <w:szCs w:val="18"/>
                <w:u w:val="single"/>
              </w:rPr>
            </w:pPr>
          </w:p>
          <w:p w14:paraId="08D0E2FF" w14:textId="71CB5F20" w:rsidR="00943341" w:rsidRPr="00D92205" w:rsidRDefault="00513361" w:rsidP="00D92205">
            <w:pPr>
              <w:jc w:val="both"/>
              <w:rPr>
                <w:rFonts w:cstheme="minorHAnsi"/>
                <w:b/>
                <w:sz w:val="18"/>
                <w:szCs w:val="18"/>
                <w:u w:val="single"/>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992CFB">
              <w:rPr>
                <w:rFonts w:cstheme="minorHAnsi"/>
                <w:bCs/>
                <w:i/>
                <w:iCs/>
                <w:sz w:val="18"/>
                <w:szCs w:val="18"/>
              </w:rPr>
              <w:t xml:space="preserve"> </w:t>
            </w:r>
            <w:r w:rsidRPr="00D92205">
              <w:rPr>
                <w:rFonts w:cstheme="minorHAnsi"/>
                <w:b/>
                <w:bCs/>
                <w:sz w:val="18"/>
                <w:szCs w:val="18"/>
                <w:highlight w:val="cyan"/>
              </w:rPr>
              <w:t>OUI  [   ]   /   NON [   ]</w:t>
            </w: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261606F" w14:textId="1C32D2DC" w:rsidR="00943341" w:rsidRPr="00D92205" w:rsidRDefault="00CB2898" w:rsidP="00E34EF5">
            <w:pPr>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F96CA9" w:rsidRPr="00D92205">
              <w:rPr>
                <w:b/>
                <w:bCs/>
                <w:sz w:val="18"/>
                <w:szCs w:val="18"/>
                <w:highlight w:val="cyan"/>
              </w:rPr>
              <w:t>OUI  [   ]   /   NON [   ]</w:t>
            </w:r>
          </w:p>
          <w:p w14:paraId="16A01355" w14:textId="77777777" w:rsidR="00943341" w:rsidRPr="00D92205" w:rsidRDefault="00943341" w:rsidP="00D92205">
            <w:pPr>
              <w:rPr>
                <w:sz w:val="18"/>
                <w:szCs w:val="18"/>
              </w:rPr>
            </w:pPr>
          </w:p>
          <w:p w14:paraId="1563852B" w14:textId="6267652D" w:rsidR="00F96CA9" w:rsidRPr="00D92205" w:rsidRDefault="00AD0DCD" w:rsidP="00E34EF5">
            <w:pPr>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Pr="00D92205">
              <w:rPr>
                <w:rFonts w:cstheme="minorHAnsi"/>
                <w:b/>
                <w:bCs/>
                <w:sz w:val="18"/>
                <w:szCs w:val="18"/>
                <w:highlight w:val="cyan"/>
              </w:rPr>
              <w:t>OUI  [   ]   /   NON</w:t>
            </w:r>
            <w:r w:rsidR="00231EC3" w:rsidRPr="00D92205">
              <w:rPr>
                <w:rFonts w:cstheme="minorHAnsi"/>
                <w:b/>
                <w:bCs/>
                <w:sz w:val="18"/>
                <w:szCs w:val="18"/>
                <w:highlight w:val="cyan"/>
              </w:rPr>
              <w:t xml:space="preserve"> </w:t>
            </w:r>
            <w:r w:rsidRPr="00D92205">
              <w:rPr>
                <w:rFonts w:cstheme="minorHAnsi"/>
                <w:b/>
                <w:bCs/>
                <w:sz w:val="18"/>
                <w:szCs w:val="18"/>
                <w:highlight w:val="cyan"/>
              </w:rPr>
              <w:t>[   ]</w:t>
            </w:r>
            <w:r w:rsidRPr="00D92205">
              <w:rPr>
                <w:rFonts w:cstheme="minorHAnsi"/>
                <w:sz w:val="18"/>
                <w:szCs w:val="18"/>
              </w:rPr>
              <w:t xml:space="preserve">    </w:t>
            </w: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3"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4"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4"/>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35" w:name="_Hlk162540592"/>
      <w:r w:rsidR="007B35F8" w:rsidRPr="00855C3E">
        <w:rPr>
          <w:sz w:val="20"/>
          <w:szCs w:val="20"/>
        </w:rPr>
        <w:t xml:space="preserve">CCT Transferts – module 3 </w:t>
      </w:r>
      <w:bookmarkEnd w:id="35"/>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3"/>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2C83"/>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3C26"/>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po@caissedesdepot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8433</Words>
  <Characters>46384</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Viniaker, Valerie</cp:lastModifiedBy>
  <cp:revision>4</cp:revision>
  <cp:lastPrinted>2025-02-05T17:46:00Z</cp:lastPrinted>
  <dcterms:created xsi:type="dcterms:W3CDTF">2024-10-01T14:57:00Z</dcterms:created>
  <dcterms:modified xsi:type="dcterms:W3CDTF">2025-03-19T14:06:00Z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