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6A47C173"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r w:rsidR="00712DEE">
        <w:rPr>
          <w:b/>
          <w:caps/>
          <w:sz w:val="32"/>
        </w:rPr>
        <w:t xml:space="preserve"> </w:t>
      </w:r>
    </w:p>
    <w:p w14:paraId="5B403969" w14:textId="27097525" w:rsidR="00837DF1" w:rsidRPr="00B42F7B" w:rsidRDefault="00837DF1" w:rsidP="00BB6550">
      <w:pPr>
        <w:pBdr>
          <w:top w:val="single" w:sz="4" w:space="1" w:color="auto"/>
          <w:left w:val="single" w:sz="4" w:space="4" w:color="auto"/>
          <w:bottom w:val="single" w:sz="4" w:space="1" w:color="auto"/>
          <w:right w:val="single" w:sz="4" w:space="4" w:color="auto"/>
        </w:pBdr>
        <w:rPr>
          <w:b/>
          <w:sz w:val="28"/>
        </w:rPr>
      </w:pPr>
      <w:r w:rsidRPr="00B42F7B">
        <w:rPr>
          <w:b/>
          <w:sz w:val="28"/>
        </w:rPr>
        <w:t xml:space="preserve">N°: </w:t>
      </w:r>
      <w:r w:rsidR="00BB6550" w:rsidRPr="00BB6550">
        <w:rPr>
          <w:b/>
          <w:sz w:val="28"/>
        </w:rPr>
        <w:t>25-AC0326</w:t>
      </w:r>
      <w:r w:rsidR="001A2BD3">
        <w:rPr>
          <w:b/>
          <w:sz w:val="28"/>
        </w:rPr>
        <w:t xml:space="preserve"> </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A62B15" w:rsidRDefault="00F26086" w:rsidP="00160DE3">
      <w:pPr>
        <w:tabs>
          <w:tab w:val="right" w:pos="9356"/>
        </w:tabs>
        <w:spacing w:before="0" w:beforeAutospacing="0" w:after="0" w:afterAutospacing="0" w:line="300" w:lineRule="atLeast"/>
        <w:jc w:val="both"/>
        <w:rPr>
          <w:sz w:val="22"/>
          <w:szCs w:val="22"/>
          <w:highlight w:val="green"/>
        </w:rPr>
      </w:pPr>
      <w:r>
        <w:rPr>
          <w:sz w:val="22"/>
          <w:szCs w:val="22"/>
          <w:highlight w:val="green"/>
        </w:rPr>
        <w:t>L</w:t>
      </w:r>
      <w:r w:rsidRPr="00554974">
        <w:rPr>
          <w:sz w:val="22"/>
          <w:szCs w:val="22"/>
          <w:highlight w:val="green"/>
        </w:rPr>
        <w:t xml:space="preserve">e présent contrat est soumis au Code de la commande publique </w:t>
      </w:r>
      <w:r>
        <w:rPr>
          <w:sz w:val="22"/>
          <w:szCs w:val="22"/>
          <w:highlight w:val="green"/>
        </w:rPr>
        <w:t xml:space="preserve">français </w:t>
      </w:r>
      <w:r w:rsidRPr="00554974">
        <w:rPr>
          <w:sz w:val="22"/>
          <w:szCs w:val="22"/>
          <w:highlight w:val="green"/>
        </w:rPr>
        <w:t>(CCP)</w:t>
      </w:r>
      <w:r>
        <w:rPr>
          <w:sz w:val="22"/>
          <w:szCs w:val="22"/>
          <w:highlight w:val="green"/>
        </w:rPr>
        <w:t xml:space="preserve"> dans sa version en vigueur issue </w:t>
      </w:r>
      <w:r w:rsidRPr="00A62B15">
        <w:rPr>
          <w:sz w:val="22"/>
          <w:szCs w:val="22"/>
          <w:highlight w:val="green"/>
        </w:rPr>
        <w:t>de l'</w:t>
      </w:r>
      <w:hyperlink r:id="rId8" w:history="1">
        <w:r w:rsidRPr="00A62B15">
          <w:rPr>
            <w:sz w:val="22"/>
            <w:szCs w:val="22"/>
            <w:highlight w:val="green"/>
          </w:rPr>
          <w:t>ordonnance n° 2018-1074 du 26 novembre 2018</w:t>
        </w:r>
      </w:hyperlink>
      <w:r w:rsidRPr="00A62B15">
        <w:rPr>
          <w:sz w:val="22"/>
          <w:szCs w:val="22"/>
          <w:highlight w:val="green"/>
        </w:rPr>
        <w:t xml:space="preserve"> portant partie législative et du </w:t>
      </w:r>
      <w:hyperlink r:id="rId9" w:history="1">
        <w:r w:rsidRPr="00A62B15">
          <w:rPr>
            <w:sz w:val="22"/>
            <w:szCs w:val="22"/>
            <w:highlight w:val="green"/>
          </w:rPr>
          <w:t>décret n° 2018-1075 du 3 décembre 2018</w:t>
        </w:r>
      </w:hyperlink>
      <w:r w:rsidRPr="00A62B15">
        <w:rPr>
          <w:sz w:val="22"/>
          <w:szCs w:val="22"/>
          <w:highlight w:val="green"/>
        </w:rPr>
        <w:t xml:space="preserve"> portant partie réglementaire du Code de la commande publique.</w:t>
      </w:r>
    </w:p>
    <w:p w14:paraId="14C68384" w14:textId="77777777" w:rsidR="00F26086" w:rsidRDefault="00F26086" w:rsidP="00F26086">
      <w:pPr>
        <w:tabs>
          <w:tab w:val="left" w:pos="510"/>
          <w:tab w:val="left" w:pos="10977"/>
        </w:tabs>
        <w:spacing w:before="120"/>
        <w:ind w:right="83"/>
        <w:jc w:val="both"/>
        <w:rPr>
          <w:sz w:val="22"/>
          <w:szCs w:val="22"/>
          <w:highlight w:val="green"/>
        </w:rPr>
      </w:pPr>
      <w:r w:rsidRPr="00554974">
        <w:rPr>
          <w:sz w:val="22"/>
          <w:szCs w:val="22"/>
          <w:highlight w:val="green"/>
        </w:rPr>
        <w:t xml:space="preserve">Il est passé par </w:t>
      </w:r>
      <w:r>
        <w:rPr>
          <w:sz w:val="22"/>
          <w:szCs w:val="22"/>
          <w:highlight w:val="green"/>
        </w:rPr>
        <w:t xml:space="preserve">soit : </w:t>
      </w:r>
    </w:p>
    <w:p w14:paraId="116AF37E" w14:textId="1D38A0A4" w:rsidR="00F26086" w:rsidRDefault="00AE1121" w:rsidP="00F26086">
      <w:pPr>
        <w:tabs>
          <w:tab w:val="left" w:pos="510"/>
          <w:tab w:val="left" w:pos="10977"/>
        </w:tabs>
        <w:spacing w:before="120"/>
        <w:ind w:right="83"/>
        <w:jc w:val="both"/>
        <w:rPr>
          <w:sz w:val="22"/>
          <w:szCs w:val="22"/>
          <w:highlight w:val="green"/>
        </w:rPr>
      </w:pPr>
      <w:r w:rsidRPr="00554974" w:rsidDel="00AE1121">
        <w:rPr>
          <w:sz w:val="22"/>
          <w:szCs w:val="22"/>
          <w:highlight w:val="green"/>
        </w:rPr>
        <w:t xml:space="preserve"> </w:t>
      </w:r>
      <w:r w:rsidR="00F26086" w:rsidRPr="00554974">
        <w:rPr>
          <w:sz w:val="22"/>
          <w:szCs w:val="22"/>
          <w:highlight w:val="green"/>
        </w:rPr>
        <w:t xml:space="preserve">[procédure adaptée en application des articles </w:t>
      </w:r>
      <w:r w:rsidR="00F26086">
        <w:rPr>
          <w:sz w:val="22"/>
          <w:szCs w:val="22"/>
          <w:highlight w:val="green"/>
        </w:rPr>
        <w:t xml:space="preserve">L. 2123-1 et </w:t>
      </w:r>
      <w:r w:rsidR="00F26086" w:rsidRPr="00554974">
        <w:rPr>
          <w:sz w:val="22"/>
          <w:szCs w:val="22"/>
          <w:highlight w:val="green"/>
        </w:rPr>
        <w:t>R. 2123-1 au R. 2123-7 du CCP]</w:t>
      </w:r>
    </w:p>
    <w:p w14:paraId="13E95793" w14:textId="4BAB6F1F" w:rsidR="00816C48" w:rsidRDefault="00D76C31" w:rsidP="00A72594">
      <w:pPr>
        <w:spacing w:after="0" w:afterAutospacing="0"/>
        <w:rPr>
          <w:sz w:val="22"/>
          <w:szCs w:val="22"/>
        </w:rPr>
      </w:pPr>
      <w:r w:rsidRPr="00AC53CA">
        <w:rPr>
          <w:sz w:val="22"/>
          <w:szCs w:val="22"/>
          <w:highlight w:val="green"/>
        </w:rPr>
        <w:t>accord-cadre</w:t>
      </w:r>
      <w:r w:rsidR="00A62B15" w:rsidRPr="00AC53CA">
        <w:rPr>
          <w:sz w:val="22"/>
          <w:szCs w:val="22"/>
          <w:highlight w:val="green"/>
        </w:rPr>
        <w:t xml:space="preserve"> à bons de commande ou à marchés subséquent s’entendent au sens des</w:t>
      </w:r>
      <w:r w:rsidR="00AC53CA" w:rsidRPr="00AC53CA">
        <w:rPr>
          <w:sz w:val="22"/>
          <w:szCs w:val="22"/>
          <w:highlight w:val="green"/>
        </w:rPr>
        <w:t xml:space="preserve"> articles R. 2162-1 et R.2162-</w:t>
      </w:r>
      <w:r w:rsidR="00A62B15" w:rsidRPr="00AC53CA">
        <w:rPr>
          <w:sz w:val="22"/>
          <w:szCs w:val="22"/>
          <w:highlight w:val="green"/>
        </w:rPr>
        <w:t>14 du CCP</w:t>
      </w:r>
      <w:r w:rsidR="00AC53CA">
        <w:rPr>
          <w:sz w:val="22"/>
          <w:szCs w:val="22"/>
          <w:highlight w:val="green"/>
        </w:rPr>
        <w:t>.</w:t>
      </w:r>
    </w:p>
    <w:p w14:paraId="423384EE" w14:textId="70A24882" w:rsidR="00816C48" w:rsidRDefault="00816C48" w:rsidP="00A72594">
      <w:pPr>
        <w:spacing w:after="0" w:afterAutospacing="0"/>
        <w:rPr>
          <w:sz w:val="22"/>
          <w:szCs w:val="22"/>
        </w:rPr>
      </w:pPr>
    </w:p>
    <w:p w14:paraId="1CC483E3" w14:textId="187FE2F1" w:rsidR="00F36C7C" w:rsidRDefault="00F36C7C" w:rsidP="00A72594">
      <w:pPr>
        <w:spacing w:after="0" w:afterAutospacing="0"/>
        <w:rPr>
          <w:sz w:val="22"/>
          <w:szCs w:val="22"/>
        </w:rPr>
      </w:pPr>
    </w:p>
    <w:p w14:paraId="7D3206AC" w14:textId="74F7974D" w:rsidR="00F36C7C" w:rsidRDefault="00F36C7C" w:rsidP="00A72594">
      <w:pPr>
        <w:spacing w:after="0" w:afterAutospacing="0"/>
        <w:rPr>
          <w:sz w:val="22"/>
          <w:szCs w:val="22"/>
        </w:rPr>
      </w:pPr>
    </w:p>
    <w:p w14:paraId="59746E3D" w14:textId="5D9F9C7C" w:rsidR="00F36C7C" w:rsidRDefault="00F36C7C" w:rsidP="00A72594">
      <w:pPr>
        <w:spacing w:after="0" w:afterAutospacing="0"/>
        <w:rPr>
          <w:sz w:val="22"/>
          <w:szCs w:val="22"/>
        </w:rPr>
      </w:pPr>
    </w:p>
    <w:p w14:paraId="4F4331F7" w14:textId="77777777" w:rsidR="00F36C7C" w:rsidRDefault="00F36C7C" w:rsidP="00A72594">
      <w:pPr>
        <w:spacing w:after="0" w:afterAutospacing="0"/>
        <w:rPr>
          <w:sz w:val="22"/>
          <w:szCs w:val="22"/>
        </w:rPr>
      </w:pP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r>
        <w:rPr>
          <w:sz w:val="24"/>
        </w:rPr>
        <w:t>r</w:t>
      </w:r>
      <w:r w:rsidR="006226CE" w:rsidRPr="006226CE">
        <w:rPr>
          <w:sz w:val="24"/>
        </w:rPr>
        <w:t>eprésentée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11CD2DD2"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 xml:space="preserve">le </w:t>
      </w:r>
      <w:r w:rsidRPr="00837DF1">
        <w:rPr>
          <w:sz w:val="24"/>
        </w:rPr>
        <w:t>«</w:t>
      </w:r>
      <w:r w:rsidR="00BC37E6" w:rsidRPr="00FC30AF">
        <w:rPr>
          <w:sz w:val="24"/>
        </w:rPr>
        <w:t>C</w:t>
      </w:r>
      <w:r w:rsidRPr="00FC30AF">
        <w:rPr>
          <w:sz w:val="24"/>
        </w:rPr>
        <w:t>ontractant</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Pr="00E9243B">
        <w:rPr>
          <w:sz w:val="24"/>
        </w:rPr>
        <w:t>.]</w:t>
      </w:r>
      <w:r w:rsidR="0021060A" w:rsidRPr="00E9243B">
        <w:rPr>
          <w:sz w:val="24"/>
        </w:rPr>
        <w:t xml:space="preserve"> </w:t>
      </w:r>
    </w:p>
    <w:p w14:paraId="479D6BF9" w14:textId="0E2E9F36" w:rsidR="00BF734E" w:rsidRDefault="00DA2BFB" w:rsidP="00610F6D">
      <w:pPr>
        <w:tabs>
          <w:tab w:val="left" w:pos="510"/>
          <w:tab w:val="left" w:pos="10977"/>
        </w:tabs>
        <w:jc w:val="both"/>
        <w:rPr>
          <w:sz w:val="24"/>
        </w:rPr>
      </w:pPr>
      <w:r>
        <w:rPr>
          <w:sz w:val="24"/>
        </w:rPr>
        <w:t>La mise en œuvre du présent contrat-cadre s’inscrit dans</w:t>
      </w:r>
      <w:r w:rsidR="0021060A">
        <w:rPr>
          <w:sz w:val="24"/>
        </w:rPr>
        <w:t xml:space="preserve"> le cadre du projet de coopération (désigné ci-après « contrat principal ») conclu le </w:t>
      </w:r>
      <w:r w:rsidR="00610F6D">
        <w:rPr>
          <w:sz w:val="24"/>
        </w:rPr>
        <w:t>01/03/2024</w:t>
      </w:r>
      <w:r w:rsidR="006C15A1" w:rsidRPr="00837DF1">
        <w:rPr>
          <w:sz w:val="24"/>
        </w:rPr>
        <w:t xml:space="preserve"> </w:t>
      </w:r>
      <w:r w:rsidR="0021060A">
        <w:rPr>
          <w:sz w:val="24"/>
        </w:rPr>
        <w:t xml:space="preserve">entre </w:t>
      </w:r>
      <w:r w:rsidR="00610F6D">
        <w:rPr>
          <w:sz w:val="24"/>
        </w:rPr>
        <w:t xml:space="preserve">Expertise France  </w:t>
      </w:r>
      <w:r w:rsidR="0021060A">
        <w:rPr>
          <w:sz w:val="24"/>
        </w:rPr>
        <w:t xml:space="preserve">et </w:t>
      </w:r>
      <w:r w:rsidR="00610F6D">
        <w:rPr>
          <w:sz w:val="24"/>
        </w:rPr>
        <w:t xml:space="preserve">L’union Européenne </w:t>
      </w:r>
      <w:r w:rsidR="0021060A">
        <w:rPr>
          <w:sz w:val="24"/>
        </w:rPr>
        <w:t xml:space="preserve">et portant sur </w:t>
      </w:r>
      <w:r w:rsidR="0021060A" w:rsidRPr="00037E82">
        <w:rPr>
          <w:sz w:val="24"/>
        </w:rPr>
        <w:t>« </w:t>
      </w:r>
      <w:r w:rsidR="00610F6D">
        <w:rPr>
          <w:i/>
          <w:sz w:val="24"/>
        </w:rPr>
        <w:t xml:space="preserve"> l’appui à la USP2030 via l’initiative DCI (Digital Convergence Initiative)</w:t>
      </w:r>
      <w:r w:rsidR="0021060A" w:rsidRPr="00037E82">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09BE5D68" w:rsidR="00A861C5" w:rsidRPr="00A861C5" w:rsidRDefault="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77777777"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Offre du contractant (référence n° [</w:t>
      </w:r>
      <w:r w:rsidRPr="000A2F66">
        <w:rPr>
          <w:i/>
          <w:sz w:val="24"/>
          <w:highlight w:val="yellow"/>
        </w:rPr>
        <w:t>compléter</w:t>
      </w:r>
      <w:r w:rsidRPr="00A861C5">
        <w:rPr>
          <w:sz w:val="24"/>
        </w:rPr>
        <w:t>] du [</w:t>
      </w:r>
      <w:r w:rsidRPr="000A2F66">
        <w:rPr>
          <w:i/>
          <w:sz w:val="24"/>
          <w:highlight w:val="yellow"/>
        </w:rPr>
        <w:t>date</w:t>
      </w:r>
      <w:r w:rsidRPr="00A861C5">
        <w:rPr>
          <w:sz w:val="24"/>
        </w:rPr>
        <w:t>])</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0470F9F1" w14:textId="7B936F71" w:rsidR="00A861C5" w:rsidRPr="00A222DB" w:rsidRDefault="00A861C5" w:rsidP="009037DA">
      <w:pPr>
        <w:jc w:val="both"/>
        <w:rPr>
          <w:sz w:val="24"/>
        </w:rPr>
      </w:pPr>
      <w:r w:rsidRPr="00A222DB">
        <w:rPr>
          <w:sz w:val="24"/>
        </w:rPr>
        <w:t>[</w:t>
      </w:r>
      <w:r w:rsidRPr="00A222DB">
        <w:rPr>
          <w:i/>
          <w:sz w:val="24"/>
        </w:rPr>
        <w:t>autres annexes</w:t>
      </w:r>
      <w:r w:rsidRPr="00A222DB">
        <w:rPr>
          <w:sz w:val="24"/>
        </w:rPr>
        <w:t>]</w:t>
      </w:r>
    </w:p>
    <w:p w14:paraId="7D31481F" w14:textId="03C18DD9"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333250C"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contrats spécifiques prévalent sur celles des demandes de services. </w:t>
      </w:r>
    </w:p>
    <w:p w14:paraId="1C210837"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77D917CE" w:rsidR="00A053E1" w:rsidRPr="00093B58" w:rsidRDefault="00A053E1" w:rsidP="00610F6D">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610F6D" w:rsidRPr="00DF03D7">
        <w:rPr>
          <w:sz w:val="24"/>
        </w:rPr>
        <w:t>la prestation des services pour l’adaptation de la solution OpenIMIS pour la dématérialisation des relations IPM et prestataires de service de soins de santé (dématérialisation du parcours de soin</w:t>
      </w:r>
      <w:r w:rsidR="00DF03D7">
        <w:rPr>
          <w:sz w:val="24"/>
        </w:rPr>
        <w:t>)</w:t>
      </w:r>
      <w:r w:rsidR="00DF03D7" w:rsidRPr="00093B58" w:rsidDel="00610F6D">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59C1814E" w:rsidR="00093B58" w:rsidRPr="00093B58" w:rsidRDefault="00093B58" w:rsidP="00610F6D">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w:t>
      </w:r>
      <w:r w:rsidRPr="00093B58">
        <w:rPr>
          <w:sz w:val="24"/>
        </w:rPr>
        <w:t>à la date de sa signature par la dernière partie</w:t>
      </w:r>
      <w:r w:rsidR="00227262">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2CDF31C6" w:rsidR="00093B58" w:rsidRPr="00093B58" w:rsidRDefault="00093B58">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227262" w:rsidRPr="00DF03D7">
        <w:rPr>
          <w:b/>
          <w:bCs/>
          <w:sz w:val="24"/>
        </w:rPr>
        <w:t xml:space="preserve">12 </w:t>
      </w:r>
      <w:r w:rsidRPr="00DF03D7">
        <w:rPr>
          <w:b/>
          <w:bCs/>
          <w:sz w:val="24"/>
        </w:rPr>
        <w:t>mois à compter</w:t>
      </w:r>
      <w:r w:rsidR="00B26E3F" w:rsidRPr="00DF03D7">
        <w:rPr>
          <w:b/>
          <w:bCs/>
          <w:sz w:val="24"/>
        </w:rPr>
        <w:t xml:space="preserve"> de sa date de </w:t>
      </w:r>
      <w:r w:rsidR="00227262" w:rsidRPr="00DF03D7">
        <w:rPr>
          <w:b/>
          <w:bCs/>
          <w:sz w:val="24"/>
        </w:rPr>
        <w:t>signature</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627E259F" w:rsidR="00093B58" w:rsidRPr="00093B58" w:rsidRDefault="00093B58" w:rsidP="00E33A17">
      <w:pPr>
        <w:suppressAutoHyphens/>
        <w:jc w:val="both"/>
      </w:pPr>
      <w:r w:rsidRPr="00093B58">
        <w:rPr>
          <w:sz w:val="24"/>
        </w:rPr>
        <w:t xml:space="preserve">Après son expiration, le CC demeure en vigueur à l'égard de ces bons de commande et contrats spécifiques. Ils doivent être exécutés au plus tard </w:t>
      </w:r>
      <w:r w:rsidRPr="00DF03D7">
        <w:rPr>
          <w:b/>
          <w:bCs/>
          <w:sz w:val="24"/>
        </w:rPr>
        <w:t>six mois après</w:t>
      </w:r>
      <w:r w:rsidRPr="00093B58">
        <w:rPr>
          <w:sz w:val="24"/>
        </w:rPr>
        <w:t xml:space="preserve"> son expiration. </w:t>
      </w:r>
    </w:p>
    <w:p w14:paraId="48CAB2C4" w14:textId="39DF0A2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05124CA9" w:rsidR="00093B58" w:rsidRPr="00AC78D7" w:rsidRDefault="00093B58" w:rsidP="00AC78D7">
      <w:pPr>
        <w:jc w:val="both"/>
        <w:rPr>
          <w:sz w:val="28"/>
        </w:rPr>
      </w:pPr>
      <w:r w:rsidRPr="00093B58">
        <w:rPr>
          <w:sz w:val="24"/>
        </w:rPr>
        <w:t xml:space="preserve">Le CC est reconduit tacitement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r w:rsidRPr="00AC78D7">
        <w:rPr>
          <w:sz w:val="28"/>
        </w:rPr>
        <w:t xml:space="preserve"> </w:t>
      </w:r>
    </w:p>
    <w:p w14:paraId="3D5C5A72" w14:textId="77777777" w:rsidR="00AC78D7" w:rsidRPr="00AC78D7" w:rsidRDefault="00AC78D7" w:rsidP="00AC78D7">
      <w:pPr>
        <w:pStyle w:val="Titre2"/>
      </w:pPr>
      <w:r w:rsidRPr="00AC78D7">
        <w:lastRenderedPageBreak/>
        <w:t>Article I.3 – Prix</w:t>
      </w:r>
    </w:p>
    <w:p w14:paraId="061CAC7B" w14:textId="664A9DE2" w:rsidR="002B10E3" w:rsidRDefault="00AC78D7">
      <w:pPr>
        <w:suppressAutoHyphens/>
        <w:ind w:left="851" w:hanging="851"/>
        <w:jc w:val="both"/>
        <w:rPr>
          <w:sz w:val="24"/>
        </w:rPr>
      </w:pPr>
      <w:r w:rsidRPr="00AC78D7">
        <w:rPr>
          <w:b/>
          <w:noProof/>
          <w:sz w:val="24"/>
        </w:rPr>
        <w:t>I.3.1</w:t>
      </w:r>
      <w:r w:rsidRPr="00AC78D7">
        <w:rPr>
          <w:sz w:val="24"/>
        </w:rPr>
        <w:tab/>
        <w:t xml:space="preserve">Le montant maximal du CC est fixé à </w:t>
      </w:r>
      <w:r w:rsidR="00227262" w:rsidRPr="003A18A2">
        <w:rPr>
          <w:i/>
          <w:iCs/>
          <w:sz w:val="24"/>
        </w:rPr>
        <w:t xml:space="preserve">(cent cinquante mille) </w:t>
      </w:r>
      <w:r w:rsidR="00227262" w:rsidRPr="003A18A2">
        <w:rPr>
          <w:b/>
          <w:bCs/>
          <w:iCs/>
          <w:sz w:val="24"/>
        </w:rPr>
        <w:t>150.000</w:t>
      </w:r>
      <w:r w:rsidR="00227262" w:rsidRPr="003A18A2">
        <w:rPr>
          <w:b/>
          <w:bCs/>
          <w:sz w:val="24"/>
        </w:rPr>
        <w:t xml:space="preserve"> </w:t>
      </w:r>
      <w:r w:rsidRPr="003A18A2">
        <w:rPr>
          <w:b/>
          <w:bCs/>
          <w:sz w:val="24"/>
        </w:rPr>
        <w:t>euros</w:t>
      </w:r>
      <w:r w:rsidR="00A543A6" w:rsidRPr="003A18A2">
        <w:rPr>
          <w:b/>
          <w:bCs/>
          <w:sz w:val="24"/>
        </w:rPr>
        <w:t xml:space="preserve"> 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1B068C47" w14:textId="5513E27A"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543A6">
        <w:rPr>
          <w:rFonts w:asciiTheme="minorHAnsi" w:hAnsiTheme="minorHAnsi"/>
          <w:sz w:val="24"/>
        </w:rPr>
        <w:t>.</w:t>
      </w:r>
    </w:p>
    <w:p w14:paraId="2B3A0071" w14:textId="147C65B4" w:rsidR="003C385D" w:rsidRDefault="00B561C0" w:rsidP="00E33A17">
      <w:pPr>
        <w:pStyle w:val="u"/>
        <w:widowControl w:val="0"/>
        <w:numPr>
          <w:ilvl w:val="12"/>
          <w:numId w:val="0"/>
        </w:numPr>
        <w:spacing w:before="120"/>
        <w:ind w:left="851"/>
        <w:rPr>
          <w:rFonts w:asciiTheme="minorHAnsi" w:hAnsiTheme="minorHAnsi"/>
          <w:sz w:val="24"/>
        </w:rPr>
      </w:pPr>
      <w:r>
        <w:rPr>
          <w:rFonts w:asciiTheme="minorHAnsi" w:hAnsiTheme="minorHAnsi"/>
          <w:sz w:val="24"/>
        </w:rPr>
        <w:t>[Le détail des prix unitaires figure dans le bordereau de prix unitaires ci-dessous</w:t>
      </w:r>
      <w:r w:rsidR="00AF421F">
        <w:rPr>
          <w:rFonts w:asciiTheme="minorHAnsi" w:hAnsiTheme="minorHAnsi"/>
          <w:sz w:val="24"/>
        </w:rPr>
        <w:t xml:space="preserve"> (A compléter par le contractant) : </w:t>
      </w:r>
      <w:r>
        <w:rPr>
          <w:rFonts w:asciiTheme="minorHAnsi" w:hAnsiTheme="minorHAnsi"/>
          <w:sz w:val="24"/>
        </w:rPr>
        <w:t xml:space="preserve"> </w:t>
      </w:r>
    </w:p>
    <w:p w14:paraId="1B2509DE" w14:textId="5D825125" w:rsidR="004904E2" w:rsidRPr="004904E2" w:rsidRDefault="004904E2" w:rsidP="004904E2">
      <w:pPr>
        <w:pStyle w:val="u"/>
        <w:widowControl w:val="0"/>
        <w:numPr>
          <w:ilvl w:val="12"/>
          <w:numId w:val="0"/>
        </w:numPr>
        <w:ind w:left="709"/>
        <w:rPr>
          <w:rFonts w:asciiTheme="minorHAnsi" w:hAnsiTheme="minorHAnsi"/>
          <w:sz w:val="24"/>
        </w:rPr>
      </w:pPr>
    </w:p>
    <w:tbl>
      <w:tblPr>
        <w:tblStyle w:val="Grilledutableau"/>
        <w:tblW w:w="5386" w:type="dxa"/>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10"/>
        <w:gridCol w:w="2976"/>
      </w:tblGrid>
      <w:tr w:rsidR="002B1D66" w:rsidRPr="00C916C0" w14:paraId="0B0FF756" w14:textId="4E7F66E6" w:rsidTr="002B1D66">
        <w:tc>
          <w:tcPr>
            <w:tcW w:w="2410" w:type="dxa"/>
            <w:vAlign w:val="center"/>
          </w:tcPr>
          <w:p w14:paraId="4D1525B0" w14:textId="092B201F" w:rsidR="002B1D66" w:rsidRPr="004F541B" w:rsidRDefault="002B1D66" w:rsidP="000D3DCE">
            <w:pPr>
              <w:pStyle w:val="u"/>
              <w:widowControl w:val="0"/>
              <w:numPr>
                <w:ilvl w:val="12"/>
                <w:numId w:val="0"/>
              </w:numPr>
              <w:spacing w:before="60" w:after="60"/>
              <w:ind w:left="709" w:hanging="532"/>
              <w:jc w:val="center"/>
              <w:rPr>
                <w:rFonts w:asciiTheme="minorHAnsi" w:hAnsiTheme="minorHAnsi" w:cs="Arial"/>
                <w:b/>
                <w:sz w:val="24"/>
              </w:rPr>
            </w:pPr>
            <w:r w:rsidRPr="004F541B">
              <w:rPr>
                <w:rFonts w:asciiTheme="minorHAnsi" w:hAnsiTheme="minorHAnsi" w:cs="Arial"/>
                <w:b/>
                <w:sz w:val="24"/>
              </w:rPr>
              <w:t>Unités</w:t>
            </w:r>
          </w:p>
        </w:tc>
        <w:tc>
          <w:tcPr>
            <w:tcW w:w="2976" w:type="dxa"/>
            <w:vAlign w:val="center"/>
          </w:tcPr>
          <w:p w14:paraId="3F53C095" w14:textId="039F5121" w:rsidR="002B1D66" w:rsidRPr="004F541B" w:rsidRDefault="002B1D66" w:rsidP="004F541B">
            <w:pPr>
              <w:pStyle w:val="u"/>
              <w:widowControl w:val="0"/>
              <w:numPr>
                <w:ilvl w:val="12"/>
                <w:numId w:val="0"/>
              </w:numPr>
              <w:spacing w:before="60" w:after="60"/>
              <w:jc w:val="center"/>
              <w:rPr>
                <w:rFonts w:asciiTheme="minorHAnsi" w:hAnsiTheme="minorHAnsi" w:cs="Arial"/>
                <w:b/>
                <w:sz w:val="24"/>
              </w:rPr>
            </w:pPr>
            <w:r w:rsidRPr="004F541B">
              <w:rPr>
                <w:rFonts w:asciiTheme="minorHAnsi" w:hAnsiTheme="minorHAnsi" w:cs="Arial"/>
                <w:b/>
                <w:sz w:val="24"/>
              </w:rPr>
              <w:t>Prix unitaires € HT</w:t>
            </w:r>
          </w:p>
        </w:tc>
      </w:tr>
      <w:tr w:rsidR="002B1D66" w:rsidRPr="00361126" w14:paraId="5F11CAF0" w14:textId="4BE3D4A6" w:rsidTr="002B1D66">
        <w:tc>
          <w:tcPr>
            <w:tcW w:w="2410" w:type="dxa"/>
            <w:vAlign w:val="center"/>
          </w:tcPr>
          <w:p w14:paraId="7E906499" w14:textId="6E4FAD54" w:rsidR="002B1D66" w:rsidRPr="004F541B" w:rsidRDefault="002B1D66" w:rsidP="000D3DCE">
            <w:pPr>
              <w:pStyle w:val="u"/>
              <w:widowControl w:val="0"/>
              <w:numPr>
                <w:ilvl w:val="12"/>
                <w:numId w:val="0"/>
              </w:numPr>
              <w:spacing w:before="60" w:after="60"/>
              <w:ind w:left="709" w:hanging="532"/>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976" w:type="dxa"/>
            <w:vAlign w:val="center"/>
          </w:tcPr>
          <w:p w14:paraId="047030EE" w14:textId="6ABEC601" w:rsidR="002B1D66" w:rsidRPr="004F541B" w:rsidRDefault="002B1D66"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r w:rsidR="002B1D66" w:rsidRPr="00361126" w14:paraId="134D392E" w14:textId="053E94D6" w:rsidTr="002B1D66">
        <w:tc>
          <w:tcPr>
            <w:tcW w:w="2410" w:type="dxa"/>
            <w:vAlign w:val="center"/>
          </w:tcPr>
          <w:p w14:paraId="48A34708" w14:textId="3F4816E3" w:rsidR="002B1D66" w:rsidRPr="004F541B" w:rsidRDefault="002B1D66" w:rsidP="000D3DCE">
            <w:pPr>
              <w:pStyle w:val="u"/>
              <w:widowControl w:val="0"/>
              <w:numPr>
                <w:ilvl w:val="12"/>
                <w:numId w:val="0"/>
              </w:numPr>
              <w:spacing w:before="60" w:after="60"/>
              <w:ind w:left="709" w:hanging="532"/>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976" w:type="dxa"/>
            <w:vAlign w:val="center"/>
          </w:tcPr>
          <w:p w14:paraId="3AE8E2AF" w14:textId="0D19B37C" w:rsidR="002B1D66" w:rsidRPr="004F541B" w:rsidRDefault="002B1D66"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r w:rsidR="002B1D66" w:rsidRPr="00361126" w14:paraId="1FDD94BC" w14:textId="77777777" w:rsidTr="002B1D66">
        <w:tc>
          <w:tcPr>
            <w:tcW w:w="2410" w:type="dxa"/>
            <w:vAlign w:val="center"/>
          </w:tcPr>
          <w:p w14:paraId="016F0564" w14:textId="42DEDA05" w:rsidR="002B1D66" w:rsidRPr="001830CE" w:rsidRDefault="002B1D66" w:rsidP="000D3DCE">
            <w:pPr>
              <w:pStyle w:val="u"/>
              <w:widowControl w:val="0"/>
              <w:numPr>
                <w:ilvl w:val="12"/>
                <w:numId w:val="0"/>
              </w:numPr>
              <w:spacing w:before="60" w:after="60"/>
              <w:ind w:left="709" w:hanging="532"/>
              <w:jc w:val="left"/>
              <w:rPr>
                <w:rFonts w:asciiTheme="minorHAnsi" w:hAnsiTheme="minorHAnsi" w:cs="Arial"/>
                <w:sz w:val="24"/>
                <w:highlight w:val="yellow"/>
              </w:rPr>
            </w:pPr>
          </w:p>
        </w:tc>
        <w:tc>
          <w:tcPr>
            <w:tcW w:w="2976" w:type="dxa"/>
            <w:vAlign w:val="center"/>
          </w:tcPr>
          <w:p w14:paraId="1B2E8CB8" w14:textId="77777777" w:rsidR="002B1D66" w:rsidRPr="004F541B" w:rsidRDefault="002B1D66" w:rsidP="004F541B">
            <w:pPr>
              <w:pStyle w:val="u"/>
              <w:widowControl w:val="0"/>
              <w:numPr>
                <w:ilvl w:val="12"/>
                <w:numId w:val="0"/>
              </w:numPr>
              <w:spacing w:before="60" w:after="60"/>
              <w:jc w:val="center"/>
              <w:rPr>
                <w:rFonts w:asciiTheme="minorHAnsi" w:hAnsiTheme="minorHAnsi" w:cs="Arial"/>
                <w:sz w:val="24"/>
                <w:highlight w:val="lightGray"/>
              </w:rPr>
            </w:pPr>
          </w:p>
        </w:tc>
      </w:tr>
      <w:tr w:rsidR="002B1D66" w:rsidRPr="00361126" w14:paraId="5059781D" w14:textId="77777777" w:rsidTr="002B1D66">
        <w:tc>
          <w:tcPr>
            <w:tcW w:w="2410" w:type="dxa"/>
            <w:vAlign w:val="center"/>
          </w:tcPr>
          <w:p w14:paraId="7F19FE7B" w14:textId="1F8A16CB" w:rsidR="002B1D66" w:rsidRPr="001830CE" w:rsidRDefault="002B1D66" w:rsidP="000D3DCE">
            <w:pPr>
              <w:pStyle w:val="u"/>
              <w:widowControl w:val="0"/>
              <w:numPr>
                <w:ilvl w:val="12"/>
                <w:numId w:val="0"/>
              </w:numPr>
              <w:spacing w:before="60" w:after="60"/>
              <w:ind w:left="709" w:hanging="532"/>
              <w:jc w:val="left"/>
              <w:rPr>
                <w:rFonts w:asciiTheme="minorHAnsi" w:hAnsiTheme="minorHAnsi" w:cs="Arial"/>
                <w:sz w:val="24"/>
                <w:highlight w:val="yellow"/>
              </w:rPr>
            </w:pPr>
          </w:p>
        </w:tc>
        <w:tc>
          <w:tcPr>
            <w:tcW w:w="2976" w:type="dxa"/>
            <w:vAlign w:val="center"/>
          </w:tcPr>
          <w:p w14:paraId="2344A72D" w14:textId="77777777" w:rsidR="002B1D66" w:rsidRPr="004F541B" w:rsidRDefault="002B1D66" w:rsidP="004F541B">
            <w:pPr>
              <w:pStyle w:val="u"/>
              <w:widowControl w:val="0"/>
              <w:numPr>
                <w:ilvl w:val="12"/>
                <w:numId w:val="0"/>
              </w:numPr>
              <w:spacing w:before="60" w:after="60"/>
              <w:jc w:val="center"/>
              <w:rPr>
                <w:rFonts w:asciiTheme="minorHAnsi" w:hAnsiTheme="minorHAnsi" w:cs="Arial"/>
                <w:sz w:val="24"/>
                <w:highlight w:val="lightGray"/>
              </w:rPr>
            </w:pPr>
          </w:p>
        </w:tc>
      </w:tr>
    </w:tbl>
    <w:p w14:paraId="22D6268E" w14:textId="294B6CEA" w:rsidR="004904E2" w:rsidRPr="004904E2" w:rsidRDefault="004904E2" w:rsidP="004904E2">
      <w:pPr>
        <w:pStyle w:val="u"/>
        <w:widowControl w:val="0"/>
        <w:numPr>
          <w:ilvl w:val="12"/>
          <w:numId w:val="0"/>
        </w:numPr>
        <w:ind w:left="709"/>
        <w:rPr>
          <w:rFonts w:asciiTheme="minorHAnsi" w:hAnsiTheme="minorHAnsi"/>
          <w:sz w:val="24"/>
        </w:rPr>
      </w:pP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28CD88F6" w14:textId="77777777" w:rsidR="0039009F" w:rsidRPr="004F541B" w:rsidRDefault="0039009F" w:rsidP="00AC78D7">
      <w:pPr>
        <w:jc w:val="both"/>
        <w:rPr>
          <w:i/>
          <w:sz w:val="24"/>
          <w:u w:val="single"/>
        </w:rPr>
      </w:pPr>
      <w:r w:rsidRPr="004F541B">
        <w:rPr>
          <w:i/>
          <w:sz w:val="24"/>
          <w:u w:val="single"/>
        </w:rPr>
        <w:t>Option 1</w:t>
      </w:r>
    </w:p>
    <w:p w14:paraId="760C8D07" w14:textId="700C0428" w:rsidR="0039009F" w:rsidRDefault="0039009F" w:rsidP="00AC78D7">
      <w:pPr>
        <w:jc w:val="both"/>
        <w:rPr>
          <w:sz w:val="24"/>
        </w:rPr>
      </w:pPr>
      <w:r>
        <w:rPr>
          <w:sz w:val="24"/>
        </w:rPr>
        <w:t xml:space="preserve">Les prix sont fermes et non révisable pendant toute la durée du CC. </w:t>
      </w:r>
    </w:p>
    <w:p w14:paraId="6BA80FD3" w14:textId="75EA2BCE" w:rsidR="00AC78D7" w:rsidRPr="00AC78D7" w:rsidRDefault="00610F6D" w:rsidP="00DA7E75">
      <w:pPr>
        <w:tabs>
          <w:tab w:val="left" w:pos="1134"/>
          <w:tab w:val="left" w:pos="1560"/>
        </w:tabs>
        <w:suppressAutoHyphens/>
        <w:spacing w:before="0" w:beforeAutospacing="0"/>
        <w:ind w:left="1560" w:hanging="851"/>
        <w:jc w:val="both"/>
      </w:pPr>
      <w:r w:rsidRPr="00AC78D7" w:rsidDel="00610F6D">
        <w:rPr>
          <w:sz w:val="24"/>
        </w:rPr>
        <w:t xml:space="preserve">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6"/>
      </w:r>
    </w:p>
    <w:p w14:paraId="58C30BD0" w14:textId="225CEC79"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78A226B7"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46484CD8" w:rsidR="008F6F93" w:rsidRPr="00487D5D" w:rsidRDefault="00487D5D" w:rsidP="00487D5D">
      <w:pPr>
        <w:suppressAutoHyphens/>
        <w:jc w:val="both"/>
        <w:rPr>
          <w:sz w:val="24"/>
        </w:rPr>
      </w:pPr>
      <w:r w:rsidRPr="00487D5D">
        <w:rPr>
          <w:sz w:val="24"/>
        </w:rPr>
        <w:t>Le délai d'exécution des tâches</w:t>
      </w:r>
      <w:r w:rsidR="00F87D2E">
        <w:rPr>
          <w:sz w:val="24"/>
        </w:rPr>
        <w:t xml:space="preserve"> </w:t>
      </w:r>
      <w:r w:rsidRPr="00487D5D">
        <w:rPr>
          <w:sz w:val="24"/>
        </w:rPr>
        <w:t xml:space="preserve">commence à courir à la date de </w:t>
      </w:r>
      <w:r w:rsidR="00734145">
        <w:rPr>
          <w:sz w:val="24"/>
        </w:rPr>
        <w:t xml:space="preserve">notification au contractant du bon de commande par </w:t>
      </w:r>
      <w:r w:rsidR="00CB2123">
        <w:rPr>
          <w:sz w:val="24"/>
        </w:rPr>
        <w:t>Expertise France</w:t>
      </w:r>
      <w:r w:rsidR="00734145">
        <w:rPr>
          <w:sz w:val="24"/>
        </w:rPr>
        <w:t>,</w:t>
      </w:r>
      <w:r w:rsidRPr="00487D5D">
        <w:rPr>
          <w:sz w:val="24"/>
        </w:rPr>
        <w:t xml:space="preserve"> sauf si le document mentionne une autre date</w:t>
      </w:r>
      <w:r w:rsidR="00910241">
        <w:rPr>
          <w:sz w:val="24"/>
        </w:rPr>
        <w:t>.</w:t>
      </w:r>
    </w:p>
    <w:p w14:paraId="77DDD614" w14:textId="042C22AE" w:rsidR="00487D5D" w:rsidRPr="00487D5D" w:rsidRDefault="00487D5D" w:rsidP="00487D5D">
      <w:pPr>
        <w:jc w:val="both"/>
        <w:rPr>
          <w:color w:val="000000"/>
          <w:sz w:val="24"/>
        </w:rPr>
      </w:pPr>
      <w:r w:rsidRPr="00487D5D">
        <w:rPr>
          <w:b/>
          <w:sz w:val="24"/>
        </w:rPr>
        <w:lastRenderedPageBreak/>
        <w:t>I.4.2 Préfinancement</w:t>
      </w:r>
      <w:r w:rsidRPr="00487D5D">
        <w:rPr>
          <w:rStyle w:val="Appelnotedebasdep"/>
          <w:sz w:val="24"/>
        </w:rPr>
        <w:footnoteReference w:id="7"/>
      </w:r>
    </w:p>
    <w:p w14:paraId="146AB740" w14:textId="18A19455" w:rsidR="00487D5D" w:rsidRPr="00487D5D" w:rsidRDefault="00777EA9">
      <w:pPr>
        <w:jc w:val="both"/>
      </w:pPr>
      <w:r>
        <w:rPr>
          <w:sz w:val="24"/>
        </w:rPr>
        <w:t>U</w:t>
      </w:r>
      <w:r w:rsidR="00487D5D" w:rsidRPr="00487D5D">
        <w:rPr>
          <w:sz w:val="24"/>
        </w:rPr>
        <w:t xml:space="preserve">n préfinancement correspondant à </w:t>
      </w:r>
      <w:r w:rsidR="00227262">
        <w:rPr>
          <w:b/>
          <w:bCs/>
          <w:sz w:val="24"/>
        </w:rPr>
        <w:t>5</w:t>
      </w:r>
      <w:r w:rsidR="00487D5D" w:rsidRPr="003A18A2">
        <w:rPr>
          <w:b/>
          <w:bCs/>
          <w:sz w:val="24"/>
        </w:rPr>
        <w:t> %</w:t>
      </w:r>
      <w:r w:rsidR="00487D5D" w:rsidRPr="00487D5D">
        <w:rPr>
          <w:sz w:val="24"/>
        </w:rPr>
        <w:t xml:space="preserve"> du prix total du bon de commande ou contrat spécifique est versé </w:t>
      </w:r>
      <w:r>
        <w:rPr>
          <w:sz w:val="24"/>
        </w:rPr>
        <w:t xml:space="preserve">après son entrée en vigueur </w:t>
      </w:r>
      <w:r w:rsidR="00487D5D" w:rsidRPr="00487D5D">
        <w:rPr>
          <w:sz w:val="24"/>
        </w:rPr>
        <w:t xml:space="preserve">dans un délai de trente jours à compter de la </w:t>
      </w:r>
      <w:r w:rsidR="00487D5D" w:rsidRPr="003A18A2">
        <w:rPr>
          <w:sz w:val="24"/>
        </w:rPr>
        <w:t>réception d'une facture.</w:t>
      </w:r>
      <w:r w:rsidR="00487D5D" w:rsidRPr="00487D5D">
        <w:rPr>
          <w:sz w:val="24"/>
        </w:rPr>
        <w:t xml:space="preserve"> </w:t>
      </w:r>
    </w:p>
    <w:p w14:paraId="55A86B6A" w14:textId="25ACDB39" w:rsidR="00487D5D" w:rsidRPr="00487D5D" w:rsidRDefault="00487D5D" w:rsidP="00487D5D">
      <w:pPr>
        <w:ind w:left="709" w:hanging="709"/>
        <w:jc w:val="both"/>
        <w:rPr>
          <w:b/>
          <w:color w:val="000000"/>
          <w:sz w:val="24"/>
        </w:rPr>
      </w:pPr>
      <w:r w:rsidRPr="00487D5D">
        <w:rPr>
          <w:b/>
          <w:noProof/>
          <w:color w:val="000000"/>
          <w:sz w:val="24"/>
        </w:rPr>
        <w:t>I.4.</w:t>
      </w:r>
      <w:r w:rsidR="003A18A2">
        <w:rPr>
          <w:b/>
          <w:noProof/>
          <w:color w:val="000000"/>
          <w:sz w:val="24"/>
        </w:rPr>
        <w:t>3</w:t>
      </w:r>
      <w:r w:rsidRPr="00487D5D">
        <w:rPr>
          <w:b/>
          <w:color w:val="000000"/>
          <w:sz w:val="24"/>
        </w:rPr>
        <w:t xml:space="preserve"> </w:t>
      </w:r>
      <w:r w:rsidRPr="00487D5D">
        <w:rPr>
          <w:b/>
          <w:sz w:val="24"/>
        </w:rPr>
        <w:t>Paiement du solde</w:t>
      </w:r>
      <w:r w:rsidR="000B23A2">
        <w:rPr>
          <w:b/>
          <w:sz w:val="24"/>
        </w:rPr>
        <w:t xml:space="preserve"> Bon de commande</w:t>
      </w:r>
    </w:p>
    <w:p w14:paraId="392DA098" w14:textId="25572665" w:rsidR="00487D5D" w:rsidRPr="00487D5D" w:rsidRDefault="00487D5D" w:rsidP="00487D5D">
      <w:pPr>
        <w:jc w:val="both"/>
        <w:rPr>
          <w:sz w:val="24"/>
        </w:rPr>
      </w:pPr>
      <w:r w:rsidRPr="00487D5D">
        <w:rPr>
          <w:sz w:val="24"/>
        </w:rPr>
        <w:t xml:space="preserve">Le contractant présente une facture pour demander le paiement du solde. </w:t>
      </w:r>
    </w:p>
    <w:p w14:paraId="32A7BA89" w14:textId="50880909" w:rsidR="00487D5D" w:rsidRPr="00487D5D" w:rsidRDefault="004A3D57" w:rsidP="00487D5D">
      <w:pPr>
        <w:ind w:left="284"/>
        <w:jc w:val="both"/>
        <w:rPr>
          <w:i/>
          <w:sz w:val="24"/>
          <w:u w:val="single"/>
        </w:rPr>
      </w:pPr>
      <w:r w:rsidRPr="00487D5D" w:rsidDel="004A3D57">
        <w:rPr>
          <w:i/>
          <w:sz w:val="24"/>
          <w:u w:val="single"/>
        </w:rPr>
        <w:t xml:space="preserve"> </w:t>
      </w:r>
      <w:r w:rsidR="00487D5D" w:rsidRPr="00487D5D">
        <w:rPr>
          <w:i/>
          <w:sz w:val="24"/>
          <w:u w:val="single"/>
        </w:rPr>
        <w:t>Présentation d'un rapport</w:t>
      </w:r>
    </w:p>
    <w:p w14:paraId="67ABD530" w14:textId="449E1A2B" w:rsidR="00487D5D" w:rsidRDefault="00487D5D" w:rsidP="00487D5D">
      <w:pPr>
        <w:jc w:val="both"/>
        <w:rPr>
          <w:sz w:val="24"/>
        </w:rPr>
      </w:pPr>
      <w:r w:rsidRPr="00487D5D">
        <w:rPr>
          <w:sz w:val="24"/>
        </w:rPr>
        <w:t xml:space="preserve">La facture est accompagnée du rapport </w:t>
      </w:r>
      <w:r w:rsidR="000B23A2">
        <w:rPr>
          <w:sz w:val="24"/>
        </w:rPr>
        <w:t>d’avancement et/</w:t>
      </w:r>
      <w:r w:rsidR="003A18A2">
        <w:rPr>
          <w:sz w:val="24"/>
        </w:rPr>
        <w:t>ou final</w:t>
      </w:r>
      <w:r w:rsidRPr="00487D5D">
        <w:rPr>
          <w:sz w:val="24"/>
        </w:rPr>
        <w:t xml:space="preserve"> ou de tout autre document conforme au contrat spécifique correspondant Le paiement est effectué par </w:t>
      </w:r>
      <w:r w:rsidR="00CB2123">
        <w:rPr>
          <w:sz w:val="24"/>
        </w:rPr>
        <w:t>Expertise France</w:t>
      </w:r>
      <w:r w:rsidRPr="00487D5D">
        <w:rPr>
          <w:sz w:val="24"/>
        </w:rPr>
        <w:t xml:space="preserve"> dans les </w:t>
      </w:r>
      <w:r w:rsidR="0025240E">
        <w:rPr>
          <w:sz w:val="24"/>
        </w:rPr>
        <w:t>3</w:t>
      </w:r>
      <w:r w:rsidRPr="00487D5D">
        <w:rPr>
          <w:sz w:val="24"/>
        </w:rPr>
        <w:t xml:space="preserve">0 jours suivant la réception de la facture. Le contractant dispose d'un délai de </w:t>
      </w:r>
      <w:r w:rsidR="000B23A2">
        <w:rPr>
          <w:i/>
          <w:sz w:val="24"/>
        </w:rPr>
        <w:t xml:space="preserve"> 30 </w:t>
      </w:r>
      <w:r w:rsidRPr="00487D5D">
        <w:rPr>
          <w:sz w:val="24"/>
        </w:rPr>
        <w:t xml:space="preserve"> jours pour présenter des informations complémentaires, des corrections, un nouveau rapport final ou d'autres documents si </w:t>
      </w:r>
      <w:r w:rsidR="00CB2123">
        <w:rPr>
          <w:sz w:val="24"/>
        </w:rPr>
        <w:t>Expertise France</w:t>
      </w:r>
      <w:r w:rsidRPr="00487D5D">
        <w:rPr>
          <w:sz w:val="24"/>
        </w:rPr>
        <w:t xml:space="preserve"> le demande.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51892446"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4C53E2B1" w14:textId="5CFDBFAC" w:rsidR="00487D5D" w:rsidRPr="00487D5D" w:rsidRDefault="002C63E9" w:rsidP="00227262">
      <w:pPr>
        <w:spacing w:before="0" w:beforeAutospacing="0" w:after="0" w:afterAutospacing="0"/>
        <w:ind w:left="567"/>
        <w:outlineLvl w:val="0"/>
        <w:rPr>
          <w:sz w:val="24"/>
        </w:rPr>
      </w:pPr>
      <w:r>
        <w:rPr>
          <w:sz w:val="24"/>
        </w:rPr>
        <w:lastRenderedPageBreak/>
        <w:t xml:space="preserve">Département </w:t>
      </w:r>
      <w:r w:rsidR="00227262">
        <w:rPr>
          <w:sz w:val="24"/>
        </w:rPr>
        <w:t>Capital Humain et Développement Social (CHDS)</w:t>
      </w:r>
      <w:r w:rsidR="00227262" w:rsidRPr="00487D5D" w:rsidDel="00227262">
        <w:rPr>
          <w:sz w:val="24"/>
        </w:rPr>
        <w:t xml:space="preserve"> </w:t>
      </w:r>
      <w:r>
        <w:rPr>
          <w:sz w:val="24"/>
        </w:rPr>
        <w:br/>
      </w:r>
      <w:r w:rsidR="00D36270">
        <w:rPr>
          <w:sz w:val="24"/>
        </w:rPr>
        <w:t>40, boulevard de Port-</w:t>
      </w:r>
      <w:r w:rsidR="00305009">
        <w:rPr>
          <w:sz w:val="24"/>
        </w:rPr>
        <w:t>Royal</w:t>
      </w:r>
      <w:r>
        <w:rPr>
          <w:sz w:val="24"/>
        </w:rPr>
        <w:br/>
        <w:t>7500</w:t>
      </w:r>
      <w:r w:rsidR="00305009">
        <w:rPr>
          <w:sz w:val="24"/>
        </w:rPr>
        <w:t>5</w:t>
      </w:r>
      <w:r>
        <w:rPr>
          <w:sz w:val="24"/>
        </w:rPr>
        <w:t xml:space="preserve"> </w:t>
      </w:r>
      <w:r w:rsidR="003B07ED">
        <w:rPr>
          <w:sz w:val="24"/>
        </w:rPr>
        <w:t>Paris - France</w:t>
      </w:r>
    </w:p>
    <w:p w14:paraId="492C805C" w14:textId="3CF9FF9D" w:rsidR="00487D5D" w:rsidRDefault="00487D5D" w:rsidP="00227262">
      <w:pPr>
        <w:tabs>
          <w:tab w:val="left" w:pos="510"/>
          <w:tab w:val="num" w:pos="1485"/>
          <w:tab w:val="left" w:pos="10977"/>
        </w:tabs>
        <w:spacing w:before="0" w:beforeAutospacing="0"/>
        <w:ind w:left="567"/>
        <w:jc w:val="both"/>
        <w:outlineLvl w:val="0"/>
        <w:rPr>
          <w:sz w:val="24"/>
        </w:rPr>
      </w:pPr>
      <w:r w:rsidRPr="00487D5D">
        <w:rPr>
          <w:sz w:val="24"/>
        </w:rPr>
        <w:t xml:space="preserve">E-mail: </w:t>
      </w:r>
      <w:r w:rsidR="00227262">
        <w:rPr>
          <w:i/>
          <w:sz w:val="24"/>
        </w:rPr>
        <w:t>francesca.castagna@expertisefrance.fr</w:t>
      </w:r>
      <w:r w:rsidR="00227262" w:rsidRPr="00487D5D" w:rsidDel="00227262">
        <w:rPr>
          <w:sz w:val="24"/>
        </w:rPr>
        <w:t xml:space="preserve"> </w:t>
      </w:r>
    </w:p>
    <w:p w14:paraId="4B451E04" w14:textId="0E08F7D7" w:rsidR="00487D5D" w:rsidRPr="00487D5D" w:rsidRDefault="002410B2" w:rsidP="00487D5D">
      <w:pPr>
        <w:ind w:left="567"/>
        <w:jc w:val="both"/>
        <w:outlineLvl w:val="0"/>
        <w:rPr>
          <w:sz w:val="24"/>
        </w:rPr>
      </w:pPr>
      <w:r w:rsidRPr="00487D5D">
        <w:rPr>
          <w:sz w:val="24"/>
          <w:u w:val="single"/>
        </w:rPr>
        <w:t>Contractant</w:t>
      </w:r>
      <w:r w:rsidRPr="00487D5D">
        <w:rPr>
          <w:sz w:val="24"/>
        </w:rPr>
        <w:t xml:space="preserve"> :</w:t>
      </w:r>
      <w:r w:rsidR="00227262" w:rsidRPr="00227262">
        <w:rPr>
          <w:sz w:val="24"/>
        </w:rPr>
        <w:t xml:space="preserve"> </w:t>
      </w:r>
      <w:r w:rsidR="00227262">
        <w:rPr>
          <w:sz w:val="24"/>
        </w:rPr>
        <w:t>(</w:t>
      </w:r>
      <w:r w:rsidR="00227262" w:rsidRPr="00CE2658">
        <w:rPr>
          <w:i/>
          <w:sz w:val="24"/>
        </w:rPr>
        <w:t>A compléter par le contractant</w:t>
      </w:r>
      <w:r w:rsidR="00227262">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691F57CE" w:rsidR="00487D5D" w:rsidRPr="00487D5D" w:rsidRDefault="002410B2" w:rsidP="002F6999">
      <w:pPr>
        <w:ind w:left="567"/>
        <w:outlineLvl w:val="0"/>
        <w:rPr>
          <w:sz w:val="24"/>
        </w:rPr>
      </w:pPr>
      <w:r w:rsidRPr="00487D5D">
        <w:rPr>
          <w:sz w:val="24"/>
        </w:rPr>
        <w:t>E-mail :</w:t>
      </w:r>
      <w:r w:rsidR="00487D5D" w:rsidRPr="00487D5D">
        <w:rPr>
          <w:b/>
          <w:sz w:val="24"/>
        </w:rPr>
        <w:t xml:space="preserve"> </w:t>
      </w:r>
      <w:r w:rsidR="00487D5D" w:rsidRPr="00487D5D">
        <w:rPr>
          <w:sz w:val="24"/>
        </w:rPr>
        <w:t>[</w:t>
      </w:r>
      <w:r w:rsidR="00487D5D" w:rsidRPr="00AB0E63">
        <w:rPr>
          <w:i/>
          <w:sz w:val="24"/>
          <w:highlight w:val="yellow"/>
        </w:rPr>
        <w:t>compléter</w:t>
      </w:r>
      <w:r w:rsidR="00487D5D"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0E71C7C5"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227262"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3178CB28" w14:textId="7ACEF521"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7FF9A797" w14:textId="77777777" w:rsidR="00353BD9" w:rsidRPr="00353BD9" w:rsidRDefault="00353BD9" w:rsidP="00353BD9">
      <w:pPr>
        <w:jc w:val="both"/>
        <w:rPr>
          <w:b/>
          <w:sz w:val="24"/>
        </w:rPr>
      </w:pPr>
      <w:r w:rsidRPr="00353BD9">
        <w:rPr>
          <w:b/>
          <w:sz w:val="24"/>
        </w:rPr>
        <w:t>I.8.2 Droits préexistants et transfert de droits</w:t>
      </w:r>
    </w:p>
    <w:p w14:paraId="279F434B" w14:textId="708E965C" w:rsidR="00353BD9" w:rsidRPr="00353BD9" w:rsidRDefault="00353BD9" w:rsidP="00353BD9">
      <w:pPr>
        <w:jc w:val="both"/>
        <w:rPr>
          <w:sz w:val="24"/>
        </w:rPr>
      </w:pPr>
      <w:r w:rsidRPr="000B23A2">
        <w:rPr>
          <w:sz w:val="24"/>
        </w:rPr>
        <w:t>Tous les droits préexistants sont</w:t>
      </w:r>
      <w:r w:rsidR="0088435C" w:rsidRPr="000B23A2">
        <w:rPr>
          <w:sz w:val="24"/>
        </w:rPr>
        <w:t xml:space="preserve"> </w:t>
      </w:r>
      <w:r w:rsidRPr="003A18A2">
        <w:rPr>
          <w:sz w:val="24"/>
        </w:rPr>
        <w:t xml:space="preserve">octroyés sous licence à </w:t>
      </w:r>
      <w:r w:rsidR="007E69DA" w:rsidRPr="003A18A2">
        <w:rPr>
          <w:sz w:val="24"/>
        </w:rPr>
        <w:t>Expertise France</w:t>
      </w:r>
      <w:r w:rsidRPr="003A18A2">
        <w:rPr>
          <w:sz w:val="24"/>
        </w:rPr>
        <w:t xml:space="preserve"> conformément à l'article II.10.3</w:t>
      </w:r>
    </w:p>
    <w:p w14:paraId="4EBE9BF3" w14:textId="4592DF34" w:rsidR="00353BD9" w:rsidRPr="00353BD9" w:rsidRDefault="00353BD9" w:rsidP="00353BD9">
      <w:pPr>
        <w:jc w:val="both"/>
      </w:pPr>
      <w:r w:rsidRPr="00353BD9">
        <w:rPr>
          <w:sz w:val="24"/>
        </w:rPr>
        <w:t xml:space="preserve">[Tous les droits préexistants inclus dans les résultats et directement liés aux utilisations prévues à l'article I.8.1 sont pleinement et irrévocablement acquis par </w:t>
      </w:r>
      <w:r w:rsidR="007E69DA">
        <w:rPr>
          <w:sz w:val="24"/>
        </w:rPr>
        <w:t>Expertise France</w:t>
      </w:r>
      <w:r w:rsidRPr="00353BD9">
        <w:rPr>
          <w:sz w:val="24"/>
        </w:rPr>
        <w:t>, 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033EBD63" w:rsidR="00353BD9" w:rsidRPr="00353BD9" w:rsidRDefault="00353BD9" w:rsidP="00353BD9">
      <w:pPr>
        <w:pStyle w:val="Titre2"/>
      </w:pPr>
      <w:r w:rsidRPr="00353BD9">
        <w:lastRenderedPageBreak/>
        <w:t>Article I.1</w:t>
      </w:r>
      <w:r w:rsidR="00266310">
        <w:t>0</w:t>
      </w:r>
      <w:r w:rsidRPr="00353BD9">
        <w:t xml:space="preserve"> – Autres conditions particulières</w:t>
      </w:r>
    </w:p>
    <w:p w14:paraId="22CE70DF" w14:textId="631FCB1B"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52C61AB5" w:rsidR="00745209" w:rsidRPr="00745209" w:rsidRDefault="00745209" w:rsidP="00745209">
      <w:pPr>
        <w:jc w:val="both"/>
        <w:rPr>
          <w:sz w:val="24"/>
        </w:rPr>
      </w:pPr>
      <w:r w:rsidRPr="00745209">
        <w:rPr>
          <w:sz w:val="24"/>
        </w:rPr>
        <w:t xml:space="preserve">La substitution d’un nouveau bordereau des prix en cas de suppression, de modifications ou d’ajouts de références du bordereau </w:t>
      </w:r>
      <w:r w:rsidR="00227262" w:rsidRPr="00745209">
        <w:rPr>
          <w:sz w:val="24"/>
        </w:rPr>
        <w:t>des prix initiaux</w:t>
      </w:r>
      <w:r w:rsidRPr="00745209">
        <w:rPr>
          <w:sz w:val="24"/>
        </w:rPr>
        <w:t xml:space="preserve"> sous réserve de l’acceptation par </w:t>
      </w:r>
      <w:r w:rsidR="00125934">
        <w:rPr>
          <w:sz w:val="24"/>
        </w:rPr>
        <w:t>Expertise France ;</w:t>
      </w:r>
    </w:p>
    <w:p w14:paraId="726529AC" w14:textId="18AC6DDC" w:rsidR="00745209" w:rsidRPr="00745209" w:rsidRDefault="00745209">
      <w:pPr>
        <w:jc w:val="both"/>
        <w:rPr>
          <w:sz w:val="24"/>
        </w:rPr>
      </w:pPr>
      <w:r w:rsidRPr="00745209">
        <w:rPr>
          <w:sz w:val="24"/>
        </w:rPr>
        <w:t>La mise à jour d’éléments techniques (précisions sur les livrables, définition techniques fabricants, fiches techniques matériels, évolution des notices…).</w:t>
      </w:r>
    </w:p>
    <w:p w14:paraId="63EB0782" w14:textId="7E292DEE" w:rsidR="000B23A2" w:rsidRDefault="00745209">
      <w:pPr>
        <w:jc w:val="both"/>
        <w:rPr>
          <w:sz w:val="24"/>
        </w:rPr>
      </w:pPr>
      <w:r w:rsidRPr="00745209">
        <w:rPr>
          <w:sz w:val="24"/>
        </w:rPr>
        <w:t xml:space="preserve">Ces modifications sont notifiées au contractant : </w:t>
      </w:r>
      <w:r w:rsidR="000B23A2">
        <w:rPr>
          <w:sz w:val="24"/>
        </w:rPr>
        <w:t xml:space="preserve"> </w:t>
      </w:r>
      <w:r w:rsidRPr="00745209">
        <w:rPr>
          <w:sz w:val="24"/>
        </w:rPr>
        <w:t>par la conclusion d’un avenant.</w:t>
      </w:r>
    </w:p>
    <w:p w14:paraId="5AE304DB" w14:textId="7ED81334"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0C0B6EC3" w14:textId="09778A9B" w:rsidR="002B52CA" w:rsidRPr="00BF67F2" w:rsidRDefault="003A18A2" w:rsidP="00BF67F2">
      <w:pPr>
        <w:jc w:val="both"/>
        <w:rPr>
          <w:sz w:val="24"/>
        </w:rPr>
      </w:pPr>
      <w:r w:rsidRPr="00BF67F2" w:rsidDel="003A18A2">
        <w:rPr>
          <w:sz w:val="24"/>
        </w:rPr>
        <w:t xml:space="preserve"> </w:t>
      </w:r>
      <w:r w:rsidR="00A319DC" w:rsidRPr="00BF67F2">
        <w:rPr>
          <w:sz w:val="24"/>
        </w:rPr>
        <w:t>L</w:t>
      </w:r>
      <w:r w:rsidR="002B52CA" w:rsidRPr="00BF67F2">
        <w:rPr>
          <w:sz w:val="24"/>
        </w:rPr>
        <w:t xml:space="preserve">es pénalités sont fixées forfaitairement à 100€ net par jour de retard de remise des livrables finaux attendus </w:t>
      </w:r>
      <w:r w:rsidR="00A319DC" w:rsidRPr="00BF67F2">
        <w:rPr>
          <w:sz w:val="24"/>
        </w:rPr>
        <w:t>au titre des contrats spécifiques ou des bons de commande concernés</w:t>
      </w:r>
      <w:r w:rsidR="002B52CA" w:rsidRPr="00BF67F2">
        <w:rPr>
          <w:sz w:val="24"/>
        </w:rPr>
        <w:t>.</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5E43B8A7" w14:textId="62C73601" w:rsidR="00F73CB8" w:rsidRDefault="00BF67F2" w:rsidP="00BF67F2">
      <w:pPr>
        <w:jc w:val="both"/>
        <w:rPr>
          <w:sz w:val="24"/>
        </w:rPr>
      </w:pPr>
      <w:r w:rsidRPr="00BF67F2">
        <w:rPr>
          <w:sz w:val="24"/>
        </w:rPr>
        <w:t>En toutes hypothèses, le montant des pénalités ne pourra dépasser 10% de la valeur du contrat spécifique ou du bon de commande concerné.</w:t>
      </w: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3"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4"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4F290112" w14:textId="0A6D212B" w:rsidR="00393A80" w:rsidRPr="00273F95" w:rsidRDefault="00393A80" w:rsidP="00393A80">
      <w:pPr>
        <w:spacing w:after="240"/>
        <w:jc w:val="center"/>
        <w:rPr>
          <w:b/>
          <w:caps/>
          <w:sz w:val="28"/>
        </w:rPr>
      </w:pPr>
      <w:r w:rsidRPr="00273F95">
        <w:rPr>
          <w:b/>
          <w:caps/>
          <w:sz w:val="28"/>
        </w:rPr>
        <w:lastRenderedPageBreak/>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lastRenderedPageBreak/>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D213EF" w:rsidP="001C5A6B">
      <w:pPr>
        <w:spacing w:before="0" w:beforeAutospacing="0" w:after="0" w:afterAutospacing="0"/>
        <w:ind w:left="851"/>
        <w:jc w:val="both"/>
        <w:outlineLvl w:val="0"/>
        <w:rPr>
          <w:bCs/>
          <w:sz w:val="24"/>
        </w:rPr>
      </w:pPr>
      <w:hyperlink r:id="rId21"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lastRenderedPageBreak/>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lastRenderedPageBreak/>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2"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3"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4"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6EEBC72A" w14:textId="1B5FF04B" w:rsidR="00CC1641" w:rsidRDefault="00CA6785" w:rsidP="00563206">
      <w:pPr>
        <w:tabs>
          <w:tab w:val="left" w:pos="1650"/>
        </w:tabs>
        <w:jc w:val="center"/>
        <w:rPr>
          <w:b/>
          <w:bCs/>
          <w:caps/>
          <w:sz w:val="22"/>
          <w:szCs w:val="26"/>
        </w:rPr>
      </w:pPr>
      <w:r w:rsidRPr="007E3392">
        <w:rPr>
          <w:b/>
          <w:bCs/>
          <w:caps/>
          <w:sz w:val="28"/>
          <w:szCs w:val="26"/>
        </w:rP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29" o:title=""/>
                </v:shape>
                <o:OLEObject Type="Embed" ProgID="Excel.Sheet.12" ShapeID="_x0000_i1025" DrawAspect="Content" ObjectID="_1804401011" r:id="rId30"/>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CE86" w14:textId="77777777" w:rsidR="00FD71D7" w:rsidRDefault="00FD71D7">
      <w:r>
        <w:separator/>
      </w:r>
    </w:p>
  </w:endnote>
  <w:endnote w:type="continuationSeparator" w:id="0">
    <w:p w14:paraId="675FDE42" w14:textId="77777777" w:rsidR="00FD71D7" w:rsidRDefault="00FD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D76C31" w:rsidRDefault="00D76C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D76C31" w:rsidRDefault="00D76C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D76C31" w:rsidRPr="00180F28" w:rsidRDefault="00D76C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437DA36F" w:rsidR="00D76C31" w:rsidRPr="00BA396D" w:rsidRDefault="00D213EF"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D76C31" w:rsidRPr="00BA396D">
          <w:rPr>
            <w:rFonts w:ascii="Calibri" w:eastAsia="Times" w:hAnsi="Calibri"/>
            <w:szCs w:val="20"/>
          </w:rPr>
          <w:tab/>
          <w:t xml:space="preserve">Page </w:t>
        </w:r>
        <w:r w:rsidR="00D76C31" w:rsidRPr="00BA396D">
          <w:rPr>
            <w:rFonts w:ascii="Calibri" w:eastAsia="Times" w:hAnsi="Calibri"/>
            <w:b/>
            <w:bCs/>
            <w:szCs w:val="20"/>
          </w:rPr>
          <w:fldChar w:fldCharType="begin"/>
        </w:r>
        <w:r w:rsidR="00D76C31" w:rsidRPr="00BA396D">
          <w:rPr>
            <w:rFonts w:ascii="Calibri" w:eastAsia="Times" w:hAnsi="Calibri"/>
            <w:b/>
            <w:bCs/>
            <w:szCs w:val="20"/>
          </w:rPr>
          <w:instrText>PAGE</w:instrText>
        </w:r>
        <w:r w:rsidR="00D76C31" w:rsidRPr="00BA396D">
          <w:rPr>
            <w:rFonts w:ascii="Calibri" w:eastAsia="Times" w:hAnsi="Calibri"/>
            <w:b/>
            <w:bCs/>
            <w:szCs w:val="20"/>
          </w:rPr>
          <w:fldChar w:fldCharType="separate"/>
        </w:r>
        <w:r>
          <w:rPr>
            <w:rFonts w:ascii="Calibri" w:eastAsia="Times" w:hAnsi="Calibri"/>
            <w:b/>
            <w:bCs/>
            <w:noProof/>
            <w:szCs w:val="20"/>
          </w:rPr>
          <w:t>35</w:t>
        </w:r>
        <w:r w:rsidR="00D76C31" w:rsidRPr="00BA396D">
          <w:rPr>
            <w:rFonts w:ascii="Calibri" w:eastAsia="Times" w:hAnsi="Calibri"/>
            <w:b/>
            <w:bCs/>
            <w:szCs w:val="20"/>
          </w:rPr>
          <w:fldChar w:fldCharType="end"/>
        </w:r>
      </w:sdtContent>
    </w:sdt>
  </w:p>
  <w:p w14:paraId="0790D45C" w14:textId="5C0C72AD" w:rsidR="00D76C31" w:rsidRPr="00BA396D" w:rsidRDefault="00D76C31"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D76C31" w:rsidRPr="006E44C4" w:rsidRDefault="00D76C31"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72578725" w:rsidR="00D76C31" w:rsidRPr="006E44C4" w:rsidRDefault="00D213EF"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D76C31" w:rsidRPr="006E44C4">
                  <w:rPr>
                    <w:rFonts w:ascii="Calibri" w:eastAsia="Times" w:hAnsi="Calibri"/>
                    <w:sz w:val="22"/>
                    <w:szCs w:val="22"/>
                  </w:rPr>
                  <w:t>DAJ_M01</w:t>
                </w:r>
                <w:r w:rsidR="00D76C31">
                  <w:rPr>
                    <w:rFonts w:ascii="Calibri" w:eastAsia="Times" w:hAnsi="Calibri"/>
                    <w:sz w:val="22"/>
                    <w:szCs w:val="22"/>
                  </w:rPr>
                  <w:t>1</w:t>
                </w:r>
                <w:r w:rsidR="00D76C31" w:rsidRPr="006E44C4">
                  <w:rPr>
                    <w:rFonts w:ascii="Calibri" w:eastAsia="Times" w:hAnsi="Calibri"/>
                    <w:sz w:val="22"/>
                    <w:szCs w:val="22"/>
                  </w:rPr>
                  <w:t>_v</w:t>
                </w:r>
                <w:r w:rsidR="00D76C31">
                  <w:rPr>
                    <w:rFonts w:ascii="Calibri" w:eastAsia="Times" w:hAnsi="Calibri"/>
                    <w:sz w:val="22"/>
                    <w:szCs w:val="22"/>
                  </w:rPr>
                  <w:t>010</w:t>
                </w:r>
                <w:r w:rsidR="00D76C31" w:rsidRPr="006E44C4">
                  <w:rPr>
                    <w:rFonts w:ascii="Calibri" w:eastAsia="Times" w:hAnsi="Calibri"/>
                    <w:sz w:val="22"/>
                    <w:szCs w:val="22"/>
                  </w:rPr>
                  <w:tab/>
                  <w:t xml:space="preserve">Page </w:t>
                </w:r>
                <w:r w:rsidR="00D76C31" w:rsidRPr="006E44C4">
                  <w:rPr>
                    <w:rFonts w:ascii="Calibri" w:eastAsia="Times" w:hAnsi="Calibri"/>
                    <w:b/>
                    <w:bCs/>
                    <w:sz w:val="22"/>
                    <w:szCs w:val="22"/>
                  </w:rPr>
                  <w:fldChar w:fldCharType="begin"/>
                </w:r>
                <w:r w:rsidR="00D76C31" w:rsidRPr="006E44C4">
                  <w:rPr>
                    <w:rFonts w:ascii="Calibri" w:eastAsia="Times" w:hAnsi="Calibri"/>
                    <w:b/>
                    <w:bCs/>
                    <w:sz w:val="22"/>
                    <w:szCs w:val="22"/>
                  </w:rPr>
                  <w:instrText>PAGE</w:instrText>
                </w:r>
                <w:r w:rsidR="00D76C31" w:rsidRPr="006E44C4">
                  <w:rPr>
                    <w:rFonts w:ascii="Calibri" w:eastAsia="Times" w:hAnsi="Calibri"/>
                    <w:b/>
                    <w:bCs/>
                    <w:sz w:val="22"/>
                    <w:szCs w:val="22"/>
                  </w:rPr>
                  <w:fldChar w:fldCharType="separate"/>
                </w:r>
                <w:r>
                  <w:rPr>
                    <w:rFonts w:ascii="Calibri" w:eastAsia="Times" w:hAnsi="Calibri"/>
                    <w:b/>
                    <w:bCs/>
                    <w:noProof/>
                    <w:sz w:val="22"/>
                    <w:szCs w:val="22"/>
                  </w:rPr>
                  <w:t>1</w:t>
                </w:r>
                <w:r w:rsidR="00D76C31" w:rsidRPr="006E44C4">
                  <w:rPr>
                    <w:rFonts w:ascii="Calibri" w:eastAsia="Times" w:hAnsi="Calibri"/>
                    <w:b/>
                    <w:bCs/>
                    <w:sz w:val="22"/>
                    <w:szCs w:val="22"/>
                  </w:rPr>
                  <w:fldChar w:fldCharType="end"/>
                </w:r>
                <w:r w:rsidR="00D76C31" w:rsidRPr="006E44C4">
                  <w:rPr>
                    <w:rFonts w:ascii="Calibri" w:eastAsia="Times" w:hAnsi="Calibri"/>
                    <w:sz w:val="22"/>
                    <w:szCs w:val="22"/>
                  </w:rPr>
                  <w:t xml:space="preserve"> sur </w:t>
                </w:r>
                <w:r w:rsidR="00D76C31" w:rsidRPr="006E44C4">
                  <w:rPr>
                    <w:rFonts w:ascii="Calibri" w:eastAsia="Times" w:hAnsi="Calibri"/>
                    <w:b/>
                    <w:bCs/>
                    <w:sz w:val="22"/>
                    <w:szCs w:val="22"/>
                  </w:rPr>
                  <w:fldChar w:fldCharType="begin"/>
                </w:r>
                <w:r w:rsidR="00D76C31" w:rsidRPr="006E44C4">
                  <w:rPr>
                    <w:rFonts w:ascii="Calibri" w:eastAsia="Times" w:hAnsi="Calibri"/>
                    <w:b/>
                    <w:bCs/>
                    <w:sz w:val="22"/>
                    <w:szCs w:val="22"/>
                  </w:rPr>
                  <w:instrText>NUMPAGES</w:instrText>
                </w:r>
                <w:r w:rsidR="00D76C31" w:rsidRPr="006E44C4">
                  <w:rPr>
                    <w:rFonts w:ascii="Calibri" w:eastAsia="Times" w:hAnsi="Calibri"/>
                    <w:b/>
                    <w:bCs/>
                    <w:sz w:val="22"/>
                    <w:szCs w:val="22"/>
                  </w:rPr>
                  <w:fldChar w:fldCharType="separate"/>
                </w:r>
                <w:r>
                  <w:rPr>
                    <w:rFonts w:ascii="Calibri" w:eastAsia="Times" w:hAnsi="Calibri"/>
                    <w:b/>
                    <w:bCs/>
                    <w:noProof/>
                    <w:sz w:val="22"/>
                    <w:szCs w:val="22"/>
                  </w:rPr>
                  <w:t>36</w:t>
                </w:r>
                <w:r w:rsidR="00D76C31" w:rsidRPr="006E44C4">
                  <w:rPr>
                    <w:rFonts w:ascii="Calibri" w:eastAsia="Times" w:hAnsi="Calibri"/>
                    <w:b/>
                    <w:bCs/>
                    <w:sz w:val="22"/>
                    <w:szCs w:val="22"/>
                  </w:rPr>
                  <w:fldChar w:fldCharType="end"/>
                </w:r>
              </w:sdtContent>
            </w:sdt>
          </w:p>
          <w:p w14:paraId="4D5CCF69" w14:textId="67DB93EF" w:rsidR="00D76C31" w:rsidRPr="002973F3" w:rsidRDefault="00D76C31"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D76C31" w:rsidRPr="002973F3" w:rsidRDefault="00D76C31"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D76C31" w:rsidRPr="002339BE" w:rsidRDefault="00D76C31"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D76C31" w:rsidRDefault="00D76C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D76C31" w:rsidRDefault="00D76C3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D76C31" w:rsidRPr="00180F28" w:rsidRDefault="00D76C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0DD37DFB" w:rsidR="00D76C31" w:rsidRPr="00BA396D" w:rsidRDefault="00D213EF"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D76C31" w:rsidRPr="00BA396D">
          <w:rPr>
            <w:rFonts w:ascii="Calibri" w:eastAsia="Times" w:hAnsi="Calibri"/>
            <w:szCs w:val="20"/>
          </w:rPr>
          <w:tab/>
          <w:t xml:space="preserve">Page </w:t>
        </w:r>
        <w:r w:rsidR="00D76C31" w:rsidRPr="00BA396D">
          <w:rPr>
            <w:rFonts w:ascii="Calibri" w:eastAsia="Times" w:hAnsi="Calibri"/>
            <w:b/>
            <w:bCs/>
            <w:szCs w:val="20"/>
          </w:rPr>
          <w:fldChar w:fldCharType="begin"/>
        </w:r>
        <w:r w:rsidR="00D76C31" w:rsidRPr="00BA396D">
          <w:rPr>
            <w:rFonts w:ascii="Calibri" w:eastAsia="Times" w:hAnsi="Calibri"/>
            <w:b/>
            <w:bCs/>
            <w:szCs w:val="20"/>
          </w:rPr>
          <w:instrText>PAGE</w:instrText>
        </w:r>
        <w:r w:rsidR="00D76C31" w:rsidRPr="00BA396D">
          <w:rPr>
            <w:rFonts w:ascii="Calibri" w:eastAsia="Times" w:hAnsi="Calibri"/>
            <w:b/>
            <w:bCs/>
            <w:szCs w:val="20"/>
          </w:rPr>
          <w:fldChar w:fldCharType="separate"/>
        </w:r>
        <w:r>
          <w:rPr>
            <w:rFonts w:ascii="Calibri" w:eastAsia="Times" w:hAnsi="Calibri"/>
            <w:b/>
            <w:bCs/>
            <w:noProof/>
            <w:szCs w:val="20"/>
          </w:rPr>
          <w:t>1</w:t>
        </w:r>
        <w:r w:rsidR="00D76C31" w:rsidRPr="00BA396D">
          <w:rPr>
            <w:rFonts w:ascii="Calibri" w:eastAsia="Times" w:hAnsi="Calibri"/>
            <w:b/>
            <w:bCs/>
            <w:szCs w:val="20"/>
          </w:rPr>
          <w:fldChar w:fldCharType="end"/>
        </w:r>
        <w:r w:rsidR="00D76C31" w:rsidRPr="00BA396D">
          <w:rPr>
            <w:rFonts w:ascii="Calibri" w:eastAsia="Times" w:hAnsi="Calibri"/>
            <w:szCs w:val="20"/>
          </w:rPr>
          <w:t xml:space="preserve"> sur </w:t>
        </w:r>
        <w:r w:rsidR="00D76C31" w:rsidRPr="00BA396D">
          <w:rPr>
            <w:rFonts w:ascii="Calibri" w:eastAsia="Times" w:hAnsi="Calibri"/>
            <w:b/>
            <w:bCs/>
            <w:szCs w:val="20"/>
          </w:rPr>
          <w:fldChar w:fldCharType="begin"/>
        </w:r>
        <w:r w:rsidR="00D76C31" w:rsidRPr="00BA396D">
          <w:rPr>
            <w:rFonts w:ascii="Calibri" w:eastAsia="Times" w:hAnsi="Calibri"/>
            <w:b/>
            <w:bCs/>
            <w:szCs w:val="20"/>
          </w:rPr>
          <w:instrText>NUMPAGES</w:instrText>
        </w:r>
        <w:r w:rsidR="00D76C31" w:rsidRPr="00BA396D">
          <w:rPr>
            <w:rFonts w:ascii="Calibri" w:eastAsia="Times" w:hAnsi="Calibri"/>
            <w:b/>
            <w:bCs/>
            <w:szCs w:val="20"/>
          </w:rPr>
          <w:fldChar w:fldCharType="separate"/>
        </w:r>
        <w:r>
          <w:rPr>
            <w:rFonts w:ascii="Calibri" w:eastAsia="Times" w:hAnsi="Calibri"/>
            <w:b/>
            <w:bCs/>
            <w:noProof/>
            <w:szCs w:val="20"/>
          </w:rPr>
          <w:t>36</w:t>
        </w:r>
        <w:r w:rsidR="00D76C31"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C03DE" w14:textId="77777777" w:rsidR="00FD71D7" w:rsidRDefault="00FD71D7">
      <w:r>
        <w:separator/>
      </w:r>
    </w:p>
  </w:footnote>
  <w:footnote w:type="continuationSeparator" w:id="0">
    <w:p w14:paraId="32218BA4" w14:textId="77777777" w:rsidR="00FD71D7" w:rsidRDefault="00FD71D7">
      <w:r>
        <w:continuationSeparator/>
      </w:r>
    </w:p>
  </w:footnote>
  <w:footnote w:id="1">
    <w:p w14:paraId="661FAB0E" w14:textId="05034CA9" w:rsidR="00D76C31" w:rsidRPr="00096401" w:rsidRDefault="00D76C31"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D76C31" w:rsidRPr="00A222DB" w:rsidRDefault="00D76C31"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D76C31" w:rsidRPr="00096401" w:rsidRDefault="00D76C31"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D76C31" w:rsidRPr="00A222DB" w:rsidRDefault="00D76C31"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0A38D359" w:rsidR="00D76C31" w:rsidRPr="00A222DB" w:rsidDel="00610F6D" w:rsidRDefault="00D76C31" w:rsidP="00093B58">
      <w:pPr>
        <w:pStyle w:val="Notedebasdepage"/>
        <w:ind w:left="284" w:hanging="284"/>
        <w:rPr>
          <w:del w:id="0" w:author="Francesca CASTAGNA" w:date="2024-12-17T17:32:00Z"/>
        </w:rPr>
      </w:pPr>
      <w:bookmarkStart w:id="1" w:name="_GoBack"/>
    </w:p>
    <w:bookmarkEnd w:id="1"/>
  </w:footnote>
  <w:footnote w:id="6">
    <w:p w14:paraId="215D2D1D" w14:textId="77777777" w:rsidR="00D76C31" w:rsidRPr="00A222DB" w:rsidRDefault="00D76C31"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7">
    <w:p w14:paraId="0E98725A" w14:textId="77777777" w:rsidR="00D76C31" w:rsidRPr="00096401" w:rsidRDefault="00D76C31"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contrat spécifique. </w:t>
      </w:r>
    </w:p>
  </w:footnote>
  <w:footnote w:id="8">
    <w:p w14:paraId="3BDC8C55" w14:textId="77777777" w:rsidR="00D76C31" w:rsidRPr="00A222DB" w:rsidRDefault="00D76C31"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D76C31" w:rsidRPr="00740822" w:rsidRDefault="00D76C31"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D76C31" w:rsidRPr="00740822" w:rsidRDefault="00D76C31"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D76C31" w:rsidRDefault="00D76C31"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D76C31" w:rsidRPr="00BA396D" w:rsidRDefault="00D76C31"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D76C31" w:rsidRDefault="00D76C31"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D76C31" w:rsidRDefault="00D76C31"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D76C31" w:rsidRPr="00BE3789" w:rsidRDefault="00D76C31"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D76C31" w:rsidRDefault="00D76C31"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D76C31" w:rsidRPr="00FD0082" w:rsidRDefault="00D76C31"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0"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 w:numId="37">
    <w:abstractNumId w:val="28"/>
  </w:num>
  <w:num w:numId="38">
    <w:abstractNumId w:val="28"/>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esca CASTAGNA">
    <w15:presenceInfo w15:providerId="AD" w15:userId="S-1-5-21-3406572209-2354835200-999462638-10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3A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3DCE"/>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5981"/>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2BD3"/>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262"/>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0B2"/>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1D66"/>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1438"/>
    <w:rsid w:val="003A18A2"/>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D57"/>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27C9"/>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8D7"/>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3206"/>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137"/>
    <w:rsid w:val="00602542"/>
    <w:rsid w:val="00602AC6"/>
    <w:rsid w:val="00603494"/>
    <w:rsid w:val="006068EE"/>
    <w:rsid w:val="00606CA7"/>
    <w:rsid w:val="00607FD3"/>
    <w:rsid w:val="00610611"/>
    <w:rsid w:val="00610715"/>
    <w:rsid w:val="00610F6D"/>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46A1"/>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1D55"/>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79"/>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4D0E"/>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6C48"/>
    <w:rsid w:val="00817755"/>
    <w:rsid w:val="00820F44"/>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16F8"/>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121"/>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21F"/>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5ED"/>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5AD0"/>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A6E05"/>
    <w:rsid w:val="00BB0329"/>
    <w:rsid w:val="00BB12E3"/>
    <w:rsid w:val="00BB27C3"/>
    <w:rsid w:val="00BB2B28"/>
    <w:rsid w:val="00BB3D03"/>
    <w:rsid w:val="00BB3D0B"/>
    <w:rsid w:val="00BB3F7D"/>
    <w:rsid w:val="00BB6550"/>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3EF"/>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48E5"/>
    <w:rsid w:val="00D75B4F"/>
    <w:rsid w:val="00D75CEA"/>
    <w:rsid w:val="00D76C31"/>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A7E7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3F04"/>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03D7"/>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36C7C"/>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5BC9"/>
    <w:rsid w:val="00FC6867"/>
    <w:rsid w:val="00FC6BDF"/>
    <w:rsid w:val="00FC7E7C"/>
    <w:rsid w:val="00FD0082"/>
    <w:rsid w:val="00FD07C2"/>
    <w:rsid w:val="00FD1C47"/>
    <w:rsid w:val="00FD2B9B"/>
    <w:rsid w:val="00FD2DE9"/>
    <w:rsid w:val="00FD35AF"/>
    <w:rsid w:val="00FD3F78"/>
    <w:rsid w:val="00FD41A4"/>
    <w:rsid w:val="00FD60A2"/>
    <w:rsid w:val="00FD71D7"/>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footer" Target="footer5.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eader" Target="header4.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30FF741-ED25-4F0D-BE83-5E4C1880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10716</Words>
  <Characters>60858</Characters>
  <Application>Microsoft Office Word</Application>
  <DocSecurity>0</DocSecurity>
  <Lines>507</Lines>
  <Paragraphs>142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71432</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Francesca CASTAGNA</cp:lastModifiedBy>
  <cp:revision>2</cp:revision>
  <cp:lastPrinted>2016-12-12T14:17:00Z</cp:lastPrinted>
  <dcterms:created xsi:type="dcterms:W3CDTF">2025-03-25T08:42:00Z</dcterms:created>
  <dcterms:modified xsi:type="dcterms:W3CDTF">2025-03-25T08:42:00Z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