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6F42E" w14:textId="77777777" w:rsidR="00E426B6" w:rsidRPr="00697CEA" w:rsidRDefault="00E426B6" w:rsidP="00E426B6">
      <w:pPr>
        <w:tabs>
          <w:tab w:val="left" w:pos="566"/>
          <w:tab w:val="left" w:pos="850"/>
          <w:tab w:val="left" w:pos="1134"/>
          <w:tab w:val="left" w:pos="1417"/>
          <w:tab w:val="center" w:pos="3005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58225A88" w14:textId="77777777" w:rsidR="00E426B6" w:rsidRPr="00697CEA" w:rsidRDefault="00E426B6" w:rsidP="00E426B6">
      <w:pPr>
        <w:overflowPunct w:val="0"/>
        <w:autoSpaceDE w:val="0"/>
        <w:autoSpaceDN w:val="0"/>
        <w:adjustRightInd w:val="0"/>
        <w:ind w:left="-567" w:right="-143"/>
        <w:textAlignment w:val="baseline"/>
        <w:rPr>
          <w:rFonts w:ascii="Arial" w:hAnsi="Arial" w:cs="Arial"/>
        </w:rPr>
      </w:pPr>
      <w:r w:rsidRPr="00697CEA">
        <w:rPr>
          <w:rFonts w:ascii="Arial" w:hAnsi="Arial" w:cs="Arial"/>
        </w:rPr>
        <w:tab/>
      </w:r>
      <w:r w:rsidR="00A37973">
        <w:rPr>
          <w:rFonts w:ascii="Arial" w:hAnsi="Arial" w:cs="Arial"/>
          <w:noProof/>
        </w:rPr>
        <w:drawing>
          <wp:inline distT="0" distB="0" distL="0" distR="0" wp14:anchorId="5BA8EFEB" wp14:editId="7B08E5B5">
            <wp:extent cx="1742440" cy="983615"/>
            <wp:effectExtent l="0" t="0" r="0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98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7FABC" w14:textId="77777777" w:rsidR="00E426B6" w:rsidRPr="00697CEA" w:rsidRDefault="00E426B6" w:rsidP="00E426B6">
      <w:pPr>
        <w:rPr>
          <w:rFonts w:ascii="Arial" w:hAnsi="Arial" w:cs="Arial"/>
        </w:rPr>
      </w:pPr>
    </w:p>
    <w:p w14:paraId="1C5AC448" w14:textId="77777777" w:rsidR="00E426B6" w:rsidRPr="00697CEA" w:rsidRDefault="00E426B6" w:rsidP="00E426B6">
      <w:pPr>
        <w:rPr>
          <w:rFonts w:ascii="Arial" w:hAnsi="Arial" w:cs="Arial"/>
        </w:rPr>
      </w:pPr>
    </w:p>
    <w:p w14:paraId="6128CAA8" w14:textId="77777777" w:rsidR="00E426B6" w:rsidRPr="00697CEA" w:rsidRDefault="00E426B6" w:rsidP="00E426B6">
      <w:pPr>
        <w:rPr>
          <w:rFonts w:ascii="Arial" w:hAnsi="Arial" w:cs="Arial"/>
        </w:rPr>
      </w:pPr>
    </w:p>
    <w:p w14:paraId="74F37A53" w14:textId="77777777" w:rsidR="00E426B6" w:rsidRPr="00697CEA" w:rsidRDefault="00E426B6" w:rsidP="00E426B6">
      <w:pPr>
        <w:rPr>
          <w:rFonts w:ascii="Arial" w:hAnsi="Arial" w:cs="Arial"/>
        </w:rPr>
      </w:pPr>
    </w:p>
    <w:p w14:paraId="3BA8C68D" w14:textId="77777777" w:rsidR="00E426B6" w:rsidRPr="00697CEA" w:rsidRDefault="00E426B6" w:rsidP="00E426B6">
      <w:pPr>
        <w:rPr>
          <w:rFonts w:ascii="Arial" w:hAnsi="Arial" w:cs="Arial"/>
        </w:rPr>
      </w:pPr>
    </w:p>
    <w:p w14:paraId="54D5E790" w14:textId="77777777" w:rsidR="00E426B6" w:rsidRPr="00697CEA" w:rsidRDefault="00E426B6" w:rsidP="00E426B6">
      <w:pPr>
        <w:rPr>
          <w:rFonts w:ascii="Arial" w:hAnsi="Arial" w:cs="Arial"/>
        </w:rPr>
      </w:pPr>
    </w:p>
    <w:p w14:paraId="2D215F13" w14:textId="77777777" w:rsidR="00E426B6" w:rsidRPr="00697CEA" w:rsidRDefault="00E426B6" w:rsidP="00E426B6">
      <w:pPr>
        <w:rPr>
          <w:rFonts w:ascii="Arial" w:hAnsi="Arial" w:cs="Arial"/>
        </w:rPr>
      </w:pPr>
    </w:p>
    <w:p w14:paraId="7449149F" w14:textId="77777777" w:rsidR="00E426B6" w:rsidRPr="00697CEA" w:rsidRDefault="00E426B6" w:rsidP="00E426B6">
      <w:pPr>
        <w:jc w:val="center"/>
        <w:rPr>
          <w:rFonts w:ascii="Arial" w:hAnsi="Arial" w:cs="Arial"/>
          <w:b/>
          <w:sz w:val="28"/>
          <w:szCs w:val="28"/>
        </w:rPr>
      </w:pPr>
    </w:p>
    <w:p w14:paraId="32A904DC" w14:textId="1F0FE711" w:rsidR="00042F19" w:rsidRDefault="006403F8" w:rsidP="00E426B6">
      <w:pPr>
        <w:pBdr>
          <w:bottom w:val="single" w:sz="4" w:space="1" w:color="auto"/>
        </w:pBdr>
        <w:ind w:right="-2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ACCORD CADRE</w:t>
      </w:r>
      <w:r w:rsidRPr="00697CEA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N</w:t>
      </w:r>
      <w:r w:rsidR="00042F19">
        <w:rPr>
          <w:rFonts w:ascii="Arial" w:hAnsi="Arial" w:cs="Arial"/>
          <w:sz w:val="28"/>
          <w:szCs w:val="28"/>
        </w:rPr>
        <w:t>° 20</w:t>
      </w:r>
      <w:r w:rsidR="00BC7E59">
        <w:rPr>
          <w:rFonts w:ascii="Arial" w:hAnsi="Arial" w:cs="Arial"/>
          <w:sz w:val="28"/>
          <w:szCs w:val="28"/>
        </w:rPr>
        <w:t>2</w:t>
      </w:r>
      <w:r w:rsidR="00F639A1">
        <w:rPr>
          <w:rFonts w:ascii="Arial" w:hAnsi="Arial" w:cs="Arial"/>
          <w:sz w:val="28"/>
          <w:szCs w:val="28"/>
        </w:rPr>
        <w:t>5</w:t>
      </w:r>
      <w:r w:rsidR="00042F19">
        <w:rPr>
          <w:rFonts w:ascii="Arial" w:hAnsi="Arial" w:cs="Arial"/>
          <w:sz w:val="28"/>
          <w:szCs w:val="28"/>
        </w:rPr>
        <w:t>-</w:t>
      </w:r>
      <w:r w:rsidR="0022404E">
        <w:rPr>
          <w:rFonts w:ascii="Arial" w:hAnsi="Arial" w:cs="Arial"/>
          <w:sz w:val="28"/>
          <w:szCs w:val="28"/>
        </w:rPr>
        <w:t>22</w:t>
      </w:r>
      <w:r>
        <w:rPr>
          <w:rFonts w:ascii="Arial" w:hAnsi="Arial" w:cs="Arial"/>
          <w:sz w:val="28"/>
          <w:szCs w:val="28"/>
        </w:rPr>
        <w:t xml:space="preserve"> </w:t>
      </w:r>
    </w:p>
    <w:p w14:paraId="192C3162" w14:textId="77777777" w:rsidR="00042F19" w:rsidRDefault="00042F19" w:rsidP="00E426B6">
      <w:pPr>
        <w:pBdr>
          <w:bottom w:val="single" w:sz="4" w:space="1" w:color="auto"/>
        </w:pBdr>
        <w:ind w:right="-25"/>
        <w:jc w:val="center"/>
        <w:rPr>
          <w:rFonts w:ascii="Arial" w:hAnsi="Arial" w:cs="Arial"/>
          <w:sz w:val="28"/>
          <w:szCs w:val="28"/>
        </w:rPr>
      </w:pPr>
    </w:p>
    <w:p w14:paraId="79C4C7B7" w14:textId="5F4DEBD1" w:rsidR="00E426B6" w:rsidRDefault="00042F19" w:rsidP="00AC63C1">
      <w:pPr>
        <w:pBdr>
          <w:bottom w:val="single" w:sz="4" w:space="1" w:color="auto"/>
        </w:pBdr>
        <w:ind w:right="-2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</w:t>
      </w:r>
      <w:r w:rsidR="00E426B6" w:rsidRPr="00697CEA">
        <w:rPr>
          <w:rFonts w:ascii="Arial" w:hAnsi="Arial" w:cs="Arial"/>
          <w:sz w:val="28"/>
          <w:szCs w:val="28"/>
        </w:rPr>
        <w:t>éalisation d’études qualitatives et quantitatives auprès de différents publics dans le domaine de la santé et suivi de terrain</w:t>
      </w:r>
      <w:r w:rsidR="00064C7A">
        <w:rPr>
          <w:rFonts w:ascii="Arial" w:hAnsi="Arial" w:cs="Arial"/>
          <w:sz w:val="28"/>
          <w:szCs w:val="28"/>
        </w:rPr>
        <w:t>s</w:t>
      </w:r>
      <w:bookmarkStart w:id="0" w:name="_GoBack"/>
      <w:bookmarkEnd w:id="0"/>
      <w:r w:rsidR="00E426B6" w:rsidRPr="00697CEA">
        <w:rPr>
          <w:rFonts w:ascii="Arial" w:hAnsi="Arial" w:cs="Arial"/>
          <w:sz w:val="28"/>
          <w:szCs w:val="28"/>
        </w:rPr>
        <w:t xml:space="preserve"> de ces études</w:t>
      </w:r>
    </w:p>
    <w:p w14:paraId="286E6684" w14:textId="77777777" w:rsidR="006403F8" w:rsidRPr="00697CEA" w:rsidRDefault="006403F8" w:rsidP="00E426B6">
      <w:pPr>
        <w:pBdr>
          <w:bottom w:val="single" w:sz="4" w:space="1" w:color="auto"/>
        </w:pBdr>
        <w:ind w:right="-25"/>
        <w:jc w:val="center"/>
        <w:rPr>
          <w:rFonts w:ascii="Arial" w:hAnsi="Arial" w:cs="Arial"/>
          <w:sz w:val="28"/>
          <w:szCs w:val="28"/>
        </w:rPr>
      </w:pPr>
    </w:p>
    <w:p w14:paraId="0D2EB942" w14:textId="77777777" w:rsidR="00E426B6" w:rsidRPr="00697CEA" w:rsidRDefault="00E426B6" w:rsidP="00E426B6">
      <w:pPr>
        <w:rPr>
          <w:rFonts w:ascii="Arial" w:hAnsi="Arial" w:cs="Arial"/>
          <w:b/>
          <w:sz w:val="28"/>
          <w:szCs w:val="28"/>
        </w:rPr>
      </w:pPr>
    </w:p>
    <w:p w14:paraId="5485E387" w14:textId="77777777" w:rsidR="00E426B6" w:rsidRPr="00697CEA" w:rsidRDefault="00E426B6" w:rsidP="00E426B6">
      <w:pPr>
        <w:ind w:right="-25"/>
        <w:jc w:val="both"/>
        <w:rPr>
          <w:rFonts w:ascii="Arial" w:hAnsi="Arial" w:cs="Arial"/>
          <w:sz w:val="28"/>
          <w:szCs w:val="28"/>
        </w:rPr>
      </w:pPr>
    </w:p>
    <w:p w14:paraId="2F76A7FB" w14:textId="79F5F389" w:rsidR="00E426B6" w:rsidRDefault="00E426B6" w:rsidP="00E426B6">
      <w:pPr>
        <w:jc w:val="center"/>
        <w:rPr>
          <w:rFonts w:ascii="Arial" w:hAnsi="Arial" w:cs="Arial"/>
          <w:sz w:val="28"/>
          <w:szCs w:val="28"/>
        </w:rPr>
      </w:pPr>
      <w:r w:rsidRPr="00697CEA">
        <w:rPr>
          <w:rFonts w:ascii="Arial" w:hAnsi="Arial" w:cs="Arial"/>
          <w:sz w:val="28"/>
          <w:szCs w:val="28"/>
        </w:rPr>
        <w:t>Lot n°</w:t>
      </w:r>
      <w:r w:rsidR="00F639A1">
        <w:rPr>
          <w:rFonts w:ascii="Arial" w:hAnsi="Arial" w:cs="Arial"/>
          <w:sz w:val="28"/>
          <w:szCs w:val="28"/>
        </w:rPr>
        <w:t>5</w:t>
      </w:r>
    </w:p>
    <w:p w14:paraId="768D280B" w14:textId="77777777" w:rsidR="006403F8" w:rsidRPr="00697CEA" w:rsidRDefault="006403F8" w:rsidP="00E426B6">
      <w:pPr>
        <w:jc w:val="center"/>
        <w:rPr>
          <w:rFonts w:ascii="Arial" w:hAnsi="Arial" w:cs="Arial"/>
          <w:sz w:val="28"/>
          <w:szCs w:val="28"/>
        </w:rPr>
      </w:pPr>
    </w:p>
    <w:p w14:paraId="76171E46" w14:textId="6E95B028" w:rsidR="00E426B6" w:rsidRPr="00697CEA" w:rsidRDefault="00E426B6" w:rsidP="00E426B6">
      <w:pPr>
        <w:jc w:val="center"/>
        <w:rPr>
          <w:rFonts w:ascii="Arial" w:hAnsi="Arial" w:cs="Arial"/>
          <w:sz w:val="28"/>
          <w:szCs w:val="28"/>
        </w:rPr>
      </w:pPr>
      <w:r w:rsidRPr="00697CEA">
        <w:rPr>
          <w:rFonts w:ascii="Arial" w:hAnsi="Arial" w:cs="Arial"/>
          <w:sz w:val="28"/>
          <w:szCs w:val="28"/>
        </w:rPr>
        <w:t>Réalisation du suivi de terrains d’études qualitat</w:t>
      </w:r>
      <w:r>
        <w:rPr>
          <w:rFonts w:ascii="Arial" w:hAnsi="Arial" w:cs="Arial"/>
          <w:sz w:val="28"/>
          <w:szCs w:val="28"/>
        </w:rPr>
        <w:t>ives</w:t>
      </w:r>
      <w:r w:rsidR="0022404E">
        <w:rPr>
          <w:rFonts w:ascii="Arial" w:hAnsi="Arial" w:cs="Arial"/>
          <w:sz w:val="28"/>
          <w:szCs w:val="28"/>
        </w:rPr>
        <w:t xml:space="preserve"> et</w:t>
      </w:r>
      <w:r>
        <w:rPr>
          <w:rFonts w:ascii="Arial" w:hAnsi="Arial" w:cs="Arial"/>
          <w:sz w:val="28"/>
          <w:szCs w:val="28"/>
        </w:rPr>
        <w:t xml:space="preserve"> quantitatives </w:t>
      </w:r>
    </w:p>
    <w:p w14:paraId="6FF15851" w14:textId="77777777" w:rsidR="00E426B6" w:rsidRPr="00697CEA" w:rsidRDefault="00E426B6" w:rsidP="00E426B6">
      <w:pPr>
        <w:jc w:val="center"/>
        <w:rPr>
          <w:rFonts w:ascii="Arial" w:hAnsi="Arial" w:cs="Arial"/>
          <w:sz w:val="28"/>
          <w:szCs w:val="28"/>
        </w:rPr>
      </w:pPr>
    </w:p>
    <w:p w14:paraId="18D6030E" w14:textId="77777777" w:rsidR="00296633" w:rsidRPr="00F80F70" w:rsidRDefault="00296633" w:rsidP="00296633">
      <w:pPr>
        <w:jc w:val="both"/>
        <w:rPr>
          <w:rFonts w:ascii="Arial Narrow" w:hAnsi="Arial Narrow"/>
          <w:b/>
          <w:sz w:val="24"/>
        </w:rPr>
      </w:pPr>
    </w:p>
    <w:p w14:paraId="653FEBA7" w14:textId="77777777" w:rsidR="00296633" w:rsidRPr="00F80F70" w:rsidRDefault="00296633" w:rsidP="00296633">
      <w:pPr>
        <w:jc w:val="both"/>
        <w:rPr>
          <w:rFonts w:ascii="Arial Narrow" w:hAnsi="Arial Narrow"/>
          <w:b/>
          <w:sz w:val="24"/>
        </w:rPr>
      </w:pPr>
    </w:p>
    <w:p w14:paraId="60404F04" w14:textId="77777777" w:rsidR="001D5250" w:rsidRDefault="001D5250" w:rsidP="001D5250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Annexe financière </w:t>
      </w:r>
    </w:p>
    <w:p w14:paraId="1E243521" w14:textId="77777777" w:rsidR="000428B8" w:rsidRDefault="000428B8" w:rsidP="001D5250">
      <w:pPr>
        <w:jc w:val="center"/>
        <w:rPr>
          <w:rFonts w:ascii="Arial Narrow" w:hAnsi="Arial Narrow"/>
          <w:b/>
          <w:sz w:val="28"/>
        </w:rPr>
      </w:pPr>
    </w:p>
    <w:p w14:paraId="6E17034F" w14:textId="77777777" w:rsidR="001D5250" w:rsidRDefault="000428B8" w:rsidP="001D5250">
      <w:pPr>
        <w:jc w:val="center"/>
        <w:rPr>
          <w:rFonts w:ascii="Arial Narrow" w:hAnsi="Arial Narrow"/>
          <w:b/>
          <w:sz w:val="28"/>
        </w:rPr>
      </w:pPr>
      <w:proofErr w:type="gramStart"/>
      <w:r>
        <w:rPr>
          <w:rFonts w:ascii="Arial Narrow" w:hAnsi="Arial Narrow"/>
          <w:b/>
          <w:sz w:val="28"/>
        </w:rPr>
        <w:t>et</w:t>
      </w:r>
      <w:proofErr w:type="gramEnd"/>
    </w:p>
    <w:p w14:paraId="03E6E31E" w14:textId="77777777" w:rsidR="00750CEB" w:rsidRDefault="00750CEB" w:rsidP="001D5250">
      <w:pPr>
        <w:jc w:val="center"/>
        <w:rPr>
          <w:rFonts w:ascii="Arial Narrow" w:hAnsi="Arial Narrow"/>
          <w:b/>
          <w:sz w:val="28"/>
        </w:rPr>
      </w:pPr>
    </w:p>
    <w:p w14:paraId="4BA39B4A" w14:textId="77777777" w:rsidR="00750CEB" w:rsidRPr="002A75A3" w:rsidRDefault="00750CEB" w:rsidP="001D5250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Equipe dédiée</w:t>
      </w:r>
    </w:p>
    <w:p w14:paraId="5E8931DC" w14:textId="77777777" w:rsidR="00E9249D" w:rsidRPr="00F80F70" w:rsidRDefault="00E9249D" w:rsidP="00296633">
      <w:pPr>
        <w:jc w:val="both"/>
        <w:rPr>
          <w:rFonts w:ascii="Arial Narrow" w:hAnsi="Arial Narrow"/>
          <w:b/>
          <w:sz w:val="24"/>
        </w:rPr>
      </w:pPr>
    </w:p>
    <w:p w14:paraId="504AA5CE" w14:textId="77777777" w:rsidR="00E9249D" w:rsidRPr="00F80F70" w:rsidRDefault="00E9249D" w:rsidP="00296633">
      <w:pPr>
        <w:jc w:val="both"/>
        <w:rPr>
          <w:rFonts w:ascii="Arial Narrow" w:hAnsi="Arial Narrow"/>
          <w:b/>
          <w:sz w:val="24"/>
        </w:rPr>
      </w:pPr>
    </w:p>
    <w:p w14:paraId="5AC7A45B" w14:textId="77777777" w:rsidR="00E9249D" w:rsidRPr="00F80F70" w:rsidRDefault="00E9249D" w:rsidP="00296633">
      <w:pPr>
        <w:jc w:val="both"/>
        <w:rPr>
          <w:rFonts w:ascii="Arial Narrow" w:hAnsi="Arial Narrow"/>
          <w:b/>
          <w:sz w:val="24"/>
        </w:rPr>
      </w:pPr>
    </w:p>
    <w:p w14:paraId="37F90CB4" w14:textId="77777777" w:rsidR="00E9249D" w:rsidRPr="00F80F70" w:rsidRDefault="00E9249D" w:rsidP="00296633">
      <w:pPr>
        <w:jc w:val="both"/>
        <w:rPr>
          <w:rFonts w:ascii="Arial Narrow" w:hAnsi="Arial Narrow"/>
          <w:b/>
          <w:sz w:val="24"/>
        </w:rPr>
      </w:pPr>
    </w:p>
    <w:p w14:paraId="68692077" w14:textId="77777777" w:rsidR="00296633" w:rsidRPr="00F80F70" w:rsidRDefault="00296633" w:rsidP="00296633">
      <w:pPr>
        <w:jc w:val="both"/>
        <w:rPr>
          <w:rFonts w:ascii="Arial Narrow" w:hAnsi="Arial Narrow"/>
          <w:b/>
          <w:sz w:val="24"/>
        </w:rPr>
      </w:pPr>
    </w:p>
    <w:p w14:paraId="240F7596" w14:textId="77777777" w:rsidR="00296633" w:rsidRPr="00F80F70" w:rsidRDefault="00296633" w:rsidP="00296633">
      <w:pPr>
        <w:jc w:val="both"/>
        <w:rPr>
          <w:rFonts w:ascii="Arial Narrow" w:hAnsi="Arial Narrow"/>
          <w:b/>
          <w:sz w:val="24"/>
        </w:rPr>
      </w:pPr>
    </w:p>
    <w:p w14:paraId="001EB4BE" w14:textId="77777777" w:rsidR="00296633" w:rsidRPr="00F80F70" w:rsidRDefault="00296633" w:rsidP="00296633">
      <w:pPr>
        <w:jc w:val="both"/>
        <w:rPr>
          <w:rFonts w:ascii="Arial Narrow" w:hAnsi="Arial Narrow"/>
          <w:b/>
          <w:sz w:val="24"/>
        </w:rPr>
      </w:pPr>
    </w:p>
    <w:p w14:paraId="350887CF" w14:textId="77777777" w:rsidR="00296633" w:rsidRPr="00F80F70" w:rsidRDefault="00296633" w:rsidP="00296633">
      <w:pPr>
        <w:jc w:val="both"/>
        <w:rPr>
          <w:rFonts w:ascii="Arial Narrow" w:hAnsi="Arial Narrow"/>
          <w:b/>
          <w:sz w:val="24"/>
        </w:rPr>
      </w:pPr>
    </w:p>
    <w:p w14:paraId="234EDF2D" w14:textId="77777777" w:rsidR="00F80F70" w:rsidRPr="000C3FA0" w:rsidRDefault="00E9249D" w:rsidP="000C3FA0">
      <w:pPr>
        <w:jc w:val="center"/>
        <w:rPr>
          <w:rFonts w:ascii="Arial" w:hAnsi="Arial" w:cs="Arial"/>
          <w:b/>
          <w:sz w:val="28"/>
          <w:szCs w:val="28"/>
          <w:lang w:eastAsia="ar-SA"/>
        </w:rPr>
      </w:pPr>
      <w:r w:rsidRPr="00F80F70">
        <w:br w:type="page"/>
      </w:r>
      <w:bookmarkStart w:id="1" w:name="_Toc334013370"/>
      <w:bookmarkStart w:id="2" w:name="_Toc334016139"/>
      <w:bookmarkStart w:id="3" w:name="_Toc334092104"/>
      <w:bookmarkStart w:id="4" w:name="_Toc473111205"/>
      <w:bookmarkStart w:id="5" w:name="_Toc476643513"/>
      <w:r w:rsidR="00F80F70" w:rsidRPr="000C3FA0">
        <w:rPr>
          <w:rFonts w:ascii="Arial" w:hAnsi="Arial" w:cs="Arial"/>
          <w:b/>
          <w:sz w:val="28"/>
          <w:szCs w:val="28"/>
          <w:lang w:eastAsia="ar-SA"/>
        </w:rPr>
        <w:lastRenderedPageBreak/>
        <w:t>SOMMAIRE</w:t>
      </w:r>
      <w:bookmarkEnd w:id="1"/>
      <w:bookmarkEnd w:id="2"/>
      <w:bookmarkEnd w:id="3"/>
      <w:bookmarkEnd w:id="4"/>
      <w:bookmarkEnd w:id="5"/>
    </w:p>
    <w:p w14:paraId="23D49472" w14:textId="77777777" w:rsidR="00F80F70" w:rsidRDefault="00F80F70" w:rsidP="006403F8">
      <w:pPr>
        <w:pStyle w:val="Titre1"/>
      </w:pPr>
    </w:p>
    <w:p w14:paraId="2D4F9DC0" w14:textId="77777777" w:rsidR="000C3FA0" w:rsidRPr="000C3FA0" w:rsidRDefault="000C3FA0" w:rsidP="000C3FA0"/>
    <w:p w14:paraId="2EF9C801" w14:textId="6A9C9D3C" w:rsidR="0035638C" w:rsidRDefault="00F80F70">
      <w:pPr>
        <w:pStyle w:val="TM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864759">
        <w:rPr>
          <w:rStyle w:val="Lienhypertexte"/>
          <w:rFonts w:asciiTheme="minorHAnsi" w:hAnsiTheme="minorHAnsi" w:cstheme="minorHAnsi"/>
          <w:noProof/>
          <w:spacing w:val="40"/>
          <w:sz w:val="24"/>
          <w:szCs w:val="24"/>
          <w:lang w:eastAsia="ar-SA"/>
        </w:rPr>
        <w:fldChar w:fldCharType="begin"/>
      </w:r>
      <w:r w:rsidRPr="00864759">
        <w:rPr>
          <w:rStyle w:val="Lienhypertexte"/>
          <w:rFonts w:asciiTheme="minorHAnsi" w:hAnsiTheme="minorHAnsi" w:cstheme="minorHAnsi"/>
          <w:noProof/>
          <w:spacing w:val="40"/>
          <w:sz w:val="24"/>
          <w:szCs w:val="24"/>
          <w:lang w:eastAsia="ar-SA"/>
        </w:rPr>
        <w:instrText xml:space="preserve"> TOC \o "1-3" \h \z \u </w:instrText>
      </w:r>
      <w:r w:rsidRPr="00864759">
        <w:rPr>
          <w:rStyle w:val="Lienhypertexte"/>
          <w:rFonts w:asciiTheme="minorHAnsi" w:hAnsiTheme="minorHAnsi" w:cstheme="minorHAnsi"/>
          <w:noProof/>
          <w:spacing w:val="40"/>
          <w:sz w:val="24"/>
          <w:szCs w:val="24"/>
          <w:lang w:eastAsia="ar-SA"/>
        </w:rPr>
        <w:fldChar w:fldCharType="separate"/>
      </w:r>
      <w:hyperlink w:anchor="_Toc192842135" w:history="1">
        <w:r w:rsidR="0035638C" w:rsidRPr="00F066D9">
          <w:rPr>
            <w:rStyle w:val="Lienhypertexte"/>
            <w:noProof/>
          </w:rPr>
          <w:t>Tableau 1 : Suivi du terrain d’une enquête menée tout ou partie par des enquêteurs – un seul mode de recueil hétéro-administré contrôlé (téléphone ou face à face)</w:t>
        </w:r>
        <w:r w:rsidR="0035638C">
          <w:rPr>
            <w:noProof/>
            <w:webHidden/>
          </w:rPr>
          <w:tab/>
        </w:r>
        <w:r w:rsidR="0035638C">
          <w:rPr>
            <w:noProof/>
            <w:webHidden/>
          </w:rPr>
          <w:fldChar w:fldCharType="begin"/>
        </w:r>
        <w:r w:rsidR="0035638C">
          <w:rPr>
            <w:noProof/>
            <w:webHidden/>
          </w:rPr>
          <w:instrText xml:space="preserve"> PAGEREF _Toc192842135 \h </w:instrText>
        </w:r>
        <w:r w:rsidR="0035638C">
          <w:rPr>
            <w:noProof/>
            <w:webHidden/>
          </w:rPr>
        </w:r>
        <w:r w:rsidR="0035638C">
          <w:rPr>
            <w:noProof/>
            <w:webHidden/>
          </w:rPr>
          <w:fldChar w:fldCharType="separate"/>
        </w:r>
        <w:r w:rsidR="0035638C">
          <w:rPr>
            <w:noProof/>
            <w:webHidden/>
          </w:rPr>
          <w:t>3</w:t>
        </w:r>
        <w:r w:rsidR="0035638C">
          <w:rPr>
            <w:noProof/>
            <w:webHidden/>
          </w:rPr>
          <w:fldChar w:fldCharType="end"/>
        </w:r>
      </w:hyperlink>
    </w:p>
    <w:p w14:paraId="3F7A8895" w14:textId="76E929D8" w:rsidR="0035638C" w:rsidRDefault="00064C7A">
      <w:pPr>
        <w:pStyle w:val="TM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2842136" w:history="1">
        <w:r w:rsidR="0035638C" w:rsidRPr="00F066D9">
          <w:rPr>
            <w:rStyle w:val="Lienhypertexte"/>
            <w:noProof/>
          </w:rPr>
          <w:t>Tableau 2 : Suivi d’une enquête menée tout ou partie sans enquêteur - un seul mode de recueil auto-administré contrôlé (internet ou papier)</w:t>
        </w:r>
        <w:r w:rsidR="0035638C">
          <w:rPr>
            <w:noProof/>
            <w:webHidden/>
          </w:rPr>
          <w:tab/>
        </w:r>
        <w:r w:rsidR="0035638C">
          <w:rPr>
            <w:noProof/>
            <w:webHidden/>
          </w:rPr>
          <w:fldChar w:fldCharType="begin"/>
        </w:r>
        <w:r w:rsidR="0035638C">
          <w:rPr>
            <w:noProof/>
            <w:webHidden/>
          </w:rPr>
          <w:instrText xml:space="preserve"> PAGEREF _Toc192842136 \h </w:instrText>
        </w:r>
        <w:r w:rsidR="0035638C">
          <w:rPr>
            <w:noProof/>
            <w:webHidden/>
          </w:rPr>
        </w:r>
        <w:r w:rsidR="0035638C">
          <w:rPr>
            <w:noProof/>
            <w:webHidden/>
          </w:rPr>
          <w:fldChar w:fldCharType="separate"/>
        </w:r>
        <w:r w:rsidR="0035638C">
          <w:rPr>
            <w:noProof/>
            <w:webHidden/>
          </w:rPr>
          <w:t>4</w:t>
        </w:r>
        <w:r w:rsidR="0035638C">
          <w:rPr>
            <w:noProof/>
            <w:webHidden/>
          </w:rPr>
          <w:fldChar w:fldCharType="end"/>
        </w:r>
      </w:hyperlink>
    </w:p>
    <w:p w14:paraId="5AD69B23" w14:textId="61CD1CCF" w:rsidR="0035638C" w:rsidRDefault="00064C7A">
      <w:pPr>
        <w:pStyle w:val="TM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2842137" w:history="1">
        <w:r w:rsidR="0035638C" w:rsidRPr="00F066D9">
          <w:rPr>
            <w:rStyle w:val="Lienhypertexte"/>
            <w:noProof/>
          </w:rPr>
          <w:t>Tableau 3 : Suivi du terrain d’une enquête multimode (hétéro et/ou auto-administrée) – plusieurs modes de recueil contrôlés.</w:t>
        </w:r>
        <w:r w:rsidR="0035638C">
          <w:rPr>
            <w:noProof/>
            <w:webHidden/>
          </w:rPr>
          <w:tab/>
        </w:r>
        <w:r w:rsidR="0035638C">
          <w:rPr>
            <w:noProof/>
            <w:webHidden/>
          </w:rPr>
          <w:fldChar w:fldCharType="begin"/>
        </w:r>
        <w:r w:rsidR="0035638C">
          <w:rPr>
            <w:noProof/>
            <w:webHidden/>
          </w:rPr>
          <w:instrText xml:space="preserve"> PAGEREF _Toc192842137 \h </w:instrText>
        </w:r>
        <w:r w:rsidR="0035638C">
          <w:rPr>
            <w:noProof/>
            <w:webHidden/>
          </w:rPr>
        </w:r>
        <w:r w:rsidR="0035638C">
          <w:rPr>
            <w:noProof/>
            <w:webHidden/>
          </w:rPr>
          <w:fldChar w:fldCharType="separate"/>
        </w:r>
        <w:r w:rsidR="0035638C">
          <w:rPr>
            <w:noProof/>
            <w:webHidden/>
          </w:rPr>
          <w:t>5</w:t>
        </w:r>
        <w:r w:rsidR="0035638C">
          <w:rPr>
            <w:noProof/>
            <w:webHidden/>
          </w:rPr>
          <w:fldChar w:fldCharType="end"/>
        </w:r>
      </w:hyperlink>
    </w:p>
    <w:p w14:paraId="760A73D7" w14:textId="56C5D37B" w:rsidR="0035638C" w:rsidRDefault="00064C7A">
      <w:pPr>
        <w:pStyle w:val="TM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2842138" w:history="1">
        <w:r w:rsidR="0035638C" w:rsidRPr="00F066D9">
          <w:rPr>
            <w:rStyle w:val="Lienhypertexte"/>
            <w:noProof/>
          </w:rPr>
          <w:t>Tableau 4 : Suivi du terrain d’une enquête qualitative – entretiens de groupe en présentiel, entretiens individuels en face à face ou téléphoniques, étude d’observation sur site</w:t>
        </w:r>
        <w:r w:rsidR="0035638C">
          <w:rPr>
            <w:noProof/>
            <w:webHidden/>
          </w:rPr>
          <w:tab/>
        </w:r>
        <w:r w:rsidR="0035638C">
          <w:rPr>
            <w:noProof/>
            <w:webHidden/>
          </w:rPr>
          <w:fldChar w:fldCharType="begin"/>
        </w:r>
        <w:r w:rsidR="0035638C">
          <w:rPr>
            <w:noProof/>
            <w:webHidden/>
          </w:rPr>
          <w:instrText xml:space="preserve"> PAGEREF _Toc192842138 \h </w:instrText>
        </w:r>
        <w:r w:rsidR="0035638C">
          <w:rPr>
            <w:noProof/>
            <w:webHidden/>
          </w:rPr>
        </w:r>
        <w:r w:rsidR="0035638C">
          <w:rPr>
            <w:noProof/>
            <w:webHidden/>
          </w:rPr>
          <w:fldChar w:fldCharType="separate"/>
        </w:r>
        <w:r w:rsidR="0035638C">
          <w:rPr>
            <w:noProof/>
            <w:webHidden/>
          </w:rPr>
          <w:t>6</w:t>
        </w:r>
        <w:r w:rsidR="0035638C">
          <w:rPr>
            <w:noProof/>
            <w:webHidden/>
          </w:rPr>
          <w:fldChar w:fldCharType="end"/>
        </w:r>
      </w:hyperlink>
    </w:p>
    <w:p w14:paraId="0A0AEF0D" w14:textId="654B5828" w:rsidR="0035638C" w:rsidRDefault="00064C7A">
      <w:pPr>
        <w:pStyle w:val="TM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2842139" w:history="1">
        <w:r w:rsidR="0035638C" w:rsidRPr="00F066D9">
          <w:rPr>
            <w:rStyle w:val="Lienhypertexte"/>
            <w:noProof/>
          </w:rPr>
          <w:t>Frais supplémentaires</w:t>
        </w:r>
        <w:r w:rsidR="0035638C">
          <w:rPr>
            <w:noProof/>
            <w:webHidden/>
          </w:rPr>
          <w:tab/>
        </w:r>
        <w:r w:rsidR="0035638C">
          <w:rPr>
            <w:noProof/>
            <w:webHidden/>
          </w:rPr>
          <w:fldChar w:fldCharType="begin"/>
        </w:r>
        <w:r w:rsidR="0035638C">
          <w:rPr>
            <w:noProof/>
            <w:webHidden/>
          </w:rPr>
          <w:instrText xml:space="preserve"> PAGEREF _Toc192842139 \h </w:instrText>
        </w:r>
        <w:r w:rsidR="0035638C">
          <w:rPr>
            <w:noProof/>
            <w:webHidden/>
          </w:rPr>
        </w:r>
        <w:r w:rsidR="0035638C">
          <w:rPr>
            <w:noProof/>
            <w:webHidden/>
          </w:rPr>
          <w:fldChar w:fldCharType="separate"/>
        </w:r>
        <w:r w:rsidR="0035638C">
          <w:rPr>
            <w:noProof/>
            <w:webHidden/>
          </w:rPr>
          <w:t>6</w:t>
        </w:r>
        <w:r w:rsidR="0035638C">
          <w:rPr>
            <w:noProof/>
            <w:webHidden/>
          </w:rPr>
          <w:fldChar w:fldCharType="end"/>
        </w:r>
      </w:hyperlink>
    </w:p>
    <w:p w14:paraId="60818795" w14:textId="3A22FF3D" w:rsidR="0035638C" w:rsidRDefault="00064C7A">
      <w:pPr>
        <w:pStyle w:val="TM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2842140" w:history="1">
        <w:r w:rsidR="0035638C" w:rsidRPr="00F066D9">
          <w:rPr>
            <w:rStyle w:val="Lienhypertexte"/>
            <w:noProof/>
          </w:rPr>
          <w:t>Composition de l’équipe dédiée mise à disposition</w:t>
        </w:r>
        <w:r w:rsidR="0035638C">
          <w:rPr>
            <w:noProof/>
            <w:webHidden/>
          </w:rPr>
          <w:tab/>
        </w:r>
        <w:r w:rsidR="0035638C">
          <w:rPr>
            <w:noProof/>
            <w:webHidden/>
          </w:rPr>
          <w:fldChar w:fldCharType="begin"/>
        </w:r>
        <w:r w:rsidR="0035638C">
          <w:rPr>
            <w:noProof/>
            <w:webHidden/>
          </w:rPr>
          <w:instrText xml:space="preserve"> PAGEREF _Toc192842140 \h </w:instrText>
        </w:r>
        <w:r w:rsidR="0035638C">
          <w:rPr>
            <w:noProof/>
            <w:webHidden/>
          </w:rPr>
        </w:r>
        <w:r w:rsidR="0035638C">
          <w:rPr>
            <w:noProof/>
            <w:webHidden/>
          </w:rPr>
          <w:fldChar w:fldCharType="separate"/>
        </w:r>
        <w:r w:rsidR="0035638C">
          <w:rPr>
            <w:noProof/>
            <w:webHidden/>
          </w:rPr>
          <w:t>7</w:t>
        </w:r>
        <w:r w:rsidR="0035638C">
          <w:rPr>
            <w:noProof/>
            <w:webHidden/>
          </w:rPr>
          <w:fldChar w:fldCharType="end"/>
        </w:r>
      </w:hyperlink>
    </w:p>
    <w:p w14:paraId="4AC1ED44" w14:textId="6AD2AB12" w:rsidR="00E426B6" w:rsidRPr="004F3976" w:rsidRDefault="00F80F70" w:rsidP="006403F8">
      <w:pPr>
        <w:pStyle w:val="Titre1"/>
      </w:pPr>
      <w:r w:rsidRPr="00864759">
        <w:rPr>
          <w:rStyle w:val="Lienhypertexte"/>
          <w:rFonts w:asciiTheme="minorHAnsi" w:hAnsiTheme="minorHAnsi" w:cstheme="minorHAnsi"/>
          <w:b w:val="0"/>
          <w:noProof/>
          <w:spacing w:val="40"/>
          <w:lang w:eastAsia="ar-SA"/>
        </w:rPr>
        <w:fldChar w:fldCharType="end"/>
      </w:r>
      <w:r w:rsidRPr="004F3976">
        <w:br w:type="page"/>
      </w:r>
    </w:p>
    <w:p w14:paraId="0CB813D0" w14:textId="03B0FFE6" w:rsidR="004C11B6" w:rsidRPr="000C3FA0" w:rsidRDefault="004C11B6" w:rsidP="006403F8">
      <w:pPr>
        <w:pStyle w:val="Titre1"/>
      </w:pPr>
      <w:bookmarkStart w:id="6" w:name="_Toc192842135"/>
      <w:r w:rsidRPr="000C3FA0">
        <w:lastRenderedPageBreak/>
        <w:t xml:space="preserve">Tableau </w:t>
      </w:r>
      <w:r w:rsidR="00E426B6" w:rsidRPr="000C3FA0">
        <w:t>1 : S</w:t>
      </w:r>
      <w:r w:rsidRPr="000C3FA0">
        <w:t>uivi d</w:t>
      </w:r>
      <w:r w:rsidR="00824460" w:rsidRPr="000C3FA0">
        <w:t xml:space="preserve">u </w:t>
      </w:r>
      <w:r w:rsidRPr="000C3FA0">
        <w:t>terrain d’une enquête</w:t>
      </w:r>
      <w:r w:rsidR="00B14EA8">
        <w:t xml:space="preserve"> menée</w:t>
      </w:r>
      <w:r w:rsidR="001C5DFB">
        <w:t xml:space="preserve"> </w:t>
      </w:r>
      <w:r w:rsidR="00B14EA8">
        <w:t xml:space="preserve">tout ou </w:t>
      </w:r>
      <w:r w:rsidR="001C5DFB">
        <w:t xml:space="preserve">partie </w:t>
      </w:r>
      <w:r w:rsidR="00B14EA8">
        <w:t xml:space="preserve">par des enquêteurs </w:t>
      </w:r>
      <w:r w:rsidR="007A5D1E">
        <w:t>– un seul mode de recueil</w:t>
      </w:r>
      <w:r w:rsidR="00B14EA8">
        <w:t xml:space="preserve"> hétéro-administré</w:t>
      </w:r>
      <w:r w:rsidR="007A5D1E">
        <w:t xml:space="preserve"> </w:t>
      </w:r>
      <w:r w:rsidR="0035638C">
        <w:t>contrôlé</w:t>
      </w:r>
      <w:r w:rsidR="007A5D1E">
        <w:t xml:space="preserve"> (t</w:t>
      </w:r>
      <w:r w:rsidR="007A5D1E" w:rsidRPr="001A48CC">
        <w:t>éléphone ou face à face)</w:t>
      </w:r>
      <w:bookmarkEnd w:id="6"/>
    </w:p>
    <w:p w14:paraId="0CDCB854" w14:textId="2B3BAF2A" w:rsidR="004C11B6" w:rsidRDefault="004C11B6" w:rsidP="004C11B6">
      <w:pPr>
        <w:rPr>
          <w:rFonts w:ascii="Arial Narrow" w:hAnsi="Arial Narrow"/>
          <w:sz w:val="24"/>
          <w:szCs w:val="24"/>
        </w:rPr>
      </w:pPr>
    </w:p>
    <w:p w14:paraId="2BBBA90A" w14:textId="77777777" w:rsidR="00BA1494" w:rsidRPr="00F80F70" w:rsidRDefault="00BA1494" w:rsidP="004C11B6">
      <w:pPr>
        <w:rPr>
          <w:rFonts w:ascii="Arial Narrow" w:hAnsi="Arial Narrow"/>
          <w:sz w:val="24"/>
          <w:szCs w:val="24"/>
        </w:rPr>
      </w:pPr>
    </w:p>
    <w:tbl>
      <w:tblPr>
        <w:tblW w:w="32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4"/>
        <w:gridCol w:w="1552"/>
      </w:tblGrid>
      <w:tr w:rsidR="007A5D1E" w:rsidRPr="00F80F70" w14:paraId="514CB5A9" w14:textId="73866DE1" w:rsidTr="007A5D1E">
        <w:tc>
          <w:tcPr>
            <w:tcW w:w="3699" w:type="pct"/>
            <w:shd w:val="clear" w:color="auto" w:fill="auto"/>
          </w:tcPr>
          <w:p w14:paraId="580BC350" w14:textId="77777777" w:rsidR="007A5D1E" w:rsidRPr="00F80F70" w:rsidRDefault="007A5D1E" w:rsidP="003A0F1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01" w:type="pct"/>
          </w:tcPr>
          <w:p w14:paraId="730387DE" w14:textId="4CF8C3E0" w:rsidR="007A5D1E" w:rsidRPr="00F80F70" w:rsidRDefault="00BA1494" w:rsidP="001C5DF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€ HT</w:t>
            </w:r>
          </w:p>
        </w:tc>
      </w:tr>
      <w:tr w:rsidR="007A5D1E" w:rsidRPr="00F80F70" w14:paraId="7A59E45A" w14:textId="2D4742AE" w:rsidTr="007A5D1E">
        <w:tc>
          <w:tcPr>
            <w:tcW w:w="3699" w:type="pct"/>
            <w:shd w:val="clear" w:color="auto" w:fill="auto"/>
          </w:tcPr>
          <w:p w14:paraId="160DD6D2" w14:textId="2251C2AA" w:rsidR="007A5D1E" w:rsidRPr="00F80F70" w:rsidRDefault="007A5D1E" w:rsidP="00BA1494">
            <w:pPr>
              <w:rPr>
                <w:rFonts w:ascii="Arial Narrow" w:hAnsi="Arial Narrow"/>
                <w:sz w:val="24"/>
                <w:szCs w:val="24"/>
              </w:rPr>
            </w:pPr>
            <w:r w:rsidRPr="007546B1">
              <w:rPr>
                <w:rFonts w:ascii="Arial Narrow" w:hAnsi="Arial Narrow"/>
                <w:sz w:val="24"/>
                <w:szCs w:val="24"/>
              </w:rPr>
              <w:t>Organisation du projet de suivi</w:t>
            </w:r>
            <w:r>
              <w:rPr>
                <w:rFonts w:ascii="Arial Narrow" w:hAnsi="Arial Narrow"/>
                <w:sz w:val="24"/>
                <w:szCs w:val="24"/>
              </w:rPr>
              <w:t xml:space="preserve"> : </w:t>
            </w:r>
            <w:r w:rsidRPr="007546B1">
              <w:rPr>
                <w:rFonts w:ascii="Arial Narrow" w:hAnsi="Arial Narrow"/>
                <w:sz w:val="24"/>
                <w:szCs w:val="24"/>
              </w:rPr>
              <w:t xml:space="preserve">lancement, planification, prise de connaissance des documents, préconisations d’améliorations et actions correctives </w:t>
            </w:r>
            <w:r>
              <w:rPr>
                <w:rFonts w:ascii="Arial Narrow" w:hAnsi="Arial Narrow"/>
                <w:sz w:val="24"/>
                <w:szCs w:val="24"/>
              </w:rPr>
              <w:t>sur le dispositif et/ou le questionnaire (prix forfaitaire)</w:t>
            </w:r>
            <w:r w:rsidR="00DA1983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1301" w:type="pct"/>
          </w:tcPr>
          <w:p w14:paraId="2BF6F29C" w14:textId="77777777" w:rsidR="007A5D1E" w:rsidRPr="00F80F70" w:rsidRDefault="007A5D1E" w:rsidP="003A0F1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A5D1E" w:rsidRPr="00F80F70" w14:paraId="461FA822" w14:textId="243364BC" w:rsidTr="007A5D1E">
        <w:tc>
          <w:tcPr>
            <w:tcW w:w="3699" w:type="pct"/>
            <w:shd w:val="clear" w:color="auto" w:fill="auto"/>
          </w:tcPr>
          <w:p w14:paraId="78E2EA02" w14:textId="710821CB" w:rsidR="007A5D1E" w:rsidRPr="004D2EF1" w:rsidRDefault="007A5D1E" w:rsidP="00E06230">
            <w:pPr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7546B1">
              <w:rPr>
                <w:rFonts w:ascii="Arial Narrow" w:hAnsi="Arial Narrow"/>
                <w:sz w:val="24"/>
                <w:szCs w:val="24"/>
              </w:rPr>
              <w:t>Suivi du projet  (participation aux réunions de suivi, écha</w:t>
            </w:r>
            <w:r w:rsidR="00E06230">
              <w:rPr>
                <w:rFonts w:ascii="Arial Narrow" w:hAnsi="Arial Narrow"/>
                <w:sz w:val="24"/>
                <w:szCs w:val="24"/>
              </w:rPr>
              <w:t>nges sur les rapports d’écoutes</w:t>
            </w:r>
            <w:r w:rsidRPr="007546B1">
              <w:rPr>
                <w:rFonts w:ascii="Arial Narrow" w:hAnsi="Arial Narrow"/>
                <w:sz w:val="24"/>
                <w:szCs w:val="24"/>
              </w:rPr>
              <w:t>…) (prix par mois de terrain suivi)</w:t>
            </w:r>
            <w:r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1301" w:type="pct"/>
          </w:tcPr>
          <w:p w14:paraId="34384843" w14:textId="66E19AC6" w:rsidR="007A5D1E" w:rsidRPr="00F80F70" w:rsidRDefault="007A5D1E" w:rsidP="003A0F1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A5D1E" w:rsidRPr="00F80F70" w14:paraId="7588CB9E" w14:textId="07643567" w:rsidTr="007A5D1E">
        <w:tc>
          <w:tcPr>
            <w:tcW w:w="3699" w:type="pct"/>
            <w:shd w:val="clear" w:color="auto" w:fill="auto"/>
          </w:tcPr>
          <w:p w14:paraId="73468E7B" w14:textId="14C9C845" w:rsidR="007A5D1E" w:rsidRPr="00F80F70" w:rsidRDefault="007A5D1E" w:rsidP="00BA149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Rapport final sur le terrain surveillé : </w:t>
            </w:r>
            <w:r w:rsidRPr="00F80F70">
              <w:rPr>
                <w:rFonts w:ascii="Arial Narrow" w:hAnsi="Arial Narrow"/>
                <w:sz w:val="24"/>
                <w:szCs w:val="24"/>
              </w:rPr>
              <w:t>Synthèse et restitution du suivi du terrain</w:t>
            </w:r>
            <w:r>
              <w:rPr>
                <w:rFonts w:ascii="Arial Narrow" w:hAnsi="Arial Narrow"/>
                <w:sz w:val="24"/>
                <w:szCs w:val="24"/>
              </w:rPr>
              <w:t>, suivi du débriefing avec les enquêteurs, incluant le cas échéant l’analyse de fichiers annexes (consommation des adresses, durées moyennes des entretiens par enquêteurs…) fournis par l’institut audité. (prix forfaitaire)</w:t>
            </w:r>
          </w:p>
        </w:tc>
        <w:tc>
          <w:tcPr>
            <w:tcW w:w="1301" w:type="pct"/>
          </w:tcPr>
          <w:p w14:paraId="74D4F54C" w14:textId="77777777" w:rsidR="007A5D1E" w:rsidRPr="00F80F70" w:rsidRDefault="007A5D1E" w:rsidP="003A0F1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1AAC7C5E" w14:textId="74D2BDE7" w:rsidR="00E426B6" w:rsidRDefault="00E426B6" w:rsidP="00FE1064">
      <w:pPr>
        <w:rPr>
          <w:rFonts w:ascii="Arial Narrow" w:hAnsi="Arial Narrow"/>
          <w:sz w:val="24"/>
          <w:szCs w:val="24"/>
        </w:rPr>
      </w:pPr>
    </w:p>
    <w:p w14:paraId="53CC32E4" w14:textId="77777777" w:rsidR="00BA1494" w:rsidRDefault="00BA1494" w:rsidP="00FE1064">
      <w:pPr>
        <w:rPr>
          <w:rFonts w:ascii="Arial Narrow" w:hAnsi="Arial Narrow"/>
          <w:sz w:val="24"/>
          <w:szCs w:val="24"/>
        </w:rPr>
      </w:pPr>
    </w:p>
    <w:p w14:paraId="723DF78A" w14:textId="77777777" w:rsidR="00BA1494" w:rsidRPr="00F80F70" w:rsidRDefault="00BA1494" w:rsidP="00FE1064">
      <w:pPr>
        <w:rPr>
          <w:rFonts w:ascii="Arial Narrow" w:hAnsi="Arial Narrow"/>
          <w:sz w:val="24"/>
          <w:szCs w:val="24"/>
        </w:rPr>
      </w:pPr>
    </w:p>
    <w:tbl>
      <w:tblPr>
        <w:tblW w:w="44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6"/>
        <w:gridCol w:w="1202"/>
        <w:gridCol w:w="1133"/>
      </w:tblGrid>
      <w:tr w:rsidR="007459BF" w:rsidRPr="00F80F70" w14:paraId="4ABE68A1" w14:textId="77777777" w:rsidTr="00202FDC">
        <w:tc>
          <w:tcPr>
            <w:tcW w:w="3566" w:type="pct"/>
            <w:vMerge w:val="restart"/>
            <w:shd w:val="clear" w:color="auto" w:fill="auto"/>
          </w:tcPr>
          <w:p w14:paraId="662BF385" w14:textId="77777777" w:rsidR="007459BF" w:rsidRPr="00F80F70" w:rsidRDefault="007459BF" w:rsidP="0055629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34" w:type="pct"/>
            <w:gridSpan w:val="2"/>
            <w:shd w:val="clear" w:color="auto" w:fill="auto"/>
          </w:tcPr>
          <w:p w14:paraId="3F2A1932" w14:textId="23E8979A" w:rsidR="0087706C" w:rsidRDefault="007459BF" w:rsidP="0087706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Par personne</w:t>
            </w:r>
            <w:r w:rsidR="0087706C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 xml:space="preserve">chargée du </w:t>
            </w:r>
            <w:r w:rsidR="00554507">
              <w:rPr>
                <w:rFonts w:ascii="Arial Narrow" w:hAnsi="Arial Narrow"/>
                <w:sz w:val="24"/>
                <w:szCs w:val="24"/>
              </w:rPr>
              <w:t>contrôle</w:t>
            </w:r>
            <w:r w:rsidR="0087706C">
              <w:rPr>
                <w:rFonts w:ascii="Arial Narrow" w:hAnsi="Arial Narrow"/>
                <w:sz w:val="24"/>
                <w:szCs w:val="24"/>
              </w:rPr>
              <w:t xml:space="preserve">** </w:t>
            </w:r>
          </w:p>
          <w:p w14:paraId="4D1571DF" w14:textId="77777777" w:rsidR="007459BF" w:rsidRPr="00F80F70" w:rsidRDefault="0087706C" w:rsidP="0087706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€ HT</w:t>
            </w:r>
          </w:p>
        </w:tc>
      </w:tr>
      <w:tr w:rsidR="007459BF" w:rsidRPr="00F80F70" w14:paraId="2FE397DA" w14:textId="77777777" w:rsidTr="00202FDC">
        <w:tc>
          <w:tcPr>
            <w:tcW w:w="3566" w:type="pct"/>
            <w:vMerge/>
            <w:shd w:val="clear" w:color="auto" w:fill="auto"/>
          </w:tcPr>
          <w:p w14:paraId="05C0C28E" w14:textId="77777777" w:rsidR="007459BF" w:rsidRPr="00F80F70" w:rsidRDefault="007459BF" w:rsidP="0055629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auto"/>
          </w:tcPr>
          <w:p w14:paraId="4EF481CD" w14:textId="77777777" w:rsidR="007459BF" w:rsidRPr="00F80F70" w:rsidRDefault="007459BF" w:rsidP="0087706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½ journée</w:t>
            </w:r>
          </w:p>
        </w:tc>
        <w:tc>
          <w:tcPr>
            <w:tcW w:w="696" w:type="pct"/>
            <w:shd w:val="clear" w:color="auto" w:fill="auto"/>
          </w:tcPr>
          <w:p w14:paraId="15246280" w14:textId="77777777" w:rsidR="007459BF" w:rsidRPr="00F80F70" w:rsidRDefault="007459BF" w:rsidP="0087706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journée</w:t>
            </w:r>
          </w:p>
        </w:tc>
      </w:tr>
      <w:tr w:rsidR="00EE543E" w:rsidRPr="00F80F70" w14:paraId="3486A3A6" w14:textId="77777777" w:rsidTr="00202FDC">
        <w:tc>
          <w:tcPr>
            <w:tcW w:w="3566" w:type="pct"/>
            <w:shd w:val="clear" w:color="auto" w:fill="auto"/>
          </w:tcPr>
          <w:p w14:paraId="49454762" w14:textId="07DBEDE8" w:rsidR="00EE543E" w:rsidRDefault="00EE543E" w:rsidP="0055629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Fo</w:t>
            </w:r>
            <w:r w:rsidR="00BC2338">
              <w:rPr>
                <w:rFonts w:ascii="Arial Narrow" w:hAnsi="Arial Narrow"/>
                <w:sz w:val="24"/>
                <w:szCs w:val="24"/>
              </w:rPr>
              <w:t>rmation des enquêteurs in situ</w:t>
            </w:r>
            <w:r>
              <w:rPr>
                <w:rFonts w:ascii="Arial Narrow" w:hAnsi="Arial Narrow"/>
                <w:sz w:val="24"/>
                <w:szCs w:val="24"/>
              </w:rPr>
              <w:t>* ou à distance</w:t>
            </w:r>
          </w:p>
          <w:p w14:paraId="01D0557E" w14:textId="0FE6F302" w:rsidR="00EE543E" w:rsidRDefault="00EE543E" w:rsidP="00BA149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(</w:t>
            </w:r>
            <w:r w:rsidR="00BA1494">
              <w:rPr>
                <w:rFonts w:ascii="Arial Narrow" w:hAnsi="Arial Narrow"/>
                <w:sz w:val="24"/>
                <w:szCs w:val="24"/>
              </w:rPr>
              <w:t>p</w:t>
            </w:r>
            <w:r>
              <w:rPr>
                <w:rFonts w:ascii="Arial Narrow" w:hAnsi="Arial Narrow"/>
                <w:sz w:val="24"/>
                <w:szCs w:val="24"/>
              </w:rPr>
              <w:t>articipation aux séances de formation, intervention le cas échéant, édition d’un compte rendu dans les 10 jours suivants)</w:t>
            </w:r>
            <w:r w:rsidR="007546B1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738" w:type="pct"/>
            <w:shd w:val="clear" w:color="auto" w:fill="auto"/>
          </w:tcPr>
          <w:p w14:paraId="306C82EA" w14:textId="77777777" w:rsidR="00EE543E" w:rsidRPr="00F80F70" w:rsidRDefault="00EE543E" w:rsidP="005562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96" w:type="pct"/>
            <w:shd w:val="clear" w:color="auto" w:fill="auto"/>
          </w:tcPr>
          <w:p w14:paraId="4DE71111" w14:textId="77777777" w:rsidR="00EE543E" w:rsidRPr="00F80F70" w:rsidRDefault="00EE543E" w:rsidP="005562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459BF" w:rsidRPr="00F80F70" w14:paraId="717D45EC" w14:textId="77777777" w:rsidTr="00202FDC">
        <w:tc>
          <w:tcPr>
            <w:tcW w:w="3566" w:type="pct"/>
            <w:shd w:val="clear" w:color="auto" w:fill="auto"/>
          </w:tcPr>
          <w:p w14:paraId="2C40F56B" w14:textId="79DDF8EC" w:rsidR="007459BF" w:rsidRDefault="007459BF" w:rsidP="0055629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Suivi de terrain in situ</w:t>
            </w:r>
            <w:r w:rsidR="0087706C">
              <w:rPr>
                <w:rFonts w:ascii="Arial Narrow" w:hAnsi="Arial Narrow"/>
                <w:sz w:val="24"/>
                <w:szCs w:val="24"/>
              </w:rPr>
              <w:t>*</w:t>
            </w:r>
            <w:r w:rsidR="00BC7E59">
              <w:rPr>
                <w:rFonts w:ascii="Arial Narrow" w:hAnsi="Arial Narrow"/>
                <w:sz w:val="24"/>
                <w:szCs w:val="24"/>
              </w:rPr>
              <w:t xml:space="preserve"> ou </w:t>
            </w:r>
            <w:r w:rsidR="00916DE4">
              <w:rPr>
                <w:rFonts w:ascii="Arial Narrow" w:hAnsi="Arial Narrow"/>
                <w:sz w:val="24"/>
                <w:szCs w:val="24"/>
              </w:rPr>
              <w:t xml:space="preserve">à distance </w:t>
            </w:r>
          </w:p>
          <w:p w14:paraId="3822C7B1" w14:textId="395EC43B" w:rsidR="007459BF" w:rsidRPr="00F80F70" w:rsidRDefault="007459BF" w:rsidP="00BA149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(écoute </w:t>
            </w:r>
            <w:r w:rsidR="0087706C">
              <w:rPr>
                <w:rFonts w:ascii="Arial Narrow" w:hAnsi="Arial Narrow"/>
                <w:sz w:val="24"/>
                <w:szCs w:val="24"/>
              </w:rPr>
              <w:t>des enquêteurs, suivi</w:t>
            </w:r>
            <w:r>
              <w:rPr>
                <w:rFonts w:ascii="Arial Narrow" w:hAnsi="Arial Narrow"/>
                <w:sz w:val="24"/>
                <w:szCs w:val="24"/>
              </w:rPr>
              <w:t xml:space="preserve"> de la qualité et de conformité des entretiens téléphoniques</w:t>
            </w:r>
            <w:r w:rsidR="00AA1E9B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="00AA1E9B" w:rsidRPr="00AE0044">
              <w:rPr>
                <w:rFonts w:ascii="Arial Narrow" w:hAnsi="Arial Narrow"/>
                <w:sz w:val="24"/>
                <w:szCs w:val="24"/>
              </w:rPr>
              <w:t>vérification de la durée de l’entretien</w:t>
            </w:r>
            <w:r w:rsidR="00A92EB2" w:rsidRPr="00AE0044">
              <w:rPr>
                <w:rFonts w:ascii="Arial Narrow" w:hAnsi="Arial Narrow"/>
                <w:sz w:val="24"/>
                <w:szCs w:val="24"/>
              </w:rPr>
              <w:t>, suivi du taux de refus global</w:t>
            </w:r>
            <w:r w:rsidR="00A92EB2" w:rsidRPr="00ED315E">
              <w:rPr>
                <w:rFonts w:ascii="Arial Narrow" w:hAnsi="Arial Narrow"/>
                <w:sz w:val="24"/>
                <w:szCs w:val="24"/>
              </w:rPr>
              <w:t xml:space="preserve"> ou par enquêteur </w:t>
            </w:r>
            <w:r w:rsidR="00BA1494">
              <w:rPr>
                <w:rFonts w:ascii="Arial Narrow" w:hAnsi="Arial Narrow"/>
                <w:sz w:val="24"/>
                <w:szCs w:val="24"/>
              </w:rPr>
              <w:t xml:space="preserve">pour une </w:t>
            </w:r>
            <w:r w:rsidR="00A92EB2" w:rsidRPr="00ED315E">
              <w:rPr>
                <w:rFonts w:ascii="Arial Narrow" w:hAnsi="Arial Narrow"/>
                <w:sz w:val="24"/>
                <w:szCs w:val="24"/>
              </w:rPr>
              <w:t>enquête aléatoire,</w:t>
            </w:r>
            <w:r>
              <w:rPr>
                <w:rFonts w:ascii="Arial Narrow" w:hAnsi="Arial Narrow"/>
                <w:sz w:val="24"/>
                <w:szCs w:val="24"/>
              </w:rPr>
              <w:t xml:space="preserve"> édition d’un rapport d’écoute</w:t>
            </w:r>
            <w:r w:rsidR="0087706C">
              <w:rPr>
                <w:rFonts w:ascii="Arial Narrow" w:hAnsi="Arial Narrow"/>
                <w:sz w:val="24"/>
                <w:szCs w:val="24"/>
              </w:rPr>
              <w:t xml:space="preserve"> dans les 24</w:t>
            </w:r>
            <w:r w:rsidR="00BA1494">
              <w:rPr>
                <w:rFonts w:ascii="Arial Narrow" w:hAnsi="Arial Narrow"/>
                <w:sz w:val="24"/>
                <w:szCs w:val="24"/>
              </w:rPr>
              <w:t>h</w:t>
            </w:r>
            <w:r w:rsidR="0087706C">
              <w:rPr>
                <w:rFonts w:ascii="Arial Narrow" w:hAnsi="Arial Narrow"/>
                <w:sz w:val="24"/>
                <w:szCs w:val="24"/>
              </w:rPr>
              <w:t xml:space="preserve"> après l’écoute</w:t>
            </w:r>
            <w:r w:rsidR="007546B1">
              <w:rPr>
                <w:rFonts w:ascii="Arial Narrow" w:hAnsi="Arial Narrow"/>
                <w:sz w:val="24"/>
                <w:szCs w:val="24"/>
              </w:rPr>
              <w:t>).</w:t>
            </w:r>
          </w:p>
        </w:tc>
        <w:tc>
          <w:tcPr>
            <w:tcW w:w="738" w:type="pct"/>
            <w:shd w:val="clear" w:color="auto" w:fill="auto"/>
          </w:tcPr>
          <w:p w14:paraId="2953B4E2" w14:textId="77777777" w:rsidR="007459BF" w:rsidRPr="00F80F70" w:rsidRDefault="007459BF" w:rsidP="005562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96" w:type="pct"/>
            <w:shd w:val="clear" w:color="auto" w:fill="auto"/>
          </w:tcPr>
          <w:p w14:paraId="0B4F04F1" w14:textId="77777777" w:rsidR="007459BF" w:rsidRPr="00F80F70" w:rsidRDefault="007459BF" w:rsidP="005562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54507" w:rsidRPr="00F80F70" w14:paraId="74A461C5" w14:textId="77777777" w:rsidTr="00202FDC">
        <w:tc>
          <w:tcPr>
            <w:tcW w:w="3566" w:type="pct"/>
            <w:shd w:val="clear" w:color="auto" w:fill="auto"/>
          </w:tcPr>
          <w:p w14:paraId="6C2F5619" w14:textId="56A4ACEB" w:rsidR="00554507" w:rsidRDefault="00554507" w:rsidP="001A48C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Suivi de la conformité de la mise en œuvre du protocole, dont calendriers et contenus des matériels d’enqu</w:t>
            </w:r>
            <w:r w:rsidR="009633E3">
              <w:rPr>
                <w:rFonts w:ascii="Arial Narrow" w:hAnsi="Arial Narrow"/>
                <w:sz w:val="24"/>
                <w:szCs w:val="24"/>
              </w:rPr>
              <w:t>ête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7546B1">
              <w:rPr>
                <w:rFonts w:ascii="Arial Narrow" w:hAnsi="Arial Narrow"/>
                <w:sz w:val="24"/>
                <w:szCs w:val="24"/>
              </w:rPr>
              <w:t>(</w:t>
            </w:r>
            <w:r>
              <w:rPr>
                <w:rFonts w:ascii="Arial Narrow" w:hAnsi="Arial Narrow"/>
                <w:sz w:val="24"/>
                <w:szCs w:val="24"/>
              </w:rPr>
              <w:t>tels que questionnaires, courrier, site internet</w:t>
            </w:r>
            <w:r w:rsidR="007546B1">
              <w:rPr>
                <w:rFonts w:ascii="Arial Narrow" w:hAnsi="Arial Narrow"/>
                <w:sz w:val="24"/>
                <w:szCs w:val="24"/>
              </w:rPr>
              <w:t xml:space="preserve">) ; </w:t>
            </w:r>
            <w:r w:rsidR="00E66DFD">
              <w:rPr>
                <w:rFonts w:ascii="Arial Narrow" w:hAnsi="Arial Narrow"/>
                <w:sz w:val="24"/>
                <w:szCs w:val="24"/>
              </w:rPr>
              <w:t>inclut</w:t>
            </w:r>
            <w:r w:rsidR="001A48CC">
              <w:rPr>
                <w:rFonts w:ascii="Arial Narrow" w:hAnsi="Arial Narrow"/>
                <w:sz w:val="24"/>
                <w:szCs w:val="24"/>
              </w:rPr>
              <w:t xml:space="preserve"> le</w:t>
            </w:r>
            <w:r w:rsidR="00E66DFD">
              <w:rPr>
                <w:rFonts w:ascii="Arial Narrow" w:hAnsi="Arial Narrow"/>
                <w:sz w:val="24"/>
                <w:szCs w:val="24"/>
              </w:rPr>
              <w:t xml:space="preserve"> bilan de ce suivi</w:t>
            </w:r>
            <w:r w:rsidR="007546B1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738" w:type="pct"/>
            <w:shd w:val="clear" w:color="auto" w:fill="auto"/>
          </w:tcPr>
          <w:p w14:paraId="6F06ED2C" w14:textId="77777777" w:rsidR="00554507" w:rsidRPr="00F80F70" w:rsidRDefault="00554507" w:rsidP="005562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96" w:type="pct"/>
            <w:shd w:val="clear" w:color="auto" w:fill="auto"/>
          </w:tcPr>
          <w:p w14:paraId="77C5A6FE" w14:textId="77777777" w:rsidR="00554507" w:rsidRPr="00F80F70" w:rsidRDefault="00554507" w:rsidP="005562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54507" w:rsidRPr="00F80F70" w14:paraId="29342003" w14:textId="77777777" w:rsidTr="00202FDC">
        <w:tc>
          <w:tcPr>
            <w:tcW w:w="3566" w:type="pct"/>
            <w:shd w:val="clear" w:color="auto" w:fill="auto"/>
          </w:tcPr>
          <w:p w14:paraId="1E355915" w14:textId="5D3C2375" w:rsidR="00554507" w:rsidRDefault="00554507" w:rsidP="00202FD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Contrôle de la conformité des bases de données transmises (données d</w:t>
            </w:r>
            <w:r w:rsidR="00181E0F">
              <w:rPr>
                <w:rFonts w:ascii="Arial Narrow" w:hAnsi="Arial Narrow"/>
                <w:sz w:val="24"/>
                <w:szCs w:val="24"/>
              </w:rPr>
              <w:t>es</w:t>
            </w:r>
            <w:r>
              <w:rPr>
                <w:rFonts w:ascii="Arial Narrow" w:hAnsi="Arial Narrow"/>
                <w:sz w:val="24"/>
                <w:szCs w:val="24"/>
              </w:rPr>
              <w:t xml:space="preserve"> questionnaires, de suivi de l’enquête…)</w:t>
            </w:r>
            <w:r w:rsidR="00BA1494">
              <w:rPr>
                <w:rFonts w:ascii="Arial Narrow" w:hAnsi="Arial Narrow"/>
                <w:sz w:val="24"/>
                <w:szCs w:val="24"/>
              </w:rPr>
              <w:t> ;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1A48CC">
              <w:rPr>
                <w:rFonts w:ascii="Arial Narrow" w:hAnsi="Arial Narrow"/>
                <w:sz w:val="24"/>
                <w:szCs w:val="24"/>
              </w:rPr>
              <w:t xml:space="preserve">inclut </w:t>
            </w:r>
            <w:r w:rsidR="00E66DFD">
              <w:rPr>
                <w:rFonts w:ascii="Arial Narrow" w:hAnsi="Arial Narrow"/>
                <w:sz w:val="24"/>
                <w:szCs w:val="24"/>
              </w:rPr>
              <w:t xml:space="preserve">le bilan de ce </w:t>
            </w:r>
            <w:r w:rsidR="00202FDC">
              <w:rPr>
                <w:rFonts w:ascii="Arial Narrow" w:hAnsi="Arial Narrow"/>
                <w:sz w:val="24"/>
                <w:szCs w:val="24"/>
              </w:rPr>
              <w:t>contrôle</w:t>
            </w:r>
            <w:r w:rsidR="007546B1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738" w:type="pct"/>
            <w:shd w:val="clear" w:color="auto" w:fill="auto"/>
          </w:tcPr>
          <w:p w14:paraId="7FA7319F" w14:textId="77777777" w:rsidR="00554507" w:rsidRPr="00F80F70" w:rsidRDefault="00554507" w:rsidP="005562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96" w:type="pct"/>
            <w:shd w:val="clear" w:color="auto" w:fill="auto"/>
          </w:tcPr>
          <w:p w14:paraId="4C27AD67" w14:textId="77777777" w:rsidR="00554507" w:rsidRPr="00F80F70" w:rsidRDefault="00554507" w:rsidP="005562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3BABE135" w14:textId="44DB5A34" w:rsidR="0087706C" w:rsidRDefault="00E426B6" w:rsidP="00AE0044">
      <w:pPr>
        <w:rPr>
          <w:rFonts w:ascii="Arial Narrow" w:hAnsi="Arial Narrow"/>
        </w:rPr>
      </w:pPr>
      <w:bookmarkStart w:id="7" w:name="_Toc473111207"/>
      <w:r w:rsidRPr="00181E0F">
        <w:rPr>
          <w:rFonts w:ascii="Arial Narrow" w:hAnsi="Arial Narrow"/>
        </w:rPr>
        <w:t xml:space="preserve">* </w:t>
      </w:r>
      <w:r w:rsidR="00E44F92" w:rsidRPr="00181E0F">
        <w:rPr>
          <w:rFonts w:ascii="Arial Narrow" w:hAnsi="Arial Narrow"/>
        </w:rPr>
        <w:t>Hors</w:t>
      </w:r>
      <w:r w:rsidRPr="00181E0F">
        <w:rPr>
          <w:rFonts w:ascii="Arial Narrow" w:hAnsi="Arial Narrow"/>
        </w:rPr>
        <w:t xml:space="preserve"> frais de déplacement</w:t>
      </w:r>
      <w:bookmarkEnd w:id="7"/>
      <w:r w:rsidR="004A1491" w:rsidRPr="00181E0F">
        <w:rPr>
          <w:rFonts w:ascii="Arial Narrow" w:hAnsi="Arial Narrow"/>
        </w:rPr>
        <w:t>. Les frais de restauration sont compris dans les prix indiqués</w:t>
      </w:r>
      <w:r w:rsidR="007A7B87">
        <w:rPr>
          <w:rFonts w:ascii="Arial Narrow" w:hAnsi="Arial Narrow"/>
        </w:rPr>
        <w:t xml:space="preserve">. </w:t>
      </w:r>
      <w:r w:rsidR="007A7B87" w:rsidRPr="007B444C">
        <w:rPr>
          <w:rFonts w:ascii="Arial Narrow" w:hAnsi="Arial Narrow"/>
        </w:rPr>
        <w:t xml:space="preserve">Les temps de déplacements </w:t>
      </w:r>
      <w:r w:rsidR="007B444C" w:rsidRPr="007B444C">
        <w:rPr>
          <w:rFonts w:ascii="Arial Narrow" w:hAnsi="Arial Narrow"/>
        </w:rPr>
        <w:t xml:space="preserve">sur les terrains d’enquête </w:t>
      </w:r>
      <w:r w:rsidR="007A7B87" w:rsidRPr="007B444C">
        <w:rPr>
          <w:rFonts w:ascii="Arial Narrow" w:hAnsi="Arial Narrow"/>
        </w:rPr>
        <w:t xml:space="preserve">seront comptabilisés </w:t>
      </w:r>
      <w:r w:rsidR="00121368" w:rsidRPr="007B444C">
        <w:rPr>
          <w:rFonts w:ascii="Arial Narrow" w:hAnsi="Arial Narrow"/>
        </w:rPr>
        <w:t>comme</w:t>
      </w:r>
      <w:r w:rsidR="007A7B87" w:rsidRPr="007B444C">
        <w:rPr>
          <w:rFonts w:ascii="Arial Narrow" w:hAnsi="Arial Narrow"/>
        </w:rPr>
        <w:t xml:space="preserve"> temps de contrôle.</w:t>
      </w:r>
    </w:p>
    <w:p w14:paraId="4362DEB3" w14:textId="72A0426B" w:rsidR="0035638C" w:rsidRPr="00F80F70" w:rsidRDefault="0035638C" w:rsidP="0035638C">
      <w:pPr>
        <w:rPr>
          <w:rFonts w:ascii="Arial Narrow" w:hAnsi="Arial Narrow"/>
          <w:sz w:val="24"/>
          <w:szCs w:val="24"/>
        </w:rPr>
      </w:pPr>
      <w:r w:rsidRPr="00181E0F">
        <w:rPr>
          <w:rFonts w:ascii="Arial Narrow" w:hAnsi="Arial Narrow"/>
        </w:rPr>
        <w:t xml:space="preserve">** Le nombre de personnes chargées du </w:t>
      </w:r>
      <w:r>
        <w:rPr>
          <w:rFonts w:ascii="Arial Narrow" w:hAnsi="Arial Narrow"/>
        </w:rPr>
        <w:t>contrôle</w:t>
      </w:r>
      <w:r w:rsidRPr="00181E0F">
        <w:rPr>
          <w:rFonts w:ascii="Arial Narrow" w:hAnsi="Arial Narrow"/>
        </w:rPr>
        <w:t xml:space="preserve"> est défini conjointement avec Santé publique </w:t>
      </w:r>
      <w:r w:rsidR="00BA1494">
        <w:rPr>
          <w:rFonts w:ascii="Arial Narrow" w:hAnsi="Arial Narrow"/>
        </w:rPr>
        <w:t>France.</w:t>
      </w:r>
    </w:p>
    <w:p w14:paraId="2E20553C" w14:textId="4789B53B" w:rsidR="007546B1" w:rsidRDefault="007546B1" w:rsidP="00AE0044">
      <w:pPr>
        <w:rPr>
          <w:rFonts w:ascii="Arial Narrow" w:hAnsi="Arial Narrow"/>
        </w:rPr>
      </w:pPr>
    </w:p>
    <w:p w14:paraId="24410BBA" w14:textId="77777777" w:rsidR="007546B1" w:rsidRPr="007B444C" w:rsidRDefault="007546B1" w:rsidP="00AE0044">
      <w:pPr>
        <w:rPr>
          <w:rFonts w:ascii="Arial Narrow" w:hAnsi="Arial Narrow"/>
          <w:b/>
        </w:rPr>
      </w:pPr>
    </w:p>
    <w:p w14:paraId="0799A0C4" w14:textId="77777777" w:rsidR="003A0F16" w:rsidRDefault="003A0F16" w:rsidP="006403F8">
      <w:pPr>
        <w:pStyle w:val="Titre1"/>
      </w:pPr>
    </w:p>
    <w:p w14:paraId="30E07E68" w14:textId="21925AA9" w:rsidR="00F2591F" w:rsidRPr="000C3FA0" w:rsidRDefault="00F2591F" w:rsidP="00F2591F">
      <w:pPr>
        <w:pStyle w:val="Titre1"/>
      </w:pPr>
      <w:bookmarkStart w:id="8" w:name="_Toc192842136"/>
      <w:r w:rsidRPr="000C3FA0">
        <w:lastRenderedPageBreak/>
        <w:t>Tableau</w:t>
      </w:r>
      <w:r>
        <w:t xml:space="preserve"> 2</w:t>
      </w:r>
      <w:r w:rsidRPr="000C3FA0">
        <w:t> : Suivi d’une enquête</w:t>
      </w:r>
      <w:r w:rsidR="00F70D6D">
        <w:t xml:space="preserve"> </w:t>
      </w:r>
      <w:r w:rsidR="00DA1983">
        <w:t xml:space="preserve">menée </w:t>
      </w:r>
      <w:r w:rsidR="00B14EA8">
        <w:t>tout ou partie</w:t>
      </w:r>
      <w:r w:rsidR="00DA1983">
        <w:t xml:space="preserve"> sans enquêteur </w:t>
      </w:r>
      <w:r w:rsidR="007A5D1E">
        <w:t xml:space="preserve">- un seul mode de recueil </w:t>
      </w:r>
      <w:r w:rsidR="00DA1983">
        <w:t xml:space="preserve">auto-administré </w:t>
      </w:r>
      <w:r w:rsidR="0035638C">
        <w:t xml:space="preserve">contrôlé </w:t>
      </w:r>
      <w:r w:rsidR="007A5D1E">
        <w:t>(</w:t>
      </w:r>
      <w:r>
        <w:t>internet ou papier</w:t>
      </w:r>
      <w:r w:rsidR="00966A9C">
        <w:t>)</w:t>
      </w:r>
      <w:bookmarkEnd w:id="8"/>
    </w:p>
    <w:p w14:paraId="2F5E1973" w14:textId="77777777" w:rsidR="00F2591F" w:rsidRPr="00F80F70" w:rsidRDefault="00F2591F" w:rsidP="00F2591F">
      <w:pPr>
        <w:rPr>
          <w:rFonts w:ascii="Arial Narrow" w:hAnsi="Arial Narrow"/>
          <w:sz w:val="24"/>
          <w:szCs w:val="24"/>
        </w:rPr>
      </w:pPr>
    </w:p>
    <w:tbl>
      <w:tblPr>
        <w:tblW w:w="32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3"/>
        <w:gridCol w:w="1552"/>
      </w:tblGrid>
      <w:tr w:rsidR="00DA1983" w:rsidRPr="00F80F70" w14:paraId="6AD72523" w14:textId="77777777" w:rsidTr="0063734B">
        <w:tc>
          <w:tcPr>
            <w:tcW w:w="3699" w:type="pct"/>
            <w:shd w:val="clear" w:color="auto" w:fill="auto"/>
          </w:tcPr>
          <w:p w14:paraId="508EBBC5" w14:textId="77777777" w:rsidR="00DA1983" w:rsidRPr="00F80F70" w:rsidRDefault="00DA1983" w:rsidP="00DA1983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01" w:type="pct"/>
          </w:tcPr>
          <w:p w14:paraId="0EC65C7F" w14:textId="0736E945" w:rsidR="00DA1983" w:rsidRPr="00F80F70" w:rsidRDefault="004D4935" w:rsidP="00DA198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€ HT</w:t>
            </w:r>
          </w:p>
        </w:tc>
      </w:tr>
      <w:tr w:rsidR="00DA1983" w:rsidRPr="00F80F70" w14:paraId="78967796" w14:textId="77777777" w:rsidTr="0063734B">
        <w:tc>
          <w:tcPr>
            <w:tcW w:w="3699" w:type="pct"/>
            <w:shd w:val="clear" w:color="auto" w:fill="auto"/>
          </w:tcPr>
          <w:p w14:paraId="5AB8A7F9" w14:textId="46E74AA9" w:rsidR="00DA1983" w:rsidRPr="00F80F70" w:rsidRDefault="00DA1983" w:rsidP="00DA1983">
            <w:pPr>
              <w:rPr>
                <w:rFonts w:ascii="Arial Narrow" w:hAnsi="Arial Narrow"/>
                <w:sz w:val="24"/>
                <w:szCs w:val="24"/>
              </w:rPr>
            </w:pPr>
            <w:r w:rsidRPr="007546B1">
              <w:rPr>
                <w:rFonts w:ascii="Arial Narrow" w:hAnsi="Arial Narrow"/>
                <w:sz w:val="24"/>
                <w:szCs w:val="24"/>
              </w:rPr>
              <w:t>Organisation du projet de suivi</w:t>
            </w:r>
            <w:r>
              <w:rPr>
                <w:rFonts w:ascii="Arial Narrow" w:hAnsi="Arial Narrow"/>
                <w:sz w:val="24"/>
                <w:szCs w:val="24"/>
              </w:rPr>
              <w:t xml:space="preserve"> : </w:t>
            </w:r>
            <w:r w:rsidRPr="007546B1">
              <w:rPr>
                <w:rFonts w:ascii="Arial Narrow" w:hAnsi="Arial Narrow"/>
                <w:sz w:val="24"/>
                <w:szCs w:val="24"/>
              </w:rPr>
              <w:t xml:space="preserve">lancement, planification, prise de connaissance des documents, préconisations d’améliorations et actions correctives </w:t>
            </w:r>
            <w:r>
              <w:rPr>
                <w:rFonts w:ascii="Arial Narrow" w:hAnsi="Arial Narrow"/>
                <w:sz w:val="24"/>
                <w:szCs w:val="24"/>
              </w:rPr>
              <w:t>sur le dispositif et/ou le questionnaire (prix forfaitaire)</w:t>
            </w:r>
            <w:r w:rsidR="004D4935">
              <w:rPr>
                <w:rFonts w:ascii="Arial Narrow" w:hAnsi="Arial Narrow"/>
                <w:sz w:val="24"/>
                <w:szCs w:val="24"/>
              </w:rPr>
              <w:t>.</w:t>
            </w:r>
          </w:p>
          <w:p w14:paraId="7910E9D3" w14:textId="77777777" w:rsidR="00DA1983" w:rsidRPr="00F80F70" w:rsidRDefault="00DA1983" w:rsidP="00DA1983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01" w:type="pct"/>
          </w:tcPr>
          <w:p w14:paraId="18E732D9" w14:textId="77777777" w:rsidR="00DA1983" w:rsidRPr="00F80F70" w:rsidRDefault="00DA1983" w:rsidP="00DA198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A1983" w:rsidRPr="00F80F70" w14:paraId="11B69879" w14:textId="77777777" w:rsidTr="0063734B">
        <w:tc>
          <w:tcPr>
            <w:tcW w:w="3699" w:type="pct"/>
            <w:shd w:val="clear" w:color="auto" w:fill="auto"/>
          </w:tcPr>
          <w:p w14:paraId="3F769DA5" w14:textId="37410212" w:rsidR="00DA1983" w:rsidRPr="004D2EF1" w:rsidRDefault="00DA1983" w:rsidP="00E06230">
            <w:pPr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7546B1">
              <w:rPr>
                <w:rFonts w:ascii="Arial Narrow" w:hAnsi="Arial Narrow"/>
                <w:sz w:val="24"/>
                <w:szCs w:val="24"/>
              </w:rPr>
              <w:t xml:space="preserve">Suivi du projet (participation aux réunions de suivi, échanges sur </w:t>
            </w:r>
            <w:r w:rsidR="00E06230">
              <w:rPr>
                <w:rFonts w:ascii="Arial Narrow" w:hAnsi="Arial Narrow"/>
                <w:sz w:val="24"/>
                <w:szCs w:val="24"/>
              </w:rPr>
              <w:t>les contrôles</w:t>
            </w:r>
            <w:r w:rsidRPr="007546B1">
              <w:rPr>
                <w:rFonts w:ascii="Arial Narrow" w:hAnsi="Arial Narrow"/>
                <w:sz w:val="24"/>
                <w:szCs w:val="24"/>
              </w:rPr>
              <w:t>…) (prix par mois de terrain suivi)</w:t>
            </w:r>
            <w:r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1301" w:type="pct"/>
          </w:tcPr>
          <w:p w14:paraId="448A8900" w14:textId="77777777" w:rsidR="00DA1983" w:rsidRPr="00F80F70" w:rsidRDefault="00DA1983" w:rsidP="00DA198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A1983" w:rsidRPr="00F80F70" w14:paraId="4B4CFADC" w14:textId="77777777" w:rsidTr="0063734B">
        <w:tc>
          <w:tcPr>
            <w:tcW w:w="3699" w:type="pct"/>
            <w:shd w:val="clear" w:color="auto" w:fill="auto"/>
          </w:tcPr>
          <w:p w14:paraId="25041AC6" w14:textId="6E414341" w:rsidR="00DA1983" w:rsidRPr="00F80F70" w:rsidRDefault="00DA1983" w:rsidP="00DA1983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Rapport final sur le terrain surveillé : </w:t>
            </w:r>
            <w:r w:rsidRPr="00F80F70">
              <w:rPr>
                <w:rFonts w:ascii="Arial Narrow" w:hAnsi="Arial Narrow"/>
                <w:sz w:val="24"/>
                <w:szCs w:val="24"/>
              </w:rPr>
              <w:t>Synthèse et restitution du suivi du terrain</w:t>
            </w:r>
            <w:r>
              <w:rPr>
                <w:rFonts w:ascii="Arial Narrow" w:hAnsi="Arial Narrow"/>
                <w:sz w:val="24"/>
                <w:szCs w:val="24"/>
              </w:rPr>
              <w:t xml:space="preserve">, incluant le cas échéant l’analyse de fichiers annexes (consommation des adresses, durées </w:t>
            </w:r>
            <w:r w:rsidR="00E06230">
              <w:rPr>
                <w:rFonts w:ascii="Arial Narrow" w:hAnsi="Arial Narrow"/>
                <w:sz w:val="24"/>
                <w:szCs w:val="24"/>
              </w:rPr>
              <w:t>de remplissage</w:t>
            </w:r>
            <w:r>
              <w:rPr>
                <w:rFonts w:ascii="Arial Narrow" w:hAnsi="Arial Narrow"/>
                <w:sz w:val="24"/>
                <w:szCs w:val="24"/>
              </w:rPr>
              <w:t>…) fournis par l’institut audité (prix forfaitaire)</w:t>
            </w:r>
            <w:r w:rsidR="004D4935">
              <w:rPr>
                <w:rFonts w:ascii="Arial Narrow" w:hAnsi="Arial Narrow"/>
                <w:sz w:val="24"/>
                <w:szCs w:val="24"/>
              </w:rPr>
              <w:t>.</w:t>
            </w:r>
          </w:p>
          <w:p w14:paraId="2983D5FA" w14:textId="77777777" w:rsidR="00DA1983" w:rsidRPr="00F80F70" w:rsidRDefault="00DA1983" w:rsidP="00DA1983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01" w:type="pct"/>
          </w:tcPr>
          <w:p w14:paraId="41B4AC90" w14:textId="77777777" w:rsidR="00DA1983" w:rsidRPr="00F80F70" w:rsidRDefault="00DA1983" w:rsidP="00DA198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7A82A4FE" w14:textId="77777777" w:rsidR="00F2591F" w:rsidRDefault="00F2591F" w:rsidP="00F2591F">
      <w:pPr>
        <w:rPr>
          <w:rFonts w:ascii="Arial Narrow" w:hAnsi="Arial Narrow"/>
          <w:sz w:val="24"/>
          <w:szCs w:val="24"/>
        </w:rPr>
      </w:pPr>
    </w:p>
    <w:p w14:paraId="0100A17C" w14:textId="77777777" w:rsidR="00F2591F" w:rsidRPr="00F80F70" w:rsidRDefault="00F2591F" w:rsidP="00F2591F">
      <w:pPr>
        <w:rPr>
          <w:rFonts w:ascii="Arial Narrow" w:hAnsi="Arial Narrow"/>
          <w:sz w:val="24"/>
          <w:szCs w:val="24"/>
        </w:rPr>
      </w:pPr>
    </w:p>
    <w:tbl>
      <w:tblPr>
        <w:tblW w:w="42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7"/>
        <w:gridCol w:w="1202"/>
        <w:gridCol w:w="1133"/>
      </w:tblGrid>
      <w:tr w:rsidR="00F2591F" w:rsidRPr="00F80F70" w14:paraId="6C2B9200" w14:textId="77777777" w:rsidTr="00C819F9">
        <w:tc>
          <w:tcPr>
            <w:tcW w:w="3502" w:type="pct"/>
            <w:vMerge w:val="restart"/>
            <w:shd w:val="clear" w:color="auto" w:fill="auto"/>
          </w:tcPr>
          <w:p w14:paraId="103FB33E" w14:textId="77777777" w:rsidR="00F2591F" w:rsidRPr="00F80F70" w:rsidRDefault="00F2591F" w:rsidP="00C819F9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98" w:type="pct"/>
            <w:gridSpan w:val="2"/>
            <w:shd w:val="clear" w:color="auto" w:fill="auto"/>
          </w:tcPr>
          <w:p w14:paraId="76CC16E8" w14:textId="77777777" w:rsidR="00F2591F" w:rsidRDefault="00F2591F" w:rsidP="00C819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Par personne chargée du contrôle** </w:t>
            </w:r>
          </w:p>
          <w:p w14:paraId="0E97AF45" w14:textId="77777777" w:rsidR="00F2591F" w:rsidRPr="00F80F70" w:rsidRDefault="00F2591F" w:rsidP="00C819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€ HT</w:t>
            </w:r>
          </w:p>
        </w:tc>
      </w:tr>
      <w:tr w:rsidR="00F2591F" w:rsidRPr="00F80F70" w14:paraId="7E714B59" w14:textId="77777777" w:rsidTr="00C819F9">
        <w:tc>
          <w:tcPr>
            <w:tcW w:w="3502" w:type="pct"/>
            <w:vMerge/>
            <w:shd w:val="clear" w:color="auto" w:fill="auto"/>
          </w:tcPr>
          <w:p w14:paraId="5E8D0315" w14:textId="77777777" w:rsidR="00F2591F" w:rsidRPr="00F80F70" w:rsidRDefault="00F2591F" w:rsidP="00C819F9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71" w:type="pct"/>
            <w:shd w:val="clear" w:color="auto" w:fill="auto"/>
          </w:tcPr>
          <w:p w14:paraId="62BC2AD9" w14:textId="77777777" w:rsidR="00F2591F" w:rsidRPr="00F80F70" w:rsidRDefault="00F2591F" w:rsidP="00C819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½ journée</w:t>
            </w:r>
          </w:p>
        </w:tc>
        <w:tc>
          <w:tcPr>
            <w:tcW w:w="727" w:type="pct"/>
            <w:shd w:val="clear" w:color="auto" w:fill="auto"/>
          </w:tcPr>
          <w:p w14:paraId="67C4A816" w14:textId="77777777" w:rsidR="00F2591F" w:rsidRPr="00F80F70" w:rsidRDefault="00F2591F" w:rsidP="00C819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journée</w:t>
            </w:r>
          </w:p>
        </w:tc>
      </w:tr>
      <w:tr w:rsidR="00342300" w:rsidRPr="00F80F70" w14:paraId="34D6E3FA" w14:textId="77777777" w:rsidTr="00C819F9">
        <w:tc>
          <w:tcPr>
            <w:tcW w:w="3502" w:type="pct"/>
            <w:shd w:val="clear" w:color="auto" w:fill="auto"/>
          </w:tcPr>
          <w:p w14:paraId="5B64A318" w14:textId="038B1432" w:rsidR="00342300" w:rsidRDefault="00342300" w:rsidP="0034230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Suivi de la conformité de la mise en œuvre du protocole, dont calendriers et contenus des matériels d’enquête (tels que questionnaires, courrier, site internet) ; inclut le bilan de ce suivi.</w:t>
            </w:r>
          </w:p>
        </w:tc>
        <w:tc>
          <w:tcPr>
            <w:tcW w:w="771" w:type="pct"/>
            <w:shd w:val="clear" w:color="auto" w:fill="auto"/>
          </w:tcPr>
          <w:p w14:paraId="3ED1C309" w14:textId="77777777" w:rsidR="00342300" w:rsidRPr="00F80F70" w:rsidRDefault="00342300" w:rsidP="0034230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14:paraId="1033F8A7" w14:textId="77777777" w:rsidR="00342300" w:rsidRPr="00F80F70" w:rsidRDefault="00342300" w:rsidP="0034230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42300" w:rsidRPr="00F80F70" w14:paraId="2AEAFBE1" w14:textId="77777777" w:rsidTr="00C819F9">
        <w:tc>
          <w:tcPr>
            <w:tcW w:w="3502" w:type="pct"/>
            <w:shd w:val="clear" w:color="auto" w:fill="auto"/>
          </w:tcPr>
          <w:p w14:paraId="32F4C856" w14:textId="45D92D07" w:rsidR="00342300" w:rsidRDefault="00342300" w:rsidP="0034230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Contrôle de la conformité des bases de données transmises (données des questionnaires, de suivi de l’enquête…) inclut le bilan de ce </w:t>
            </w:r>
            <w:r w:rsidR="00202FDC">
              <w:rPr>
                <w:rFonts w:ascii="Arial Narrow" w:hAnsi="Arial Narrow"/>
                <w:sz w:val="24"/>
                <w:szCs w:val="24"/>
              </w:rPr>
              <w:t>contrôle</w:t>
            </w:r>
            <w:r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771" w:type="pct"/>
            <w:shd w:val="clear" w:color="auto" w:fill="auto"/>
          </w:tcPr>
          <w:p w14:paraId="73B64EE6" w14:textId="77777777" w:rsidR="00342300" w:rsidRPr="00F80F70" w:rsidRDefault="00342300" w:rsidP="0034230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14:paraId="33FDCE95" w14:textId="77777777" w:rsidR="00342300" w:rsidRPr="00F80F70" w:rsidRDefault="00342300" w:rsidP="0034230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13CDA0BC" w14:textId="77777777" w:rsidR="00F2591F" w:rsidRPr="007B444C" w:rsidRDefault="00F2591F" w:rsidP="00F2591F">
      <w:pPr>
        <w:rPr>
          <w:rFonts w:ascii="Arial Narrow" w:hAnsi="Arial Narrow"/>
          <w:b/>
        </w:rPr>
      </w:pPr>
      <w:r w:rsidRPr="00181E0F">
        <w:rPr>
          <w:rFonts w:ascii="Arial Narrow" w:hAnsi="Arial Narrow"/>
        </w:rPr>
        <w:t>* Hors frais de déplacement. Les frais de restauration sont compris dans les prix indiqués</w:t>
      </w:r>
      <w:r>
        <w:rPr>
          <w:rFonts w:ascii="Arial Narrow" w:hAnsi="Arial Narrow"/>
        </w:rPr>
        <w:t xml:space="preserve">. </w:t>
      </w:r>
      <w:r w:rsidRPr="007B444C">
        <w:rPr>
          <w:rFonts w:ascii="Arial Narrow" w:hAnsi="Arial Narrow"/>
        </w:rPr>
        <w:t>Les temps de déplacements sur les terrains d’enquête seront comptabilisés comme temps de contrôle.</w:t>
      </w:r>
    </w:p>
    <w:p w14:paraId="232D70A3" w14:textId="47D3A19F" w:rsidR="0035638C" w:rsidRPr="00F80F70" w:rsidRDefault="0035638C" w:rsidP="0035638C">
      <w:pPr>
        <w:rPr>
          <w:rFonts w:ascii="Arial Narrow" w:hAnsi="Arial Narrow"/>
          <w:sz w:val="24"/>
          <w:szCs w:val="24"/>
        </w:rPr>
      </w:pPr>
      <w:r w:rsidRPr="00181E0F">
        <w:rPr>
          <w:rFonts w:ascii="Arial Narrow" w:hAnsi="Arial Narrow"/>
        </w:rPr>
        <w:t xml:space="preserve">** Le nombre de personnes chargées du </w:t>
      </w:r>
      <w:r>
        <w:rPr>
          <w:rFonts w:ascii="Arial Narrow" w:hAnsi="Arial Narrow"/>
        </w:rPr>
        <w:t>contrôle</w:t>
      </w:r>
      <w:r w:rsidRPr="00181E0F">
        <w:rPr>
          <w:rFonts w:ascii="Arial Narrow" w:hAnsi="Arial Narrow"/>
        </w:rPr>
        <w:t xml:space="preserve"> est défini conjointement avec Santé publique </w:t>
      </w:r>
      <w:r w:rsidR="004D4935">
        <w:rPr>
          <w:rFonts w:ascii="Arial Narrow" w:hAnsi="Arial Narrow"/>
        </w:rPr>
        <w:t>France.</w:t>
      </w:r>
    </w:p>
    <w:p w14:paraId="2FDE1B55" w14:textId="77777777" w:rsidR="00F2591F" w:rsidRDefault="00F2591F" w:rsidP="006403F8">
      <w:pPr>
        <w:pStyle w:val="Titre1"/>
      </w:pPr>
    </w:p>
    <w:p w14:paraId="294B716C" w14:textId="77777777" w:rsidR="00F2591F" w:rsidRDefault="00F2591F" w:rsidP="006403F8">
      <w:pPr>
        <w:pStyle w:val="Titre1"/>
      </w:pPr>
    </w:p>
    <w:p w14:paraId="2FABBF12" w14:textId="77777777" w:rsidR="00F2591F" w:rsidRDefault="00F2591F">
      <w:pPr>
        <w:rPr>
          <w:rFonts w:ascii="Arial" w:hAnsi="Arial"/>
          <w:b/>
          <w:sz w:val="24"/>
          <w:szCs w:val="24"/>
        </w:rPr>
      </w:pPr>
      <w:r>
        <w:br w:type="page"/>
      </w:r>
    </w:p>
    <w:p w14:paraId="30BCF49F" w14:textId="6C6DBA57" w:rsidR="007A5D1E" w:rsidRPr="000C3FA0" w:rsidRDefault="007A5D1E" w:rsidP="007A5D1E">
      <w:pPr>
        <w:pStyle w:val="Titre1"/>
      </w:pPr>
      <w:bookmarkStart w:id="9" w:name="_Toc192842137"/>
      <w:r w:rsidRPr="000C3FA0">
        <w:lastRenderedPageBreak/>
        <w:t xml:space="preserve">Tableau </w:t>
      </w:r>
      <w:r>
        <w:t>3</w:t>
      </w:r>
      <w:r w:rsidRPr="000C3FA0">
        <w:t> : Suivi du terrain d’une enquête</w:t>
      </w:r>
      <w:r>
        <w:t xml:space="preserve"> multimode (</w:t>
      </w:r>
      <w:r w:rsidR="00B14EA8">
        <w:t xml:space="preserve">hétéro et/ou auto-administrée) </w:t>
      </w:r>
      <w:r>
        <w:t xml:space="preserve">– </w:t>
      </w:r>
      <w:r w:rsidR="00B14EA8">
        <w:t xml:space="preserve">plusieurs </w:t>
      </w:r>
      <w:r>
        <w:t>mode</w:t>
      </w:r>
      <w:r w:rsidR="00B14EA8">
        <w:t>s</w:t>
      </w:r>
      <w:r>
        <w:t xml:space="preserve"> de recueil </w:t>
      </w:r>
      <w:r w:rsidR="0035638C">
        <w:t>contrôlés</w:t>
      </w:r>
      <w:r w:rsidR="00B14EA8">
        <w:t>.</w:t>
      </w:r>
      <w:bookmarkEnd w:id="9"/>
    </w:p>
    <w:p w14:paraId="5C013A26" w14:textId="77777777" w:rsidR="007A5D1E" w:rsidRPr="00F80F70" w:rsidRDefault="007A5D1E" w:rsidP="007A5D1E">
      <w:pPr>
        <w:rPr>
          <w:rFonts w:ascii="Arial Narrow" w:hAnsi="Arial Narrow"/>
          <w:sz w:val="24"/>
          <w:szCs w:val="24"/>
        </w:rPr>
      </w:pPr>
    </w:p>
    <w:tbl>
      <w:tblPr>
        <w:tblW w:w="32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4"/>
        <w:gridCol w:w="1552"/>
      </w:tblGrid>
      <w:tr w:rsidR="007A5D1E" w:rsidRPr="00F80F70" w14:paraId="1AD590EE" w14:textId="77777777" w:rsidTr="0063734B">
        <w:tc>
          <w:tcPr>
            <w:tcW w:w="3699" w:type="pct"/>
            <w:shd w:val="clear" w:color="auto" w:fill="auto"/>
          </w:tcPr>
          <w:p w14:paraId="36209B19" w14:textId="77777777" w:rsidR="007A5D1E" w:rsidRPr="00F80F70" w:rsidRDefault="007A5D1E" w:rsidP="0063734B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01" w:type="pct"/>
          </w:tcPr>
          <w:p w14:paraId="1B941425" w14:textId="6D99C4A7" w:rsidR="007A5D1E" w:rsidRPr="00F80F70" w:rsidRDefault="00B14EA8" w:rsidP="006373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€ HT</w:t>
            </w:r>
          </w:p>
        </w:tc>
      </w:tr>
      <w:tr w:rsidR="007A5D1E" w:rsidRPr="00F80F70" w14:paraId="22AE0F8F" w14:textId="77777777" w:rsidTr="0063734B">
        <w:tc>
          <w:tcPr>
            <w:tcW w:w="3699" w:type="pct"/>
            <w:shd w:val="clear" w:color="auto" w:fill="auto"/>
          </w:tcPr>
          <w:p w14:paraId="0E25CADD" w14:textId="601E9F67" w:rsidR="007A5D1E" w:rsidRPr="00F80F70" w:rsidRDefault="007A5D1E" w:rsidP="0063734B">
            <w:pPr>
              <w:rPr>
                <w:rFonts w:ascii="Arial Narrow" w:hAnsi="Arial Narrow"/>
                <w:sz w:val="24"/>
                <w:szCs w:val="24"/>
              </w:rPr>
            </w:pPr>
            <w:r w:rsidRPr="007546B1">
              <w:rPr>
                <w:rFonts w:ascii="Arial Narrow" w:hAnsi="Arial Narrow"/>
                <w:sz w:val="24"/>
                <w:szCs w:val="24"/>
              </w:rPr>
              <w:t>Organisation du projet de suivi</w:t>
            </w:r>
            <w:r>
              <w:rPr>
                <w:rFonts w:ascii="Arial Narrow" w:hAnsi="Arial Narrow"/>
                <w:sz w:val="24"/>
                <w:szCs w:val="24"/>
              </w:rPr>
              <w:t xml:space="preserve"> : </w:t>
            </w:r>
            <w:r w:rsidRPr="007546B1">
              <w:rPr>
                <w:rFonts w:ascii="Arial Narrow" w:hAnsi="Arial Narrow"/>
                <w:sz w:val="24"/>
                <w:szCs w:val="24"/>
              </w:rPr>
              <w:t xml:space="preserve">lancement, planification, prise de connaissance des documents, préconisations d’améliorations et actions correctives </w:t>
            </w:r>
            <w:r>
              <w:rPr>
                <w:rFonts w:ascii="Arial Narrow" w:hAnsi="Arial Narrow"/>
                <w:sz w:val="24"/>
                <w:szCs w:val="24"/>
              </w:rPr>
              <w:t>sur le dispositif et/ou le questionnaire (prix forfaitaire)</w:t>
            </w:r>
            <w:r w:rsidR="00E06230">
              <w:rPr>
                <w:rFonts w:ascii="Arial Narrow" w:hAnsi="Arial Narrow"/>
                <w:sz w:val="24"/>
                <w:szCs w:val="24"/>
              </w:rPr>
              <w:t>.</w:t>
            </w:r>
          </w:p>
          <w:p w14:paraId="5AE42FF0" w14:textId="77777777" w:rsidR="007A5D1E" w:rsidRPr="00F80F70" w:rsidRDefault="007A5D1E" w:rsidP="0063734B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01" w:type="pct"/>
          </w:tcPr>
          <w:p w14:paraId="7F0FF81B" w14:textId="77777777" w:rsidR="007A5D1E" w:rsidRPr="00F80F70" w:rsidRDefault="007A5D1E" w:rsidP="006373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A5D1E" w:rsidRPr="00F80F70" w14:paraId="3A5A9416" w14:textId="77777777" w:rsidTr="0063734B">
        <w:tc>
          <w:tcPr>
            <w:tcW w:w="3699" w:type="pct"/>
            <w:shd w:val="clear" w:color="auto" w:fill="auto"/>
          </w:tcPr>
          <w:p w14:paraId="0A979C39" w14:textId="1D2FE2FF" w:rsidR="007A5D1E" w:rsidRPr="004D2EF1" w:rsidRDefault="007A5D1E" w:rsidP="00E06230">
            <w:pPr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7546B1">
              <w:rPr>
                <w:rFonts w:ascii="Arial Narrow" w:hAnsi="Arial Narrow"/>
                <w:sz w:val="24"/>
                <w:szCs w:val="24"/>
              </w:rPr>
              <w:t>Suivi du projet  (participation aux réunions de suivi, échanges sur les rapports d’écoutes…) (prix par mois de terrain suivi)</w:t>
            </w:r>
            <w:r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1301" w:type="pct"/>
          </w:tcPr>
          <w:p w14:paraId="7550DDD1" w14:textId="77777777" w:rsidR="007A5D1E" w:rsidRPr="00F80F70" w:rsidRDefault="007A5D1E" w:rsidP="006373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A5D1E" w:rsidRPr="00F80F70" w14:paraId="5994773B" w14:textId="77777777" w:rsidTr="0063734B">
        <w:tc>
          <w:tcPr>
            <w:tcW w:w="3699" w:type="pct"/>
            <w:shd w:val="clear" w:color="auto" w:fill="auto"/>
          </w:tcPr>
          <w:p w14:paraId="3FEFDEE4" w14:textId="3472D3DC" w:rsidR="007A5D1E" w:rsidRPr="00F80F70" w:rsidRDefault="007A5D1E" w:rsidP="0063734B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Rapport final sur le terrain surveillé : </w:t>
            </w:r>
            <w:r w:rsidRPr="00F80F70">
              <w:rPr>
                <w:rFonts w:ascii="Arial Narrow" w:hAnsi="Arial Narrow"/>
                <w:sz w:val="24"/>
                <w:szCs w:val="24"/>
              </w:rPr>
              <w:t>Synthèse et restitution du suivi du terrain</w:t>
            </w:r>
            <w:r>
              <w:rPr>
                <w:rFonts w:ascii="Arial Narrow" w:hAnsi="Arial Narrow"/>
                <w:sz w:val="24"/>
                <w:szCs w:val="24"/>
              </w:rPr>
              <w:t xml:space="preserve">, suivi du débriefing avec les enquêteurs, incluant le cas échéant l’analyse de fichiers annexes (consommation des adresses, durées moyennes des </w:t>
            </w:r>
            <w:r w:rsidR="00E06230">
              <w:rPr>
                <w:rFonts w:ascii="Arial Narrow" w:hAnsi="Arial Narrow"/>
                <w:sz w:val="24"/>
                <w:szCs w:val="24"/>
              </w:rPr>
              <w:t>passations par mode</w:t>
            </w:r>
            <w:r>
              <w:rPr>
                <w:rFonts w:ascii="Arial Narrow" w:hAnsi="Arial Narrow"/>
                <w:sz w:val="24"/>
                <w:szCs w:val="24"/>
              </w:rPr>
              <w:t>…) fournis par l’institut audité (prix forfaitaire)</w:t>
            </w:r>
            <w:r w:rsidR="00E06230">
              <w:rPr>
                <w:rFonts w:ascii="Arial Narrow" w:hAnsi="Arial Narrow"/>
                <w:sz w:val="24"/>
                <w:szCs w:val="24"/>
              </w:rPr>
              <w:t>.</w:t>
            </w:r>
          </w:p>
          <w:p w14:paraId="7046B4EE" w14:textId="77777777" w:rsidR="007A5D1E" w:rsidRPr="00F80F70" w:rsidRDefault="007A5D1E" w:rsidP="0063734B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01" w:type="pct"/>
          </w:tcPr>
          <w:p w14:paraId="63980213" w14:textId="77777777" w:rsidR="007A5D1E" w:rsidRPr="00F80F70" w:rsidRDefault="007A5D1E" w:rsidP="006373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65EA1CBF" w14:textId="5300C233" w:rsidR="007A5D1E" w:rsidRDefault="007A5D1E" w:rsidP="007A5D1E">
      <w:pPr>
        <w:rPr>
          <w:rFonts w:ascii="Arial Narrow" w:hAnsi="Arial Narrow"/>
          <w:sz w:val="24"/>
          <w:szCs w:val="24"/>
        </w:rPr>
      </w:pPr>
    </w:p>
    <w:p w14:paraId="5F2711C4" w14:textId="77777777" w:rsidR="002B5BD9" w:rsidRPr="00F80F70" w:rsidRDefault="002B5BD9" w:rsidP="007A5D1E">
      <w:pPr>
        <w:rPr>
          <w:rFonts w:ascii="Arial Narrow" w:hAnsi="Arial Narrow"/>
          <w:sz w:val="24"/>
          <w:szCs w:val="24"/>
        </w:rPr>
      </w:pPr>
    </w:p>
    <w:tbl>
      <w:tblPr>
        <w:tblW w:w="44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6"/>
        <w:gridCol w:w="1202"/>
        <w:gridCol w:w="1133"/>
      </w:tblGrid>
      <w:tr w:rsidR="007A5D1E" w:rsidRPr="00F80F70" w14:paraId="39BB1C6D" w14:textId="77777777" w:rsidTr="0063734B">
        <w:tc>
          <w:tcPr>
            <w:tcW w:w="3566" w:type="pct"/>
            <w:vMerge w:val="restart"/>
            <w:shd w:val="clear" w:color="auto" w:fill="auto"/>
          </w:tcPr>
          <w:p w14:paraId="615DA7B2" w14:textId="77777777" w:rsidR="007A5D1E" w:rsidRPr="00F80F70" w:rsidRDefault="007A5D1E" w:rsidP="0063734B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34" w:type="pct"/>
            <w:gridSpan w:val="2"/>
            <w:shd w:val="clear" w:color="auto" w:fill="auto"/>
          </w:tcPr>
          <w:p w14:paraId="60F74F79" w14:textId="77777777" w:rsidR="007A5D1E" w:rsidRDefault="007A5D1E" w:rsidP="006373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Par personne chargée du contrôle** </w:t>
            </w:r>
          </w:p>
          <w:p w14:paraId="0AB0BFCF" w14:textId="77777777" w:rsidR="007A5D1E" w:rsidRPr="00F80F70" w:rsidRDefault="007A5D1E" w:rsidP="006373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€ HT</w:t>
            </w:r>
          </w:p>
        </w:tc>
      </w:tr>
      <w:tr w:rsidR="007A5D1E" w:rsidRPr="00F80F70" w14:paraId="50A0EBA0" w14:textId="77777777" w:rsidTr="0063734B">
        <w:tc>
          <w:tcPr>
            <w:tcW w:w="3566" w:type="pct"/>
            <w:vMerge/>
            <w:shd w:val="clear" w:color="auto" w:fill="auto"/>
          </w:tcPr>
          <w:p w14:paraId="5A3E4C3A" w14:textId="77777777" w:rsidR="007A5D1E" w:rsidRPr="00F80F70" w:rsidRDefault="007A5D1E" w:rsidP="0063734B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auto"/>
          </w:tcPr>
          <w:p w14:paraId="22FF239D" w14:textId="77777777" w:rsidR="007A5D1E" w:rsidRPr="00F80F70" w:rsidRDefault="007A5D1E" w:rsidP="006373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½ journée</w:t>
            </w:r>
          </w:p>
        </w:tc>
        <w:tc>
          <w:tcPr>
            <w:tcW w:w="696" w:type="pct"/>
            <w:shd w:val="clear" w:color="auto" w:fill="auto"/>
          </w:tcPr>
          <w:p w14:paraId="31061002" w14:textId="77777777" w:rsidR="007A5D1E" w:rsidRPr="00F80F70" w:rsidRDefault="007A5D1E" w:rsidP="006373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journée</w:t>
            </w:r>
          </w:p>
        </w:tc>
      </w:tr>
      <w:tr w:rsidR="007A5D1E" w:rsidRPr="00F80F70" w14:paraId="54AE8CE7" w14:textId="77777777" w:rsidTr="0063734B">
        <w:tc>
          <w:tcPr>
            <w:tcW w:w="3566" w:type="pct"/>
            <w:shd w:val="clear" w:color="auto" w:fill="auto"/>
          </w:tcPr>
          <w:p w14:paraId="487C3D3B" w14:textId="77777777" w:rsidR="007A5D1E" w:rsidRDefault="007A5D1E" w:rsidP="0063734B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Formation des enquêteurs in situ* ou à distance</w:t>
            </w:r>
          </w:p>
          <w:p w14:paraId="6145CDAF" w14:textId="4AB3919A" w:rsidR="007A5D1E" w:rsidRDefault="007A5D1E" w:rsidP="002B5BD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(</w:t>
            </w:r>
            <w:r w:rsidR="002B5BD9">
              <w:rPr>
                <w:rFonts w:ascii="Arial Narrow" w:hAnsi="Arial Narrow"/>
                <w:sz w:val="24"/>
                <w:szCs w:val="24"/>
              </w:rPr>
              <w:t>p</w:t>
            </w:r>
            <w:r>
              <w:rPr>
                <w:rFonts w:ascii="Arial Narrow" w:hAnsi="Arial Narrow"/>
                <w:sz w:val="24"/>
                <w:szCs w:val="24"/>
              </w:rPr>
              <w:t>articipation aux séances de formation, intervention le cas échéant, édition d’un compte rendu dans les 10 jours suivants).</w:t>
            </w:r>
          </w:p>
        </w:tc>
        <w:tc>
          <w:tcPr>
            <w:tcW w:w="738" w:type="pct"/>
            <w:shd w:val="clear" w:color="auto" w:fill="auto"/>
          </w:tcPr>
          <w:p w14:paraId="4DF096D4" w14:textId="77777777" w:rsidR="007A5D1E" w:rsidRPr="00F80F70" w:rsidRDefault="007A5D1E" w:rsidP="006373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96" w:type="pct"/>
            <w:shd w:val="clear" w:color="auto" w:fill="auto"/>
          </w:tcPr>
          <w:p w14:paraId="21D71E35" w14:textId="77777777" w:rsidR="007A5D1E" w:rsidRPr="00F80F70" w:rsidRDefault="007A5D1E" w:rsidP="006373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A5D1E" w:rsidRPr="00F80F70" w14:paraId="4A174910" w14:textId="77777777" w:rsidTr="0063734B">
        <w:tc>
          <w:tcPr>
            <w:tcW w:w="3566" w:type="pct"/>
            <w:shd w:val="clear" w:color="auto" w:fill="auto"/>
          </w:tcPr>
          <w:p w14:paraId="476055DB" w14:textId="77777777" w:rsidR="007A5D1E" w:rsidRDefault="007A5D1E" w:rsidP="0063734B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Suivi de terrain in situ* ou à distance </w:t>
            </w:r>
          </w:p>
          <w:p w14:paraId="55CA8787" w14:textId="3153635C" w:rsidR="007A5D1E" w:rsidRDefault="007A5D1E" w:rsidP="0063734B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(</w:t>
            </w:r>
            <w:proofErr w:type="gramStart"/>
            <w:r>
              <w:rPr>
                <w:rFonts w:ascii="Arial Narrow" w:hAnsi="Arial Narrow"/>
                <w:sz w:val="24"/>
                <w:szCs w:val="24"/>
              </w:rPr>
              <w:t>écoute</w:t>
            </w:r>
            <w:proofErr w:type="gramEnd"/>
            <w:r>
              <w:rPr>
                <w:rFonts w:ascii="Arial Narrow" w:hAnsi="Arial Narrow"/>
                <w:sz w:val="24"/>
                <w:szCs w:val="24"/>
              </w:rPr>
              <w:t xml:space="preserve"> des enquêteurs, suivi de la qualité et de conformité des entretiens téléphoniques, </w:t>
            </w:r>
            <w:r w:rsidRPr="00AE0044">
              <w:rPr>
                <w:rFonts w:ascii="Arial Narrow" w:hAnsi="Arial Narrow"/>
                <w:sz w:val="24"/>
                <w:szCs w:val="24"/>
              </w:rPr>
              <w:t>vérification de la durée de l’entretien, suivi du taux de refus global</w:t>
            </w:r>
            <w:r w:rsidRPr="00ED315E">
              <w:rPr>
                <w:rFonts w:ascii="Arial Narrow" w:hAnsi="Arial Narrow"/>
                <w:sz w:val="24"/>
                <w:szCs w:val="24"/>
              </w:rPr>
              <w:t xml:space="preserve"> ou par enquêteur </w:t>
            </w:r>
            <w:r w:rsidR="002B5BD9">
              <w:rPr>
                <w:rFonts w:ascii="Arial Narrow" w:hAnsi="Arial Narrow"/>
                <w:sz w:val="24"/>
                <w:szCs w:val="24"/>
              </w:rPr>
              <w:t xml:space="preserve">pour une </w:t>
            </w:r>
            <w:r w:rsidRPr="00ED315E">
              <w:rPr>
                <w:rFonts w:ascii="Arial Narrow" w:hAnsi="Arial Narrow"/>
                <w:sz w:val="24"/>
                <w:szCs w:val="24"/>
              </w:rPr>
              <w:t>enquête aléatoire,</w:t>
            </w:r>
            <w:r>
              <w:rPr>
                <w:rFonts w:ascii="Arial Narrow" w:hAnsi="Arial Narrow"/>
                <w:sz w:val="24"/>
                <w:szCs w:val="24"/>
              </w:rPr>
              <w:t xml:space="preserve"> édition d’un rapport d’écoute dans les 24 h après l’écoute).</w:t>
            </w:r>
          </w:p>
          <w:p w14:paraId="55BE1F22" w14:textId="77777777" w:rsidR="007A5D1E" w:rsidRPr="00F80F70" w:rsidRDefault="007A5D1E" w:rsidP="0063734B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auto"/>
          </w:tcPr>
          <w:p w14:paraId="79BD3410" w14:textId="77777777" w:rsidR="007A5D1E" w:rsidRPr="00F80F70" w:rsidRDefault="007A5D1E" w:rsidP="006373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96" w:type="pct"/>
            <w:shd w:val="clear" w:color="auto" w:fill="auto"/>
          </w:tcPr>
          <w:p w14:paraId="6A834C69" w14:textId="77777777" w:rsidR="007A5D1E" w:rsidRPr="00F80F70" w:rsidRDefault="007A5D1E" w:rsidP="006373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A5D1E" w:rsidRPr="00F80F70" w14:paraId="49667EF4" w14:textId="77777777" w:rsidTr="0063734B">
        <w:tc>
          <w:tcPr>
            <w:tcW w:w="3566" w:type="pct"/>
            <w:shd w:val="clear" w:color="auto" w:fill="auto"/>
          </w:tcPr>
          <w:p w14:paraId="7A5ABA62" w14:textId="77777777" w:rsidR="007A5D1E" w:rsidRDefault="007A5D1E" w:rsidP="0063734B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Suivi de la conformité de la mise en œuvre du protocole, dont calendriers et contenus des matériels d’enquête (tels que questionnaires, courrier, site internet) ; inclut le bilan de ce suivi.</w:t>
            </w:r>
          </w:p>
        </w:tc>
        <w:tc>
          <w:tcPr>
            <w:tcW w:w="738" w:type="pct"/>
            <w:shd w:val="clear" w:color="auto" w:fill="auto"/>
          </w:tcPr>
          <w:p w14:paraId="05AD3E10" w14:textId="77777777" w:rsidR="007A5D1E" w:rsidRPr="00F80F70" w:rsidRDefault="007A5D1E" w:rsidP="006373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96" w:type="pct"/>
            <w:shd w:val="clear" w:color="auto" w:fill="auto"/>
          </w:tcPr>
          <w:p w14:paraId="6232940C" w14:textId="77777777" w:rsidR="007A5D1E" w:rsidRPr="00F80F70" w:rsidRDefault="007A5D1E" w:rsidP="006373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A5D1E" w:rsidRPr="00F80F70" w14:paraId="159A504A" w14:textId="77777777" w:rsidTr="0063734B">
        <w:tc>
          <w:tcPr>
            <w:tcW w:w="3566" w:type="pct"/>
            <w:shd w:val="clear" w:color="auto" w:fill="auto"/>
          </w:tcPr>
          <w:p w14:paraId="7C21345F" w14:textId="77777777" w:rsidR="007A5D1E" w:rsidRDefault="007A5D1E" w:rsidP="0063734B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Contrôle de la conformité des bases de données transmises (données des questionnaires, de suivi de l’enquête…) inclut le bilan de ce contrôle.</w:t>
            </w:r>
          </w:p>
        </w:tc>
        <w:tc>
          <w:tcPr>
            <w:tcW w:w="738" w:type="pct"/>
            <w:shd w:val="clear" w:color="auto" w:fill="auto"/>
          </w:tcPr>
          <w:p w14:paraId="20E329A2" w14:textId="77777777" w:rsidR="007A5D1E" w:rsidRPr="00F80F70" w:rsidRDefault="007A5D1E" w:rsidP="006373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96" w:type="pct"/>
            <w:shd w:val="clear" w:color="auto" w:fill="auto"/>
          </w:tcPr>
          <w:p w14:paraId="45C0EEEA" w14:textId="77777777" w:rsidR="007A5D1E" w:rsidRPr="00F80F70" w:rsidRDefault="007A5D1E" w:rsidP="006373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5C06F315" w14:textId="77777777" w:rsidR="007A5D1E" w:rsidRDefault="007A5D1E" w:rsidP="007A5D1E">
      <w:pPr>
        <w:rPr>
          <w:rFonts w:ascii="Arial Narrow" w:hAnsi="Arial Narrow"/>
        </w:rPr>
      </w:pPr>
      <w:r w:rsidRPr="00181E0F">
        <w:rPr>
          <w:rFonts w:ascii="Arial Narrow" w:hAnsi="Arial Narrow"/>
        </w:rPr>
        <w:t>* Hors frais de déplacement. Les frais de restauration sont compris dans les prix indiqués</w:t>
      </w:r>
      <w:r>
        <w:rPr>
          <w:rFonts w:ascii="Arial Narrow" w:hAnsi="Arial Narrow"/>
        </w:rPr>
        <w:t xml:space="preserve">. </w:t>
      </w:r>
      <w:r w:rsidRPr="007B444C">
        <w:rPr>
          <w:rFonts w:ascii="Arial Narrow" w:hAnsi="Arial Narrow"/>
        </w:rPr>
        <w:t>Les temps de déplacements sur les terrains d’enquête seront comptabilisés comme temps de contrôle.</w:t>
      </w:r>
    </w:p>
    <w:p w14:paraId="348EF18C" w14:textId="1F6DDD41" w:rsidR="0035638C" w:rsidRPr="00F80F70" w:rsidRDefault="0035638C" w:rsidP="0035638C">
      <w:pPr>
        <w:rPr>
          <w:rFonts w:ascii="Arial Narrow" w:hAnsi="Arial Narrow"/>
          <w:sz w:val="24"/>
          <w:szCs w:val="24"/>
        </w:rPr>
      </w:pPr>
      <w:r w:rsidRPr="00181E0F">
        <w:rPr>
          <w:rFonts w:ascii="Arial Narrow" w:hAnsi="Arial Narrow"/>
        </w:rPr>
        <w:t xml:space="preserve">** Le nombre de personnes chargées du </w:t>
      </w:r>
      <w:r>
        <w:rPr>
          <w:rFonts w:ascii="Arial Narrow" w:hAnsi="Arial Narrow"/>
        </w:rPr>
        <w:t>contrôle</w:t>
      </w:r>
      <w:r w:rsidRPr="00181E0F">
        <w:rPr>
          <w:rFonts w:ascii="Arial Narrow" w:hAnsi="Arial Narrow"/>
        </w:rPr>
        <w:t xml:space="preserve"> est défini conjointement avec Santé publique </w:t>
      </w:r>
      <w:r w:rsidR="00E06230">
        <w:rPr>
          <w:rFonts w:ascii="Arial Narrow" w:hAnsi="Arial Narrow"/>
        </w:rPr>
        <w:t>France.</w:t>
      </w:r>
    </w:p>
    <w:p w14:paraId="11A8626B" w14:textId="77777777" w:rsidR="007A5D1E" w:rsidRDefault="007A5D1E" w:rsidP="007A5D1E">
      <w:pPr>
        <w:rPr>
          <w:rFonts w:ascii="Arial Narrow" w:hAnsi="Arial Narrow"/>
        </w:rPr>
      </w:pPr>
    </w:p>
    <w:p w14:paraId="6F249BD9" w14:textId="77777777" w:rsidR="009A4C58" w:rsidRDefault="00F80F70" w:rsidP="006403F8">
      <w:pPr>
        <w:pStyle w:val="Titre1"/>
      </w:pPr>
      <w:r>
        <w:br w:type="page"/>
      </w:r>
    </w:p>
    <w:p w14:paraId="67673CF4" w14:textId="64DD7A93" w:rsidR="009A4C58" w:rsidRDefault="009A4C58">
      <w:pPr>
        <w:rPr>
          <w:rFonts w:ascii="Arial" w:hAnsi="Arial"/>
          <w:b/>
          <w:sz w:val="24"/>
          <w:szCs w:val="24"/>
        </w:rPr>
      </w:pPr>
    </w:p>
    <w:p w14:paraId="51C91BDB" w14:textId="60126658" w:rsidR="00571BE6" w:rsidRPr="000C3FA0" w:rsidRDefault="00571BE6" w:rsidP="006403F8">
      <w:pPr>
        <w:pStyle w:val="Titre1"/>
      </w:pPr>
      <w:bookmarkStart w:id="10" w:name="_Toc192842138"/>
      <w:r w:rsidRPr="000C3FA0">
        <w:t xml:space="preserve">Tableau </w:t>
      </w:r>
      <w:r w:rsidR="009A4C58">
        <w:t>4</w:t>
      </w:r>
      <w:r w:rsidR="00750CEB">
        <w:t> : S</w:t>
      </w:r>
      <w:r w:rsidRPr="000C3FA0">
        <w:t>uivi d</w:t>
      </w:r>
      <w:r w:rsidR="003746BE" w:rsidRPr="000C3FA0">
        <w:t>u</w:t>
      </w:r>
      <w:r w:rsidRPr="000C3FA0">
        <w:t xml:space="preserve"> terrain d’une enquête qualitative – entretiens de groupe en présentiel, </w:t>
      </w:r>
      <w:r w:rsidR="00A83F5C" w:rsidRPr="000C3FA0">
        <w:t xml:space="preserve">entretiens </w:t>
      </w:r>
      <w:r w:rsidRPr="000C3FA0">
        <w:t>individuel</w:t>
      </w:r>
      <w:r w:rsidR="00A83F5C" w:rsidRPr="000C3FA0">
        <w:t>s</w:t>
      </w:r>
      <w:r w:rsidRPr="000C3FA0">
        <w:t xml:space="preserve"> en face à face ou téléphonique</w:t>
      </w:r>
      <w:r w:rsidR="00DB6B8F">
        <w:t>s</w:t>
      </w:r>
      <w:r w:rsidR="00D67E9C" w:rsidRPr="000C3FA0">
        <w:t>, étude d’observation</w:t>
      </w:r>
      <w:r w:rsidR="00E44F92" w:rsidRPr="000C3FA0">
        <w:t xml:space="preserve"> </w:t>
      </w:r>
      <w:r w:rsidR="00A23806" w:rsidRPr="000C3FA0">
        <w:t>sur site</w:t>
      </w:r>
      <w:bookmarkEnd w:id="10"/>
      <w:r w:rsidR="00E44F92" w:rsidRPr="000C3FA0">
        <w:t xml:space="preserve"> </w:t>
      </w:r>
    </w:p>
    <w:p w14:paraId="2B3E7168" w14:textId="77777777" w:rsidR="00571BE6" w:rsidRDefault="00571BE6" w:rsidP="00571BE6">
      <w:pPr>
        <w:rPr>
          <w:rFonts w:ascii="Arial Narrow" w:hAnsi="Arial Narrow"/>
          <w:sz w:val="24"/>
          <w:szCs w:val="24"/>
        </w:rPr>
      </w:pPr>
    </w:p>
    <w:tbl>
      <w:tblPr>
        <w:tblW w:w="42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1418"/>
      </w:tblGrid>
      <w:tr w:rsidR="00F2591F" w:rsidRPr="00F80F70" w14:paraId="302B7884" w14:textId="77777777" w:rsidTr="00E15901">
        <w:tc>
          <w:tcPr>
            <w:tcW w:w="4073" w:type="pct"/>
            <w:shd w:val="clear" w:color="auto" w:fill="auto"/>
          </w:tcPr>
          <w:p w14:paraId="1BCD5F44" w14:textId="77777777" w:rsidR="00F2591F" w:rsidRPr="00F80F70" w:rsidRDefault="00F2591F" w:rsidP="00F33BF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27" w:type="pct"/>
          </w:tcPr>
          <w:p w14:paraId="0B2FD1F1" w14:textId="77777777" w:rsidR="0035638C" w:rsidRDefault="0035638C" w:rsidP="00F33BF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Prix forfaitaire </w:t>
            </w:r>
          </w:p>
          <w:p w14:paraId="30CC7EDC" w14:textId="7BE13EB6" w:rsidR="00F2591F" w:rsidRPr="00F80F70" w:rsidRDefault="00F2591F" w:rsidP="00F33BF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€ HT</w:t>
            </w:r>
          </w:p>
        </w:tc>
      </w:tr>
      <w:tr w:rsidR="00F2591F" w:rsidRPr="00F80F70" w14:paraId="53DBD906" w14:textId="77777777" w:rsidTr="00E15901">
        <w:tc>
          <w:tcPr>
            <w:tcW w:w="4073" w:type="pct"/>
            <w:shd w:val="clear" w:color="auto" w:fill="auto"/>
          </w:tcPr>
          <w:p w14:paraId="0EBB3B72" w14:textId="69B07276" w:rsidR="00F2591F" w:rsidRPr="00F80F70" w:rsidRDefault="00F2591F" w:rsidP="00F33BFE">
            <w:pPr>
              <w:rPr>
                <w:rFonts w:ascii="Arial Narrow" w:hAnsi="Arial Narrow"/>
                <w:sz w:val="24"/>
                <w:szCs w:val="24"/>
              </w:rPr>
            </w:pPr>
            <w:r w:rsidRPr="00DA1983">
              <w:rPr>
                <w:rFonts w:ascii="Arial Narrow" w:hAnsi="Arial Narrow"/>
                <w:sz w:val="24"/>
                <w:szCs w:val="24"/>
              </w:rPr>
              <w:t xml:space="preserve">Organisation du </w:t>
            </w:r>
            <w:r w:rsidR="0035638C">
              <w:rPr>
                <w:rFonts w:ascii="Arial Narrow" w:hAnsi="Arial Narrow"/>
                <w:sz w:val="24"/>
                <w:szCs w:val="24"/>
              </w:rPr>
              <w:t>suiv</w:t>
            </w:r>
            <w:r w:rsidR="00965078">
              <w:rPr>
                <w:rFonts w:ascii="Arial Narrow" w:hAnsi="Arial Narrow"/>
                <w:sz w:val="24"/>
                <w:szCs w:val="24"/>
              </w:rPr>
              <w:t>i</w:t>
            </w:r>
            <w:r w:rsidR="0035638C">
              <w:rPr>
                <w:rFonts w:ascii="Arial Narrow" w:hAnsi="Arial Narrow"/>
                <w:sz w:val="24"/>
                <w:szCs w:val="24"/>
              </w:rPr>
              <w:t xml:space="preserve"> de terrain : participation aux réunions préparatoires et de suivi, </w:t>
            </w:r>
            <w:r w:rsidRPr="00DA1983">
              <w:rPr>
                <w:rFonts w:ascii="Arial Narrow" w:hAnsi="Arial Narrow"/>
                <w:sz w:val="24"/>
                <w:szCs w:val="24"/>
              </w:rPr>
              <w:t>prise de connaissance des documents</w:t>
            </w:r>
            <w:r>
              <w:rPr>
                <w:rFonts w:ascii="Arial Narrow" w:hAnsi="Arial Narrow"/>
                <w:sz w:val="24"/>
                <w:szCs w:val="24"/>
              </w:rPr>
              <w:t>, préconisations d’améliorations et actions correctives sur le dispositif</w:t>
            </w:r>
            <w:r w:rsidR="0035638C">
              <w:rPr>
                <w:rFonts w:ascii="Arial Narrow" w:hAnsi="Arial Narrow"/>
                <w:sz w:val="24"/>
                <w:szCs w:val="24"/>
              </w:rPr>
              <w:t>.</w:t>
            </w:r>
          </w:p>
          <w:p w14:paraId="3FE42F93" w14:textId="77777777" w:rsidR="00F2591F" w:rsidRPr="00F80F70" w:rsidRDefault="00F2591F" w:rsidP="00F33BF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27" w:type="pct"/>
          </w:tcPr>
          <w:p w14:paraId="3001E5DB" w14:textId="77777777" w:rsidR="00F2591F" w:rsidRPr="00F80F70" w:rsidRDefault="00F2591F" w:rsidP="00F33BF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591F" w:rsidRPr="00F80F70" w14:paraId="5E680BAB" w14:textId="77777777" w:rsidTr="00E15901">
        <w:tc>
          <w:tcPr>
            <w:tcW w:w="4073" w:type="pct"/>
            <w:shd w:val="clear" w:color="auto" w:fill="auto"/>
          </w:tcPr>
          <w:p w14:paraId="31FA6C5E" w14:textId="4E426A76" w:rsidR="00F2591F" w:rsidRDefault="00F2591F" w:rsidP="00F33BFE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Rapport final de synthèse sur </w:t>
            </w:r>
            <w:r w:rsidR="00DA1983">
              <w:rPr>
                <w:rFonts w:ascii="Arial Narrow" w:hAnsi="Arial Narrow"/>
                <w:sz w:val="24"/>
                <w:szCs w:val="24"/>
              </w:rPr>
              <w:t xml:space="preserve">la qualité du terrain </w:t>
            </w:r>
            <w:r w:rsidR="00E06230">
              <w:rPr>
                <w:rFonts w:ascii="Arial Narrow" w:hAnsi="Arial Narrow"/>
                <w:sz w:val="24"/>
                <w:szCs w:val="24"/>
              </w:rPr>
              <w:t>surveillé.</w:t>
            </w:r>
          </w:p>
          <w:p w14:paraId="25B6A742" w14:textId="77777777" w:rsidR="00F2591F" w:rsidRPr="00F80F70" w:rsidRDefault="00F2591F" w:rsidP="00E15901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27" w:type="pct"/>
          </w:tcPr>
          <w:p w14:paraId="6B3B563B" w14:textId="77777777" w:rsidR="00F2591F" w:rsidRPr="00F80F70" w:rsidRDefault="00F2591F" w:rsidP="00F33BF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132C02A9" w14:textId="01A66B18" w:rsidR="00B22656" w:rsidRDefault="00B22656" w:rsidP="00571BE6">
      <w:pPr>
        <w:rPr>
          <w:rFonts w:ascii="Arial Narrow" w:hAnsi="Arial Narrow"/>
          <w:sz w:val="24"/>
          <w:szCs w:val="24"/>
        </w:rPr>
      </w:pPr>
    </w:p>
    <w:p w14:paraId="68672A38" w14:textId="4ED93602" w:rsidR="00BC2338" w:rsidRDefault="00BC2338" w:rsidP="00571BE6">
      <w:pPr>
        <w:rPr>
          <w:rFonts w:ascii="Arial Narrow" w:hAnsi="Arial Narrow"/>
          <w:sz w:val="24"/>
          <w:szCs w:val="24"/>
        </w:rPr>
      </w:pPr>
    </w:p>
    <w:p w14:paraId="7DF9C0F7" w14:textId="77777777" w:rsidR="00BC2338" w:rsidRDefault="00BC2338" w:rsidP="00571BE6">
      <w:pPr>
        <w:rPr>
          <w:rFonts w:ascii="Arial Narrow" w:hAnsi="Arial Narrow"/>
          <w:sz w:val="24"/>
          <w:szCs w:val="24"/>
        </w:rPr>
      </w:pPr>
    </w:p>
    <w:tbl>
      <w:tblPr>
        <w:tblW w:w="42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0"/>
        <w:gridCol w:w="1169"/>
        <w:gridCol w:w="1133"/>
      </w:tblGrid>
      <w:tr w:rsidR="00BC2338" w:rsidRPr="00F80F70" w14:paraId="317E2EFC" w14:textId="77777777" w:rsidTr="00BC2338">
        <w:tc>
          <w:tcPr>
            <w:tcW w:w="3523" w:type="pct"/>
            <w:vMerge w:val="restart"/>
            <w:shd w:val="clear" w:color="auto" w:fill="auto"/>
          </w:tcPr>
          <w:p w14:paraId="0CD4E238" w14:textId="77777777" w:rsidR="00BC2338" w:rsidRPr="00F80F70" w:rsidRDefault="00BC2338" w:rsidP="00953B4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77" w:type="pct"/>
            <w:gridSpan w:val="2"/>
            <w:shd w:val="clear" w:color="auto" w:fill="auto"/>
          </w:tcPr>
          <w:p w14:paraId="61FC3925" w14:textId="280C9FF9" w:rsidR="00BC2338" w:rsidRDefault="00BC2338" w:rsidP="00BC233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Par personne en chargée du contrôle**</w:t>
            </w:r>
          </w:p>
          <w:p w14:paraId="6D2B4EE2" w14:textId="24293A80" w:rsidR="00BC2338" w:rsidRDefault="00BC2338" w:rsidP="00BC233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€ HT</w:t>
            </w:r>
          </w:p>
        </w:tc>
      </w:tr>
      <w:tr w:rsidR="00BC2338" w:rsidRPr="00F80F70" w14:paraId="00E4F871" w14:textId="77777777" w:rsidTr="00BC2338">
        <w:tc>
          <w:tcPr>
            <w:tcW w:w="3523" w:type="pct"/>
            <w:vMerge/>
            <w:shd w:val="clear" w:color="auto" w:fill="auto"/>
          </w:tcPr>
          <w:p w14:paraId="5112CFB1" w14:textId="77777777" w:rsidR="00BC2338" w:rsidRPr="00F80F70" w:rsidRDefault="00BC2338" w:rsidP="00953B4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50" w:type="pct"/>
            <w:shd w:val="clear" w:color="auto" w:fill="auto"/>
          </w:tcPr>
          <w:p w14:paraId="59B69191" w14:textId="77777777" w:rsidR="00BC2338" w:rsidRPr="00F80F70" w:rsidRDefault="00BC2338" w:rsidP="00953B4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½ journée</w:t>
            </w:r>
          </w:p>
        </w:tc>
        <w:tc>
          <w:tcPr>
            <w:tcW w:w="727" w:type="pct"/>
            <w:shd w:val="clear" w:color="auto" w:fill="auto"/>
          </w:tcPr>
          <w:p w14:paraId="4BFB4077" w14:textId="77777777" w:rsidR="00BC2338" w:rsidRPr="00F80F70" w:rsidRDefault="00BC2338" w:rsidP="00953B4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1 jour </w:t>
            </w:r>
          </w:p>
        </w:tc>
      </w:tr>
      <w:tr w:rsidR="00BC2338" w:rsidRPr="00F80F70" w14:paraId="1164DF24" w14:textId="77777777" w:rsidTr="00BC2338">
        <w:tc>
          <w:tcPr>
            <w:tcW w:w="3523" w:type="pct"/>
            <w:shd w:val="clear" w:color="auto" w:fill="auto"/>
          </w:tcPr>
          <w:p w14:paraId="1EE44058" w14:textId="4B3DA81E" w:rsidR="00BC2338" w:rsidRDefault="00BC2338" w:rsidP="00953B4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Supervision du recrutement</w:t>
            </w:r>
          </w:p>
        </w:tc>
        <w:tc>
          <w:tcPr>
            <w:tcW w:w="750" w:type="pct"/>
            <w:shd w:val="clear" w:color="auto" w:fill="auto"/>
          </w:tcPr>
          <w:p w14:paraId="35852BD6" w14:textId="77777777" w:rsidR="00BC2338" w:rsidRPr="00F80F70" w:rsidRDefault="00BC2338" w:rsidP="00953B4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14:paraId="50EF8F9A" w14:textId="77777777" w:rsidR="00BC2338" w:rsidRPr="00F80F70" w:rsidRDefault="00BC2338" w:rsidP="00953B4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C2338" w:rsidRPr="00F80F70" w14:paraId="0850A226" w14:textId="77777777" w:rsidTr="00BC2338">
        <w:tc>
          <w:tcPr>
            <w:tcW w:w="3523" w:type="pct"/>
            <w:shd w:val="clear" w:color="auto" w:fill="auto"/>
          </w:tcPr>
          <w:p w14:paraId="0468DDAD" w14:textId="77777777" w:rsidR="00BC2338" w:rsidRPr="003746BE" w:rsidRDefault="00BC2338" w:rsidP="00BC233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Suivi d’enquête : accompagnement sur les lieux d’entretien*, r</w:t>
            </w:r>
            <w:r w:rsidRPr="003746BE">
              <w:rPr>
                <w:rFonts w:ascii="Arial Narrow" w:hAnsi="Arial Narrow"/>
                <w:sz w:val="24"/>
                <w:szCs w:val="24"/>
              </w:rPr>
              <w:t xml:space="preserve">apport </w:t>
            </w:r>
            <w:r>
              <w:rPr>
                <w:rFonts w:ascii="Arial Narrow" w:hAnsi="Arial Narrow"/>
                <w:sz w:val="24"/>
                <w:szCs w:val="24"/>
              </w:rPr>
              <w:t>de visite/d’écoute à Santé publique France dans les 24 H</w:t>
            </w:r>
            <w:r w:rsidRPr="003746BE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 xml:space="preserve">après un suivi </w:t>
            </w:r>
          </w:p>
          <w:p w14:paraId="0ABBC897" w14:textId="28F889EB" w:rsidR="00BC2338" w:rsidRDefault="00BC2338" w:rsidP="00BC233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shd w:val="clear" w:color="auto" w:fill="auto"/>
          </w:tcPr>
          <w:p w14:paraId="610AFB48" w14:textId="77777777" w:rsidR="00BC2338" w:rsidRPr="00F80F70" w:rsidRDefault="00BC2338" w:rsidP="00953B4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14:paraId="7D56DC5C" w14:textId="77777777" w:rsidR="00BC2338" w:rsidRPr="00F80F70" w:rsidRDefault="00BC2338" w:rsidP="00953B4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22B53C21" w14:textId="77777777" w:rsidR="00BC2338" w:rsidRPr="00181E0F" w:rsidRDefault="00BC2338" w:rsidP="00BC2338">
      <w:pPr>
        <w:rPr>
          <w:rFonts w:ascii="Arial Narrow" w:hAnsi="Arial Narrow"/>
          <w:b/>
        </w:rPr>
      </w:pPr>
      <w:r w:rsidRPr="00181E0F">
        <w:rPr>
          <w:rFonts w:ascii="Arial Narrow" w:hAnsi="Arial Narrow"/>
        </w:rPr>
        <w:t>* Hors frais de déplacement. Les frais de restauration sont compris dans les prix indiqués.</w:t>
      </w:r>
      <w:r>
        <w:rPr>
          <w:rFonts w:ascii="Arial Narrow" w:hAnsi="Arial Narrow"/>
        </w:rPr>
        <w:t xml:space="preserve"> </w:t>
      </w:r>
      <w:r w:rsidRPr="007B444C">
        <w:rPr>
          <w:rFonts w:ascii="Arial Narrow" w:hAnsi="Arial Narrow"/>
        </w:rPr>
        <w:t>Les temps de déplacements sur les terrains d’enquête seront comptabilisés comme temps de contrôle.</w:t>
      </w:r>
    </w:p>
    <w:p w14:paraId="1DD07237" w14:textId="685689F3" w:rsidR="00BC2338" w:rsidRPr="00F80F70" w:rsidRDefault="00BC2338" w:rsidP="00BC2338">
      <w:pPr>
        <w:rPr>
          <w:rFonts w:ascii="Arial Narrow" w:hAnsi="Arial Narrow"/>
          <w:sz w:val="24"/>
          <w:szCs w:val="24"/>
        </w:rPr>
      </w:pPr>
      <w:r w:rsidRPr="00181E0F">
        <w:rPr>
          <w:rFonts w:ascii="Arial Narrow" w:hAnsi="Arial Narrow"/>
        </w:rPr>
        <w:t xml:space="preserve">** Le nombre de personnes chargées du </w:t>
      </w:r>
      <w:r w:rsidR="0035638C">
        <w:rPr>
          <w:rFonts w:ascii="Arial Narrow" w:hAnsi="Arial Narrow"/>
        </w:rPr>
        <w:t>contrôle</w:t>
      </w:r>
      <w:r w:rsidRPr="00181E0F">
        <w:rPr>
          <w:rFonts w:ascii="Arial Narrow" w:hAnsi="Arial Narrow"/>
        </w:rPr>
        <w:t xml:space="preserve"> est défini conjointement avec Santé publique </w:t>
      </w:r>
      <w:r w:rsidR="00E06230">
        <w:rPr>
          <w:rFonts w:ascii="Arial Narrow" w:hAnsi="Arial Narrow"/>
        </w:rPr>
        <w:t>France.</w:t>
      </w:r>
    </w:p>
    <w:p w14:paraId="5B6C1B60" w14:textId="77777777" w:rsidR="003746BE" w:rsidRDefault="003746BE" w:rsidP="00571BE6">
      <w:pPr>
        <w:rPr>
          <w:rFonts w:ascii="Arial Narrow" w:hAnsi="Arial Narrow"/>
          <w:sz w:val="24"/>
          <w:szCs w:val="24"/>
        </w:rPr>
      </w:pPr>
    </w:p>
    <w:p w14:paraId="3D7B9965" w14:textId="77777777" w:rsidR="003746BE" w:rsidRDefault="003746BE" w:rsidP="00571BE6">
      <w:pPr>
        <w:rPr>
          <w:rFonts w:ascii="Arial Narrow" w:hAnsi="Arial Narrow"/>
          <w:sz w:val="24"/>
          <w:szCs w:val="24"/>
        </w:rPr>
      </w:pPr>
    </w:p>
    <w:p w14:paraId="45EB0027" w14:textId="77777777" w:rsidR="003746BE" w:rsidRDefault="003746BE" w:rsidP="00571BE6">
      <w:pPr>
        <w:rPr>
          <w:rFonts w:ascii="Arial Narrow" w:hAnsi="Arial Narrow"/>
          <w:sz w:val="24"/>
          <w:szCs w:val="24"/>
        </w:rPr>
      </w:pPr>
    </w:p>
    <w:p w14:paraId="6371A3C5" w14:textId="77777777" w:rsidR="003746BE" w:rsidRDefault="003746BE" w:rsidP="00571BE6">
      <w:pPr>
        <w:rPr>
          <w:rFonts w:ascii="Arial Narrow" w:hAnsi="Arial Narrow"/>
          <w:sz w:val="24"/>
          <w:szCs w:val="24"/>
        </w:rPr>
      </w:pPr>
    </w:p>
    <w:p w14:paraId="19A4A0F9" w14:textId="77777777" w:rsidR="003746BE" w:rsidRDefault="003746BE" w:rsidP="00571BE6">
      <w:pPr>
        <w:rPr>
          <w:rFonts w:ascii="Arial Narrow" w:hAnsi="Arial Narrow"/>
          <w:sz w:val="24"/>
          <w:szCs w:val="24"/>
        </w:rPr>
      </w:pPr>
    </w:p>
    <w:p w14:paraId="5BC03337" w14:textId="77777777" w:rsidR="003746BE" w:rsidRDefault="003746BE" w:rsidP="00571BE6">
      <w:pPr>
        <w:rPr>
          <w:rFonts w:ascii="Arial Narrow" w:hAnsi="Arial Narrow"/>
          <w:sz w:val="24"/>
          <w:szCs w:val="24"/>
        </w:rPr>
      </w:pPr>
    </w:p>
    <w:p w14:paraId="7779BF1C" w14:textId="77777777" w:rsidR="008F2713" w:rsidRPr="00F80F70" w:rsidRDefault="008F2713" w:rsidP="006403F8">
      <w:pPr>
        <w:pStyle w:val="Titre1"/>
      </w:pPr>
      <w:bookmarkStart w:id="11" w:name="_Toc192842139"/>
      <w:r w:rsidRPr="00F80F70">
        <w:t>Frais supplémentaires</w:t>
      </w:r>
      <w:bookmarkEnd w:id="11"/>
    </w:p>
    <w:p w14:paraId="14A59839" w14:textId="77777777" w:rsidR="008F2713" w:rsidRPr="00F80F70" w:rsidRDefault="008F2713" w:rsidP="008F2713">
      <w:pPr>
        <w:jc w:val="both"/>
        <w:rPr>
          <w:rFonts w:ascii="Arial Narrow" w:hAnsi="Arial Narrow"/>
          <w:sz w:val="24"/>
          <w:szCs w:val="24"/>
        </w:rPr>
      </w:pPr>
    </w:p>
    <w:p w14:paraId="2FCD90B5" w14:textId="77777777" w:rsidR="008F2713" w:rsidRPr="00F80F70" w:rsidRDefault="008F2713" w:rsidP="008F2713">
      <w:pPr>
        <w:jc w:val="both"/>
        <w:rPr>
          <w:rFonts w:ascii="Arial Narrow" w:hAnsi="Arial Narrow"/>
          <w:sz w:val="24"/>
          <w:szCs w:val="24"/>
        </w:rPr>
      </w:pPr>
      <w:r w:rsidRPr="00F80F70">
        <w:rPr>
          <w:rFonts w:ascii="Arial Narrow" w:hAnsi="Arial Narrow"/>
          <w:sz w:val="24"/>
          <w:szCs w:val="24"/>
        </w:rPr>
        <w:t>Les frais de déplacements en province (allers et retours en train 2</w:t>
      </w:r>
      <w:r w:rsidRPr="00F80F70">
        <w:rPr>
          <w:rFonts w:ascii="Arial Narrow" w:hAnsi="Arial Narrow"/>
          <w:sz w:val="24"/>
          <w:szCs w:val="24"/>
          <w:vertAlign w:val="superscript"/>
        </w:rPr>
        <w:t>ème</w:t>
      </w:r>
      <w:r w:rsidRPr="00F80F70">
        <w:rPr>
          <w:rFonts w:ascii="Arial Narrow" w:hAnsi="Arial Narrow"/>
          <w:sz w:val="24"/>
          <w:szCs w:val="24"/>
        </w:rPr>
        <w:t xml:space="preserve"> classe uniquement) seront payés sur présentation d’un justificatif.</w:t>
      </w:r>
    </w:p>
    <w:p w14:paraId="7C354CF6" w14:textId="77777777" w:rsidR="008F2713" w:rsidRPr="00F80F70" w:rsidRDefault="008F2713" w:rsidP="008F2713">
      <w:pPr>
        <w:jc w:val="both"/>
        <w:rPr>
          <w:rFonts w:ascii="Arial Narrow" w:hAnsi="Arial Narrow"/>
          <w:sz w:val="24"/>
          <w:szCs w:val="24"/>
        </w:rPr>
      </w:pPr>
    </w:p>
    <w:p w14:paraId="23D67813" w14:textId="38ACDB2F" w:rsidR="004949F4" w:rsidRDefault="008F2713" w:rsidP="008F2713">
      <w:pPr>
        <w:jc w:val="both"/>
        <w:rPr>
          <w:rFonts w:ascii="Arial Narrow" w:hAnsi="Arial Narrow"/>
          <w:sz w:val="24"/>
          <w:szCs w:val="24"/>
        </w:rPr>
      </w:pPr>
      <w:r w:rsidRPr="00F80F70">
        <w:rPr>
          <w:rFonts w:ascii="Arial Narrow" w:hAnsi="Arial Narrow"/>
          <w:sz w:val="24"/>
          <w:szCs w:val="24"/>
        </w:rPr>
        <w:t xml:space="preserve">Les frais d’hébergement lors d’un déplacement en province seront pris en charge sur présentation d’un justificatif et </w:t>
      </w:r>
      <w:r w:rsidR="000838A3" w:rsidRPr="00F80F70">
        <w:rPr>
          <w:rFonts w:ascii="Arial Narrow" w:hAnsi="Arial Narrow"/>
          <w:sz w:val="24"/>
          <w:szCs w:val="24"/>
        </w:rPr>
        <w:t xml:space="preserve">dans les limites des grilles en vigueur à </w:t>
      </w:r>
      <w:r w:rsidR="00E44F92">
        <w:rPr>
          <w:rFonts w:ascii="Arial Narrow" w:hAnsi="Arial Narrow"/>
          <w:sz w:val="24"/>
          <w:szCs w:val="24"/>
        </w:rPr>
        <w:t>Santé publique France</w:t>
      </w:r>
      <w:r w:rsidRPr="00F80F70">
        <w:rPr>
          <w:rFonts w:ascii="Arial Narrow" w:hAnsi="Arial Narrow"/>
          <w:sz w:val="24"/>
          <w:szCs w:val="24"/>
        </w:rPr>
        <w:t>.</w:t>
      </w:r>
    </w:p>
    <w:p w14:paraId="75C92A5F" w14:textId="77777777" w:rsidR="00AE0044" w:rsidRDefault="00750CEB" w:rsidP="006403F8">
      <w:pPr>
        <w:pStyle w:val="Titre1"/>
      </w:pPr>
      <w:r>
        <w:br w:type="column"/>
      </w:r>
    </w:p>
    <w:p w14:paraId="416B6490" w14:textId="77777777" w:rsidR="00750CEB" w:rsidRDefault="00750CEB" w:rsidP="004949F4">
      <w:pPr>
        <w:jc w:val="both"/>
        <w:rPr>
          <w:rFonts w:ascii="Arial Narrow" w:hAnsi="Arial Narrow" w:cs="Courier New"/>
          <w:sz w:val="24"/>
          <w:szCs w:val="24"/>
        </w:rPr>
      </w:pPr>
    </w:p>
    <w:p w14:paraId="2DBF2566" w14:textId="77777777" w:rsidR="006403F8" w:rsidRDefault="006403F8" w:rsidP="006403F8">
      <w:pPr>
        <w:pStyle w:val="Titre1"/>
      </w:pPr>
    </w:p>
    <w:p w14:paraId="190A9745" w14:textId="77777777" w:rsidR="006403F8" w:rsidRPr="006403F8" w:rsidRDefault="006403F8" w:rsidP="006403F8"/>
    <w:p w14:paraId="4FFDD170" w14:textId="77777777" w:rsidR="00750CEB" w:rsidRPr="00AE0044" w:rsidRDefault="00750CEB" w:rsidP="004949F4">
      <w:pPr>
        <w:jc w:val="both"/>
        <w:rPr>
          <w:rFonts w:ascii="Arial Narrow" w:hAnsi="Arial Narrow" w:cs="Courier New"/>
          <w:sz w:val="24"/>
          <w:szCs w:val="24"/>
        </w:rPr>
      </w:pPr>
    </w:p>
    <w:p w14:paraId="57588975" w14:textId="121DAACF" w:rsidR="00750CEB" w:rsidRPr="006403F8" w:rsidRDefault="00750CEB" w:rsidP="006403F8">
      <w:pPr>
        <w:pStyle w:val="Titre1"/>
      </w:pPr>
      <w:bookmarkStart w:id="12" w:name="_Toc192842140"/>
      <w:r w:rsidRPr="006403F8">
        <w:t>Composition de l’é</w:t>
      </w:r>
      <w:r w:rsidR="004949F4" w:rsidRPr="006403F8">
        <w:t>quipe dédiée mise à disposition</w:t>
      </w:r>
      <w:bookmarkEnd w:id="12"/>
      <w:r w:rsidR="004949F4" w:rsidRPr="006403F8">
        <w:t xml:space="preserve"> </w:t>
      </w:r>
    </w:p>
    <w:p w14:paraId="7A9E2A30" w14:textId="77777777" w:rsidR="00750CEB" w:rsidRDefault="00750CEB" w:rsidP="006403F8">
      <w:pPr>
        <w:pStyle w:val="Titre1"/>
      </w:pPr>
    </w:p>
    <w:p w14:paraId="1975CA64" w14:textId="77777777" w:rsidR="006403F8" w:rsidRDefault="004949F4" w:rsidP="00750CEB">
      <w:pPr>
        <w:jc w:val="center"/>
        <w:rPr>
          <w:rFonts w:ascii="Arial" w:hAnsi="Arial" w:cs="Arial"/>
        </w:rPr>
      </w:pPr>
      <w:r w:rsidRPr="00750CEB">
        <w:rPr>
          <w:rFonts w:ascii="Arial" w:hAnsi="Arial" w:cs="Arial"/>
        </w:rPr>
        <w:t>(</w:t>
      </w:r>
      <w:r w:rsidR="006403F8" w:rsidRPr="00750CEB">
        <w:rPr>
          <w:rFonts w:ascii="Arial" w:hAnsi="Arial" w:cs="Arial"/>
        </w:rPr>
        <w:t>Nombre</w:t>
      </w:r>
      <w:r w:rsidRPr="00750CEB">
        <w:rPr>
          <w:rFonts w:ascii="Arial" w:hAnsi="Arial" w:cs="Arial"/>
        </w:rPr>
        <w:t>, formation, expériences</w:t>
      </w:r>
      <w:r w:rsidR="00B435B2">
        <w:rPr>
          <w:rFonts w:ascii="Arial" w:hAnsi="Arial" w:cs="Arial"/>
        </w:rPr>
        <w:t xml:space="preserve"> notamment en termes de type d’enquête réalisée </w:t>
      </w:r>
    </w:p>
    <w:p w14:paraId="20C567BA" w14:textId="540686FF" w:rsidR="00D203BA" w:rsidRPr="00750CEB" w:rsidRDefault="00B435B2" w:rsidP="00750CEB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et</w:t>
      </w:r>
      <w:proofErr w:type="gramEnd"/>
      <w:r>
        <w:rPr>
          <w:rFonts w:ascii="Arial" w:hAnsi="Arial" w:cs="Arial"/>
        </w:rPr>
        <w:t>/ou auditée</w:t>
      </w:r>
      <w:r w:rsidR="004949F4" w:rsidRPr="00750CEB">
        <w:rPr>
          <w:rFonts w:ascii="Arial" w:hAnsi="Arial" w:cs="Arial"/>
        </w:rPr>
        <w:t>, fonction)</w:t>
      </w:r>
    </w:p>
    <w:p w14:paraId="502920D0" w14:textId="77777777" w:rsidR="00750CEB" w:rsidRDefault="00750CEB" w:rsidP="00750CEB"/>
    <w:p w14:paraId="54DCA806" w14:textId="77777777" w:rsidR="00750CEB" w:rsidRDefault="00750CEB" w:rsidP="00750CEB"/>
    <w:p w14:paraId="3026CD91" w14:textId="77777777" w:rsidR="00750CEB" w:rsidRPr="00750CEB" w:rsidRDefault="00750CEB" w:rsidP="00750CEB"/>
    <w:sectPr w:rsidR="00750CEB" w:rsidRPr="00750CEB" w:rsidSect="00E9249D">
      <w:footerReference w:type="default" r:id="rId9"/>
      <w:pgSz w:w="11906" w:h="16838" w:code="9"/>
      <w:pgMar w:top="1417" w:right="1417" w:bottom="1417" w:left="141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3D6AAE" w14:textId="77777777" w:rsidR="00102524" w:rsidRDefault="00102524">
      <w:r>
        <w:separator/>
      </w:r>
    </w:p>
  </w:endnote>
  <w:endnote w:type="continuationSeparator" w:id="0">
    <w:p w14:paraId="305C4611" w14:textId="77777777" w:rsidR="00102524" w:rsidRDefault="00102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593BC" w14:textId="06D16310" w:rsidR="0043082C" w:rsidRDefault="0043082C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 w:rsidR="00064C7A">
      <w:rPr>
        <w:noProof/>
      </w:rPr>
      <w:t>7</w:t>
    </w:r>
    <w:r>
      <w:fldChar w:fldCharType="end"/>
    </w:r>
  </w:p>
  <w:p w14:paraId="77B17E4B" w14:textId="77777777" w:rsidR="0043082C" w:rsidRDefault="0043082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8B257" w14:textId="77777777" w:rsidR="00102524" w:rsidRDefault="00102524">
      <w:r>
        <w:separator/>
      </w:r>
    </w:p>
  </w:footnote>
  <w:footnote w:type="continuationSeparator" w:id="0">
    <w:p w14:paraId="1B5970D9" w14:textId="77777777" w:rsidR="00102524" w:rsidRDefault="00102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B3882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72012A"/>
    <w:multiLevelType w:val="hybridMultilevel"/>
    <w:tmpl w:val="DD8E421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14D90"/>
    <w:multiLevelType w:val="hybridMultilevel"/>
    <w:tmpl w:val="1ED4045E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1136F"/>
    <w:multiLevelType w:val="hybridMultilevel"/>
    <w:tmpl w:val="9F58739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A1701"/>
    <w:multiLevelType w:val="hybridMultilevel"/>
    <w:tmpl w:val="8302719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B3DA6"/>
    <w:multiLevelType w:val="hybridMultilevel"/>
    <w:tmpl w:val="A93298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BC6B2C"/>
    <w:multiLevelType w:val="hybridMultilevel"/>
    <w:tmpl w:val="6E507F9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94C"/>
    <w:rsid w:val="000428B8"/>
    <w:rsid w:val="00042F19"/>
    <w:rsid w:val="00064C7A"/>
    <w:rsid w:val="000751B4"/>
    <w:rsid w:val="00075828"/>
    <w:rsid w:val="000838A3"/>
    <w:rsid w:val="00083C4D"/>
    <w:rsid w:val="000B5A5B"/>
    <w:rsid w:val="000C3FA0"/>
    <w:rsid w:val="000D560F"/>
    <w:rsid w:val="000E20D5"/>
    <w:rsid w:val="000E5811"/>
    <w:rsid w:val="000F4DF6"/>
    <w:rsid w:val="00102524"/>
    <w:rsid w:val="001035E4"/>
    <w:rsid w:val="00121368"/>
    <w:rsid w:val="00181E0F"/>
    <w:rsid w:val="001A48CC"/>
    <w:rsid w:val="001C5DFB"/>
    <w:rsid w:val="001D4F3C"/>
    <w:rsid w:val="001D5250"/>
    <w:rsid w:val="001E4023"/>
    <w:rsid w:val="00202FDC"/>
    <w:rsid w:val="00204B80"/>
    <w:rsid w:val="0022404E"/>
    <w:rsid w:val="002648D9"/>
    <w:rsid w:val="002828A4"/>
    <w:rsid w:val="00296633"/>
    <w:rsid w:val="002B1A0E"/>
    <w:rsid w:val="002B5BD9"/>
    <w:rsid w:val="002D52EF"/>
    <w:rsid w:val="002F533B"/>
    <w:rsid w:val="00321671"/>
    <w:rsid w:val="00342300"/>
    <w:rsid w:val="0035638C"/>
    <w:rsid w:val="003746BE"/>
    <w:rsid w:val="003A0F16"/>
    <w:rsid w:val="003B65B3"/>
    <w:rsid w:val="003D611C"/>
    <w:rsid w:val="00417832"/>
    <w:rsid w:val="0043082C"/>
    <w:rsid w:val="00436991"/>
    <w:rsid w:val="0044294C"/>
    <w:rsid w:val="004933FD"/>
    <w:rsid w:val="004949F4"/>
    <w:rsid w:val="004A1491"/>
    <w:rsid w:val="004C11B6"/>
    <w:rsid w:val="004D2EF1"/>
    <w:rsid w:val="004D4935"/>
    <w:rsid w:val="004F3976"/>
    <w:rsid w:val="004F7851"/>
    <w:rsid w:val="00546C30"/>
    <w:rsid w:val="00554507"/>
    <w:rsid w:val="00556294"/>
    <w:rsid w:val="00562E27"/>
    <w:rsid w:val="00571BE6"/>
    <w:rsid w:val="006330ED"/>
    <w:rsid w:val="006403F8"/>
    <w:rsid w:val="006406FD"/>
    <w:rsid w:val="00667F2F"/>
    <w:rsid w:val="006F27B3"/>
    <w:rsid w:val="00730591"/>
    <w:rsid w:val="00733452"/>
    <w:rsid w:val="007338B9"/>
    <w:rsid w:val="0073681A"/>
    <w:rsid w:val="007459BF"/>
    <w:rsid w:val="00750CEB"/>
    <w:rsid w:val="007546B1"/>
    <w:rsid w:val="00783240"/>
    <w:rsid w:val="00786E63"/>
    <w:rsid w:val="007A5D1E"/>
    <w:rsid w:val="007A7B87"/>
    <w:rsid w:val="007B3643"/>
    <w:rsid w:val="007B444C"/>
    <w:rsid w:val="007B68E6"/>
    <w:rsid w:val="007C09CA"/>
    <w:rsid w:val="007D1E6E"/>
    <w:rsid w:val="007E5D34"/>
    <w:rsid w:val="007F5C19"/>
    <w:rsid w:val="00824460"/>
    <w:rsid w:val="00864759"/>
    <w:rsid w:val="0087364F"/>
    <w:rsid w:val="0087706C"/>
    <w:rsid w:val="008D4C46"/>
    <w:rsid w:val="008F2713"/>
    <w:rsid w:val="00916DE4"/>
    <w:rsid w:val="0095158E"/>
    <w:rsid w:val="00954795"/>
    <w:rsid w:val="009633E3"/>
    <w:rsid w:val="00965078"/>
    <w:rsid w:val="00966A9C"/>
    <w:rsid w:val="00993D2E"/>
    <w:rsid w:val="009A4C58"/>
    <w:rsid w:val="00A03149"/>
    <w:rsid w:val="00A23806"/>
    <w:rsid w:val="00A37973"/>
    <w:rsid w:val="00A748A3"/>
    <w:rsid w:val="00A83F5C"/>
    <w:rsid w:val="00A90AB2"/>
    <w:rsid w:val="00A92EB2"/>
    <w:rsid w:val="00AA1E9B"/>
    <w:rsid w:val="00AC63C1"/>
    <w:rsid w:val="00AE0044"/>
    <w:rsid w:val="00AE27DA"/>
    <w:rsid w:val="00B0542C"/>
    <w:rsid w:val="00B14EA8"/>
    <w:rsid w:val="00B22656"/>
    <w:rsid w:val="00B435B2"/>
    <w:rsid w:val="00B56464"/>
    <w:rsid w:val="00BA1494"/>
    <w:rsid w:val="00BA4830"/>
    <w:rsid w:val="00BC2338"/>
    <w:rsid w:val="00BC7E59"/>
    <w:rsid w:val="00C51E6D"/>
    <w:rsid w:val="00C8649A"/>
    <w:rsid w:val="00CE7481"/>
    <w:rsid w:val="00D04AB6"/>
    <w:rsid w:val="00D203BA"/>
    <w:rsid w:val="00D265F2"/>
    <w:rsid w:val="00D57C79"/>
    <w:rsid w:val="00D67E9C"/>
    <w:rsid w:val="00D72D33"/>
    <w:rsid w:val="00DA1983"/>
    <w:rsid w:val="00DB1D83"/>
    <w:rsid w:val="00DB6B8F"/>
    <w:rsid w:val="00DE74B8"/>
    <w:rsid w:val="00E061F0"/>
    <w:rsid w:val="00E06230"/>
    <w:rsid w:val="00E10B15"/>
    <w:rsid w:val="00E15901"/>
    <w:rsid w:val="00E24BA9"/>
    <w:rsid w:val="00E426B6"/>
    <w:rsid w:val="00E44F92"/>
    <w:rsid w:val="00E54ADB"/>
    <w:rsid w:val="00E66DFD"/>
    <w:rsid w:val="00E67052"/>
    <w:rsid w:val="00E8442A"/>
    <w:rsid w:val="00E9249D"/>
    <w:rsid w:val="00EB306E"/>
    <w:rsid w:val="00EB7306"/>
    <w:rsid w:val="00ED2B79"/>
    <w:rsid w:val="00EE543E"/>
    <w:rsid w:val="00EF4DAB"/>
    <w:rsid w:val="00F2591F"/>
    <w:rsid w:val="00F51B19"/>
    <w:rsid w:val="00F55E1B"/>
    <w:rsid w:val="00F564B3"/>
    <w:rsid w:val="00F639A1"/>
    <w:rsid w:val="00F70D6D"/>
    <w:rsid w:val="00F80F70"/>
    <w:rsid w:val="00FB685C"/>
    <w:rsid w:val="00FE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216E89"/>
  <w15:docId w15:val="{4BB3EDFD-D7F2-4F74-88EF-CC737CC52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706C"/>
  </w:style>
  <w:style w:type="paragraph" w:styleId="Titre1">
    <w:name w:val="heading 1"/>
    <w:basedOn w:val="Normal"/>
    <w:next w:val="Normal"/>
    <w:link w:val="Titre1Car"/>
    <w:autoRedefine/>
    <w:qFormat/>
    <w:rsid w:val="006403F8"/>
    <w:pPr>
      <w:jc w:val="center"/>
      <w:outlineLvl w:val="0"/>
    </w:pPr>
    <w:rPr>
      <w:rFonts w:ascii="Arial" w:hAnsi="Arial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ignaturelectronique">
    <w:name w:val="E-mail Signature"/>
    <w:basedOn w:val="Normal"/>
  </w:style>
  <w:style w:type="paragraph" w:styleId="NormalWeb">
    <w:name w:val="Normal (Web)"/>
    <w:basedOn w:val="Normal"/>
    <w:pPr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qFormat/>
    <w:rPr>
      <w:b/>
      <w:bCs/>
    </w:rPr>
  </w:style>
  <w:style w:type="paragraph" w:customStyle="1" w:styleId="Style1">
    <w:name w:val="Style1"/>
    <w:basedOn w:val="Corpsdetexte"/>
  </w:style>
  <w:style w:type="paragraph" w:styleId="Corpsdetexte">
    <w:name w:val="Body Text"/>
    <w:basedOn w:val="Normal"/>
    <w:pPr>
      <w:spacing w:after="120"/>
    </w:pPr>
    <w:rPr>
      <w:rFonts w:ascii="Arial Narrow" w:hAnsi="Arial Narrow"/>
      <w:sz w:val="24"/>
    </w:rPr>
  </w:style>
  <w:style w:type="paragraph" w:customStyle="1" w:styleId="Style2">
    <w:name w:val="Style2"/>
    <w:basedOn w:val="Corpsdetexte"/>
    <w:next w:val="Corpsdetexte"/>
  </w:style>
  <w:style w:type="character" w:styleId="Lienhypertextesuivivisit">
    <w:name w:val="FollowedHyperlink"/>
    <w:rPr>
      <w:color w:val="800080"/>
      <w:u w:val="single"/>
    </w:rPr>
  </w:style>
  <w:style w:type="paragraph" w:styleId="Lgende">
    <w:name w:val="caption"/>
    <w:basedOn w:val="Normal"/>
    <w:next w:val="Normal"/>
    <w:autoRedefine/>
    <w:qFormat/>
    <w:pPr>
      <w:spacing w:before="120" w:after="120"/>
      <w:jc w:val="center"/>
    </w:pPr>
    <w:rPr>
      <w:rFonts w:ascii="Arial Narrow" w:hAnsi="Arial Narrow"/>
      <w:b/>
      <w:bCs/>
      <w:sz w:val="24"/>
    </w:rPr>
  </w:style>
  <w:style w:type="paragraph" w:customStyle="1" w:styleId="StyleLgende12ptCentr">
    <w:name w:val="Style Légende + 12 pt Centré"/>
    <w:basedOn w:val="Lgende"/>
    <w:autoRedefine/>
    <w:rsid w:val="00FE1064"/>
    <w:pPr>
      <w:jc w:val="both"/>
    </w:pPr>
    <w:rPr>
      <w:szCs w:val="24"/>
    </w:rPr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character" w:styleId="Lienhypertexte">
    <w:name w:val="Hyperlink"/>
    <w:uiPriority w:val="99"/>
    <w:rPr>
      <w:color w:val="0000FF"/>
      <w:u w:val="single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9547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8F271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F2713"/>
  </w:style>
  <w:style w:type="character" w:customStyle="1" w:styleId="CommentaireCar">
    <w:name w:val="Commentaire Car"/>
    <w:basedOn w:val="Policepardfaut"/>
    <w:link w:val="Commentaire"/>
    <w:uiPriority w:val="99"/>
    <w:semiHidden/>
    <w:rsid w:val="008F2713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F2713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8F2713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F271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F2713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99"/>
    <w:rsid w:val="00F55E1B"/>
  </w:style>
  <w:style w:type="paragraph" w:styleId="TM1">
    <w:name w:val="toc 1"/>
    <w:basedOn w:val="Normal"/>
    <w:next w:val="Normal"/>
    <w:autoRedefine/>
    <w:uiPriority w:val="39"/>
    <w:unhideWhenUsed/>
    <w:rsid w:val="00F80F70"/>
  </w:style>
  <w:style w:type="character" w:customStyle="1" w:styleId="Titre1Car">
    <w:name w:val="Titre 1 Car"/>
    <w:link w:val="Titre1"/>
    <w:rsid w:val="006403F8"/>
    <w:rPr>
      <w:rFonts w:ascii="Arial" w:hAnsi="Arial"/>
      <w:b/>
      <w:sz w:val="24"/>
      <w:szCs w:val="24"/>
    </w:rPr>
  </w:style>
  <w:style w:type="paragraph" w:customStyle="1" w:styleId="CarCar1Car">
    <w:name w:val="Car Car1 Car"/>
    <w:basedOn w:val="Normal"/>
    <w:rsid w:val="004949F4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styleId="Paragraphedeliste">
    <w:name w:val="List Paragraph"/>
    <w:basedOn w:val="Normal"/>
    <w:uiPriority w:val="34"/>
    <w:qFormat/>
    <w:rsid w:val="00966A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4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0C6B8-C30A-4BF7-8662-C4F1ED15B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1168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Pierre Arwidson</vt:lpstr>
    </vt:vector>
  </TitlesOfParts>
  <Company>*</Company>
  <LinksUpToDate>false</LinksUpToDate>
  <CharactersWithSpaces>8347</CharactersWithSpaces>
  <SharedDoc>false</SharedDoc>
  <HLinks>
    <vt:vector size="24" baseType="variant">
      <vt:variant>
        <vt:i4>1114164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_Toc473111210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_Toc473111209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_Toc473111208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_Toc473111206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Pierre Arwidson</dc:title>
  <dc:creator>Pierre Arwidson</dc:creator>
  <cp:lastModifiedBy>MOREAU Christine</cp:lastModifiedBy>
  <cp:revision>3</cp:revision>
  <cp:lastPrinted>2017-03-06T16:40:00Z</cp:lastPrinted>
  <dcterms:created xsi:type="dcterms:W3CDTF">2025-03-20T09:59:00Z</dcterms:created>
  <dcterms:modified xsi:type="dcterms:W3CDTF">2025-04-01T12:30:00Z</dcterms:modified>
</cp:coreProperties>
</file>