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D4D67" w14:textId="77777777" w:rsidR="00C136DD" w:rsidRDefault="00C136DD" w:rsidP="00C136DD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</w:p>
    <w:p w14:paraId="4C9F3AC4" w14:textId="77777777" w:rsidR="00C136DD" w:rsidRDefault="00C136DD" w:rsidP="00C136DD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</w:p>
    <w:p w14:paraId="139E3C96" w14:textId="77777777" w:rsidR="00C136DD" w:rsidRDefault="00C136DD" w:rsidP="00C136DD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  <w:r>
        <w:rPr>
          <w:rFonts w:ascii="ArialNarrow" w:hAnsi="ArialNarrow" w:cs="ArialNarrow"/>
          <w:color w:val="000000"/>
          <w:sz w:val="32"/>
          <w:szCs w:val="32"/>
        </w:rPr>
        <w:t>ACCORD CADRE n° 2025-22</w:t>
      </w:r>
    </w:p>
    <w:p w14:paraId="3886EFA1" w14:textId="77777777" w:rsidR="00C136DD" w:rsidRDefault="00C136DD" w:rsidP="00C136DD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</w:p>
    <w:p w14:paraId="2BA3C29D" w14:textId="77777777" w:rsidR="00C136DD" w:rsidRDefault="00C136DD" w:rsidP="00C136DD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  <w:r>
        <w:rPr>
          <w:rFonts w:ascii="ArialNarrow" w:hAnsi="ArialNarrow" w:cs="ArialNarrow"/>
          <w:color w:val="000000"/>
          <w:sz w:val="32"/>
          <w:szCs w:val="32"/>
        </w:rPr>
        <w:t>Réalisation d’études qualitatives, quantitatives, de conception d’intervention et d’évaluation d’impact auprès de différents publics dans le domaine de la santé, et suivi de terrain d’études</w:t>
      </w:r>
    </w:p>
    <w:p w14:paraId="446DD3AE" w14:textId="77777777" w:rsidR="00C136DD" w:rsidRDefault="00C136DD" w:rsidP="00C136DD">
      <w:pPr>
        <w:autoSpaceDE w:val="0"/>
        <w:autoSpaceDN w:val="0"/>
        <w:adjustRightInd w:val="0"/>
        <w:spacing w:after="0" w:line="240" w:lineRule="auto"/>
        <w:rPr>
          <w:rFonts w:ascii="ArialNarrow-Bold" w:hAnsi="ArialNarrow-Bold" w:cs="ArialNarrow-Bold"/>
          <w:b/>
          <w:bCs/>
          <w:color w:val="000000"/>
          <w:sz w:val="28"/>
          <w:szCs w:val="28"/>
        </w:rPr>
      </w:pPr>
    </w:p>
    <w:p w14:paraId="445EA176" w14:textId="77777777" w:rsidR="00C136DD" w:rsidRDefault="00C136DD" w:rsidP="00C136DD">
      <w:pPr>
        <w:autoSpaceDE w:val="0"/>
        <w:autoSpaceDN w:val="0"/>
        <w:adjustRightInd w:val="0"/>
        <w:spacing w:after="0" w:line="240" w:lineRule="auto"/>
        <w:rPr>
          <w:rFonts w:ascii="ArialNarrow-Bold" w:hAnsi="ArialNarrow-Bold" w:cs="ArialNarrow-Bold"/>
          <w:b/>
          <w:bCs/>
          <w:color w:val="000000"/>
          <w:sz w:val="28"/>
          <w:szCs w:val="28"/>
        </w:rPr>
      </w:pPr>
    </w:p>
    <w:p w14:paraId="7D65113E" w14:textId="77777777" w:rsidR="00C136DD" w:rsidRDefault="00C136DD" w:rsidP="00C136DD">
      <w:pPr>
        <w:autoSpaceDE w:val="0"/>
        <w:autoSpaceDN w:val="0"/>
        <w:adjustRightInd w:val="0"/>
        <w:spacing w:after="0" w:line="240" w:lineRule="auto"/>
        <w:jc w:val="center"/>
        <w:rPr>
          <w:rFonts w:ascii="ArialNarrow-Bold" w:hAnsi="ArialNarrow-Bold" w:cs="ArialNarrow-Bold"/>
          <w:b/>
          <w:bCs/>
          <w:color w:val="000000"/>
          <w:sz w:val="28"/>
          <w:szCs w:val="28"/>
        </w:rPr>
      </w:pPr>
      <w:r>
        <w:rPr>
          <w:rFonts w:ascii="ArialNarrow-Bold" w:hAnsi="ArialNarrow-Bold" w:cs="ArialNarrow-Bold"/>
          <w:b/>
          <w:bCs/>
          <w:color w:val="000000"/>
          <w:sz w:val="28"/>
          <w:szCs w:val="28"/>
        </w:rPr>
        <w:t>Lot n°6</w:t>
      </w:r>
    </w:p>
    <w:p w14:paraId="29536E83" w14:textId="77777777" w:rsidR="00C136DD" w:rsidRDefault="00C136DD" w:rsidP="00C136DD">
      <w:pPr>
        <w:autoSpaceDE w:val="0"/>
        <w:autoSpaceDN w:val="0"/>
        <w:adjustRightInd w:val="0"/>
        <w:spacing w:after="0" w:line="240" w:lineRule="auto"/>
        <w:jc w:val="center"/>
        <w:rPr>
          <w:rFonts w:ascii="ArialNarrow-Bold" w:hAnsi="ArialNarrow-Bold" w:cs="ArialNarrow-Bold"/>
          <w:b/>
          <w:bCs/>
          <w:color w:val="000000"/>
          <w:sz w:val="28"/>
          <w:szCs w:val="28"/>
        </w:rPr>
      </w:pPr>
    </w:p>
    <w:p w14:paraId="00C35C27" w14:textId="77777777" w:rsidR="00C136DD" w:rsidRDefault="00C136DD" w:rsidP="00C136DD">
      <w:pPr>
        <w:autoSpaceDE w:val="0"/>
        <w:autoSpaceDN w:val="0"/>
        <w:adjustRightInd w:val="0"/>
        <w:spacing w:after="0" w:line="240" w:lineRule="auto"/>
        <w:jc w:val="center"/>
        <w:rPr>
          <w:rFonts w:ascii="ArialNarrow-Bold" w:hAnsi="ArialNarrow-Bold" w:cs="ArialNarrow-Bold"/>
          <w:b/>
          <w:bCs/>
          <w:color w:val="000000"/>
          <w:sz w:val="28"/>
          <w:szCs w:val="28"/>
        </w:rPr>
      </w:pPr>
      <w:r>
        <w:rPr>
          <w:rFonts w:ascii="ArialNarrow-Bold" w:hAnsi="ArialNarrow-Bold" w:cs="ArialNarrow-Bold"/>
          <w:b/>
          <w:bCs/>
          <w:color w:val="000000"/>
          <w:sz w:val="28"/>
          <w:szCs w:val="28"/>
        </w:rPr>
        <w:t>Annexe financière et Équipe dédiée</w:t>
      </w:r>
    </w:p>
    <w:p w14:paraId="61B2FF5C" w14:textId="77777777" w:rsidR="00C136DD" w:rsidRDefault="00C136DD">
      <w:pPr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br w:type="page"/>
      </w:r>
    </w:p>
    <w:p w14:paraId="2AFB594C" w14:textId="63B10090" w:rsidR="00C136DD" w:rsidRPr="00834E41" w:rsidRDefault="00FE0750" w:rsidP="0005708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lastRenderedPageBreak/>
        <w:t>Les prestations (unités d’œuvre) listées ci-dessous ont</w:t>
      </w:r>
      <w:r w:rsidR="00C136DD" w:rsidRPr="00834E41">
        <w:rPr>
          <w:rFonts w:ascii="Arial Narrow" w:hAnsi="Arial Narrow" w:cs="Calibri"/>
          <w:color w:val="000000"/>
        </w:rPr>
        <w:t xml:space="preserve"> pour objectif d’aider Santé publique France dans ses travaux préparatoires à la conception d’un projet d’intervention visant un changement de comportement à favoriser. Cette approche permet de</w:t>
      </w:r>
      <w:r w:rsidR="001B575A" w:rsidRPr="00834E41">
        <w:rPr>
          <w:rFonts w:ascii="Arial Narrow" w:hAnsi="Arial Narrow" w:cs="Calibri"/>
          <w:color w:val="000000"/>
        </w:rPr>
        <w:t xml:space="preserve"> tenir compte des connaissances </w:t>
      </w:r>
      <w:r w:rsidR="00C136DD" w:rsidRPr="00834E41">
        <w:rPr>
          <w:rFonts w:ascii="Arial Narrow" w:hAnsi="Arial Narrow" w:cs="Calibri"/>
          <w:color w:val="000000"/>
        </w:rPr>
        <w:t>scientifiques accumulées sur les comportements humains et ses biais, l’</w:t>
      </w:r>
      <w:r w:rsidR="001B575A" w:rsidRPr="00834E41">
        <w:rPr>
          <w:rFonts w:ascii="Arial Narrow" w:hAnsi="Arial Narrow" w:cs="Calibri"/>
          <w:color w:val="000000"/>
        </w:rPr>
        <w:t xml:space="preserve">influence des </w:t>
      </w:r>
      <w:r w:rsidR="00C136DD" w:rsidRPr="00834E41">
        <w:rPr>
          <w:rFonts w:ascii="Arial Narrow" w:hAnsi="Arial Narrow" w:cs="Calibri"/>
          <w:color w:val="000000"/>
        </w:rPr>
        <w:t>contextes. Ces tableaux de prix incluent également un accompagnement à l’é</w:t>
      </w:r>
      <w:r w:rsidR="001B575A" w:rsidRPr="00834E41">
        <w:rPr>
          <w:rFonts w:ascii="Arial Narrow" w:hAnsi="Arial Narrow" w:cs="Calibri"/>
          <w:color w:val="000000"/>
        </w:rPr>
        <w:t>valuation d</w:t>
      </w:r>
      <w:r w:rsidR="00C136DD" w:rsidRPr="00834E41">
        <w:rPr>
          <w:rFonts w:ascii="Arial Narrow" w:hAnsi="Arial Narrow" w:cs="Calibri"/>
          <w:color w:val="000000"/>
        </w:rPr>
        <w:t>’impact.</w:t>
      </w:r>
    </w:p>
    <w:p w14:paraId="079D74A1" w14:textId="77777777" w:rsidR="00FE0750" w:rsidRPr="00834E41" w:rsidRDefault="00FE0750" w:rsidP="0005708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color w:val="000000"/>
        </w:rPr>
      </w:pPr>
    </w:p>
    <w:p w14:paraId="3E900AEC" w14:textId="77777777" w:rsidR="00FE0750" w:rsidRPr="00834E41" w:rsidRDefault="00FE0750" w:rsidP="00FE0750">
      <w:pPr>
        <w:ind w:right="-92"/>
        <w:jc w:val="both"/>
        <w:rPr>
          <w:rFonts w:ascii="Arial Narrow" w:hAnsi="Arial Narrow"/>
        </w:rPr>
      </w:pPr>
      <w:r w:rsidRPr="00834E41">
        <w:rPr>
          <w:rFonts w:ascii="Arial Narrow" w:hAnsi="Arial Narrow"/>
        </w:rPr>
        <w:t>Un sujet est dit « simple » quand des travaux descriptifs ou évaluatifs sont facilement mobilisables, que des études ont déjà été réalisées par Santé publique France ou d’autres institutions, que le comportement à favoriser est facilement défini.</w:t>
      </w:r>
    </w:p>
    <w:p w14:paraId="0ECF3F26" w14:textId="517D2E79" w:rsidR="00FE0750" w:rsidRPr="00BA2D33" w:rsidRDefault="00FE0750" w:rsidP="00BA2D33">
      <w:pPr>
        <w:ind w:right="-92"/>
        <w:jc w:val="both"/>
        <w:rPr>
          <w:rFonts w:ascii="Arial Narrow" w:hAnsi="Arial Narrow"/>
        </w:rPr>
      </w:pPr>
      <w:r w:rsidRPr="00834E41">
        <w:rPr>
          <w:rFonts w:ascii="Arial Narrow" w:hAnsi="Arial Narrow"/>
        </w:rPr>
        <w:t>Un sujet est dit « complexe » quand il s’agit d’un sujet peu exploré par Santé publique France ou dans la littérature, que le système d’influence sur les comportements est encore mal décrit, ou que le comportement à favoriser ne fait pas encore l’objet de consensus.</w:t>
      </w:r>
    </w:p>
    <w:p w14:paraId="3FB64EB9" w14:textId="77777777" w:rsidR="00C136DD" w:rsidRDefault="00C136DD" w:rsidP="00C136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2"/>
        <w:gridCol w:w="3003"/>
        <w:gridCol w:w="1276"/>
        <w:gridCol w:w="1417"/>
        <w:gridCol w:w="1554"/>
      </w:tblGrid>
      <w:tr w:rsidR="00C136DD" w:rsidRPr="00C136DD" w14:paraId="37766AC6" w14:textId="77777777" w:rsidTr="00BA2D33">
        <w:tc>
          <w:tcPr>
            <w:tcW w:w="1812" w:type="dxa"/>
          </w:tcPr>
          <w:p w14:paraId="4FF6F8B5" w14:textId="77777777" w:rsidR="00C136DD" w:rsidRPr="00BF5567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ArialNarrow-Bold"/>
                <w:b/>
                <w:bCs/>
                <w:color w:val="000000"/>
                <w:sz w:val="20"/>
                <w:szCs w:val="20"/>
              </w:rPr>
              <w:t>Unités d’oeuvre</w:t>
            </w:r>
          </w:p>
        </w:tc>
        <w:tc>
          <w:tcPr>
            <w:tcW w:w="3003" w:type="dxa"/>
          </w:tcPr>
          <w:p w14:paraId="50B00800" w14:textId="77777777" w:rsidR="00C136DD" w:rsidRPr="00BF5567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ArialNarrow-Bold"/>
                <w:b/>
                <w:bCs/>
                <w:color w:val="000000"/>
                <w:sz w:val="20"/>
                <w:szCs w:val="20"/>
              </w:rPr>
              <w:t>Description</w:t>
            </w:r>
          </w:p>
        </w:tc>
        <w:tc>
          <w:tcPr>
            <w:tcW w:w="1276" w:type="dxa"/>
          </w:tcPr>
          <w:p w14:paraId="0C2FD673" w14:textId="77777777" w:rsidR="00C136DD" w:rsidRPr="00BF5567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ArialNarrow-Bold"/>
                <w:b/>
                <w:bCs/>
                <w:color w:val="000000"/>
                <w:sz w:val="20"/>
                <w:szCs w:val="20"/>
              </w:rPr>
              <w:t>Durée</w:t>
            </w:r>
          </w:p>
        </w:tc>
        <w:tc>
          <w:tcPr>
            <w:tcW w:w="1417" w:type="dxa"/>
          </w:tcPr>
          <w:p w14:paraId="2242A337" w14:textId="77777777" w:rsidR="00C136DD" w:rsidRPr="00C136DD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C136DD">
              <w:rPr>
                <w:rFonts w:ascii="Arial Narrow" w:hAnsi="Arial Narrow" w:cs="ArialNarrow-Bold"/>
                <w:b/>
                <w:bCs/>
                <w:color w:val="000000"/>
                <w:sz w:val="20"/>
                <w:szCs w:val="20"/>
              </w:rPr>
              <w:t>Prix € HT</w:t>
            </w:r>
          </w:p>
        </w:tc>
        <w:tc>
          <w:tcPr>
            <w:tcW w:w="1554" w:type="dxa"/>
          </w:tcPr>
          <w:p w14:paraId="717C399D" w14:textId="660D3702" w:rsidR="00C136DD" w:rsidRPr="00C136DD" w:rsidRDefault="00BA2D33" w:rsidP="00BA2D3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Narrow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Narrow-Bold"/>
                <w:b/>
                <w:bCs/>
                <w:color w:val="000000"/>
                <w:sz w:val="20"/>
                <w:szCs w:val="20"/>
              </w:rPr>
              <w:t xml:space="preserve">Prix </w:t>
            </w:r>
            <w:bookmarkStart w:id="0" w:name="_GoBack"/>
            <w:bookmarkEnd w:id="0"/>
            <w:r w:rsidRPr="00C136DD">
              <w:rPr>
                <w:rFonts w:ascii="Arial Narrow" w:hAnsi="Arial Narrow" w:cs="ArialNarrow-Bold"/>
                <w:b/>
                <w:bCs/>
                <w:color w:val="000000"/>
                <w:sz w:val="20"/>
                <w:szCs w:val="20"/>
              </w:rPr>
              <w:t>€</w:t>
            </w:r>
            <w:r>
              <w:rPr>
                <w:rFonts w:ascii="Arial Narrow" w:hAnsi="Arial Narrow" w:cs="ArialNarrow-Bold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136DD" w:rsidRPr="00C136DD">
              <w:rPr>
                <w:rFonts w:ascii="Arial Narrow" w:hAnsi="Arial Narrow" w:cs="ArialNarrow-Bold"/>
                <w:b/>
                <w:bCs/>
                <w:color w:val="000000"/>
                <w:sz w:val="20"/>
                <w:szCs w:val="20"/>
              </w:rPr>
              <w:t>TTC</w:t>
            </w:r>
          </w:p>
          <w:p w14:paraId="45BB248F" w14:textId="77777777" w:rsidR="00C136DD" w:rsidRPr="00C136DD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C136DD" w:rsidRPr="00C136DD" w14:paraId="2536FBE5" w14:textId="77777777" w:rsidTr="00BA2D33">
        <w:tc>
          <w:tcPr>
            <w:tcW w:w="1812" w:type="dxa"/>
          </w:tcPr>
          <w:p w14:paraId="54EB0C30" w14:textId="77777777" w:rsidR="00C136DD" w:rsidRPr="00BF5567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ArialNarrow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ArialNarrow"/>
                <w:color w:val="000000"/>
                <w:sz w:val="20"/>
                <w:szCs w:val="20"/>
              </w:rPr>
              <w:t xml:space="preserve">Note de cadrage </w:t>
            </w:r>
            <w:r w:rsidR="00FE0750">
              <w:rPr>
                <w:rFonts w:ascii="Arial Narrow" w:hAnsi="Arial Narrow" w:cs="ArialNarrow"/>
                <w:color w:val="000000"/>
                <w:sz w:val="20"/>
                <w:szCs w:val="20"/>
              </w:rPr>
              <w:t xml:space="preserve">sujet </w:t>
            </w:r>
            <w:r w:rsidRPr="00BF5567">
              <w:rPr>
                <w:rFonts w:ascii="Arial Narrow" w:hAnsi="Arial Narrow" w:cs="ArialNarrow"/>
                <w:color w:val="000000"/>
                <w:sz w:val="20"/>
                <w:szCs w:val="20"/>
              </w:rPr>
              <w:t>simple,</w:t>
            </w:r>
          </w:p>
          <w:p w14:paraId="583F7A9B" w14:textId="77777777" w:rsidR="00C136DD" w:rsidRPr="00BF5567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ArialNarrow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ArialNarrow"/>
                <w:color w:val="000000"/>
                <w:sz w:val="20"/>
                <w:szCs w:val="20"/>
              </w:rPr>
              <w:t>problématisation,</w:t>
            </w:r>
          </w:p>
          <w:p w14:paraId="164F7F1A" w14:textId="77777777" w:rsidR="00C136DD" w:rsidRPr="00BF5567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ArialNarrow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ArialNarrow"/>
                <w:color w:val="000000"/>
                <w:sz w:val="20"/>
                <w:szCs w:val="20"/>
              </w:rPr>
              <w:t>target / définir le</w:t>
            </w:r>
          </w:p>
          <w:p w14:paraId="02CBC66A" w14:textId="77777777" w:rsidR="00C136DD" w:rsidRPr="00BF5567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ArialNarrow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ArialNarrow"/>
                <w:color w:val="000000"/>
                <w:sz w:val="20"/>
                <w:szCs w:val="20"/>
              </w:rPr>
              <w:t>problème (*)</w:t>
            </w:r>
          </w:p>
          <w:p w14:paraId="5E878C4D" w14:textId="77777777" w:rsidR="00C136DD" w:rsidRPr="00BF5567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3003" w:type="dxa"/>
          </w:tcPr>
          <w:p w14:paraId="111E3DDE" w14:textId="77777777" w:rsidR="00C136DD" w:rsidRPr="00BF5567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ArialNarrow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ArialNarrow"/>
                <w:color w:val="000000"/>
                <w:sz w:val="20"/>
                <w:szCs w:val="20"/>
              </w:rPr>
              <w:t>Inclut plusieurs réunions préparatoires, interviews de Santé publique France ou d’informateurs extérieurs et étude de documents fournis par Santé publique France ou repérés par le prestataire</w:t>
            </w:r>
          </w:p>
        </w:tc>
        <w:tc>
          <w:tcPr>
            <w:tcW w:w="1276" w:type="dxa"/>
          </w:tcPr>
          <w:p w14:paraId="50383A99" w14:textId="77777777" w:rsidR="00C136DD" w:rsidRPr="00BF5567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ArialNarrow"/>
                <w:sz w:val="20"/>
                <w:szCs w:val="20"/>
              </w:rPr>
            </w:pPr>
            <w:r w:rsidRPr="00BF5567">
              <w:rPr>
                <w:rFonts w:ascii="Arial Narrow" w:hAnsi="Arial Narrow" w:cs="ArialNarrow"/>
                <w:sz w:val="20"/>
                <w:szCs w:val="20"/>
              </w:rPr>
              <w:t>5 jours sur</w:t>
            </w:r>
          </w:p>
          <w:p w14:paraId="182CEE54" w14:textId="77777777" w:rsidR="00C136DD" w:rsidRPr="00BF5567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ArialNarrow"/>
                <w:sz w:val="20"/>
                <w:szCs w:val="20"/>
              </w:rPr>
            </w:pPr>
            <w:r w:rsidRPr="00BF5567">
              <w:rPr>
                <w:rFonts w:ascii="Arial Narrow" w:hAnsi="Arial Narrow" w:cs="ArialNarrow"/>
                <w:sz w:val="20"/>
                <w:szCs w:val="20"/>
              </w:rPr>
              <w:t>une période</w:t>
            </w:r>
          </w:p>
          <w:p w14:paraId="0EBFD1D4" w14:textId="77777777" w:rsidR="00C136DD" w:rsidRPr="00BF5567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ArialNarrow"/>
                <w:sz w:val="20"/>
                <w:szCs w:val="20"/>
              </w:rPr>
              <w:t>d’un mois</w:t>
            </w:r>
          </w:p>
        </w:tc>
        <w:tc>
          <w:tcPr>
            <w:tcW w:w="1417" w:type="dxa"/>
          </w:tcPr>
          <w:p w14:paraId="6FE1662A" w14:textId="77777777" w:rsidR="00C136DD" w:rsidRPr="00C136DD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35194348" w14:textId="77777777" w:rsidR="00C136DD" w:rsidRPr="00C136DD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C136DD" w:rsidRPr="00C136DD" w14:paraId="30E5E3DC" w14:textId="77777777" w:rsidTr="00BA2D33">
        <w:tc>
          <w:tcPr>
            <w:tcW w:w="1812" w:type="dxa"/>
          </w:tcPr>
          <w:p w14:paraId="496A58C2" w14:textId="77777777" w:rsidR="00C136DD" w:rsidRPr="00BF5567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ArialNarrow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ArialNarrow"/>
                <w:color w:val="000000"/>
                <w:sz w:val="20"/>
                <w:szCs w:val="20"/>
              </w:rPr>
              <w:t xml:space="preserve">Note de cadrage </w:t>
            </w:r>
            <w:r w:rsidR="00FE0750">
              <w:rPr>
                <w:rFonts w:ascii="Arial Narrow" w:hAnsi="Arial Narrow" w:cs="ArialNarrow"/>
                <w:color w:val="000000"/>
                <w:sz w:val="20"/>
                <w:szCs w:val="20"/>
              </w:rPr>
              <w:t xml:space="preserve">sujet </w:t>
            </w:r>
            <w:r w:rsidRPr="00BF5567">
              <w:rPr>
                <w:rFonts w:ascii="Arial Narrow" w:hAnsi="Arial Narrow" w:cs="ArialNarrow"/>
                <w:color w:val="000000"/>
                <w:sz w:val="20"/>
                <w:szCs w:val="20"/>
              </w:rPr>
              <w:t>complexe,</w:t>
            </w:r>
          </w:p>
          <w:p w14:paraId="0FDBD8C8" w14:textId="77777777" w:rsidR="00C136DD" w:rsidRPr="00BF5567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ArialNarrow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ArialNarrow"/>
                <w:color w:val="000000"/>
                <w:sz w:val="20"/>
                <w:szCs w:val="20"/>
              </w:rPr>
              <w:t>problématisation,</w:t>
            </w:r>
          </w:p>
          <w:p w14:paraId="00181D05" w14:textId="77777777" w:rsidR="00C136DD" w:rsidRPr="00BF5567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ArialNarrow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ArialNarrow"/>
                <w:color w:val="000000"/>
                <w:sz w:val="20"/>
                <w:szCs w:val="20"/>
              </w:rPr>
              <w:t>target / définir le</w:t>
            </w:r>
          </w:p>
          <w:p w14:paraId="381DEA4F" w14:textId="77777777" w:rsidR="00C136DD" w:rsidRPr="00BF5567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ArialNarrow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ArialNarrow"/>
                <w:color w:val="000000"/>
                <w:sz w:val="20"/>
                <w:szCs w:val="20"/>
              </w:rPr>
              <w:t>problème (*)</w:t>
            </w:r>
          </w:p>
          <w:p w14:paraId="6EB2B9F4" w14:textId="77777777" w:rsidR="00C136DD" w:rsidRPr="00BF5567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3003" w:type="dxa"/>
          </w:tcPr>
          <w:p w14:paraId="5994CAA3" w14:textId="77777777" w:rsidR="00C136DD" w:rsidRPr="00BF5567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ArialNarrow"/>
                <w:color w:val="000000"/>
                <w:sz w:val="20"/>
                <w:szCs w:val="20"/>
              </w:rPr>
              <w:t>Inclut plusieurs réunions préparatoires, interviews de Santé publique France ou d’informateurs extérieurs et étude de nombreux documents fournis par Santé publique France ou repérés par le prestataire</w:t>
            </w:r>
          </w:p>
        </w:tc>
        <w:tc>
          <w:tcPr>
            <w:tcW w:w="1276" w:type="dxa"/>
          </w:tcPr>
          <w:p w14:paraId="3C2EB8F0" w14:textId="77777777" w:rsidR="00C136DD" w:rsidRPr="00BF5567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10 jours sur une période de 2 mois</w:t>
            </w:r>
          </w:p>
        </w:tc>
        <w:tc>
          <w:tcPr>
            <w:tcW w:w="1417" w:type="dxa"/>
          </w:tcPr>
          <w:p w14:paraId="6779B457" w14:textId="77777777" w:rsidR="00C136DD" w:rsidRPr="00C136DD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43084FB0" w14:textId="77777777" w:rsidR="00C136DD" w:rsidRPr="00C136DD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C136DD" w:rsidRPr="00C136DD" w14:paraId="5F1B4792" w14:textId="77777777" w:rsidTr="00BA2D33">
        <w:tc>
          <w:tcPr>
            <w:tcW w:w="1812" w:type="dxa"/>
          </w:tcPr>
          <w:p w14:paraId="7E634F5A" w14:textId="77777777" w:rsidR="00C136DD" w:rsidRPr="00BF5567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ArialNarrow"/>
                <w:sz w:val="20"/>
                <w:szCs w:val="20"/>
              </w:rPr>
            </w:pPr>
            <w:r w:rsidRPr="00BF5567">
              <w:rPr>
                <w:rFonts w:ascii="Arial Narrow" w:hAnsi="Arial Narrow" w:cs="ArialNarrow"/>
                <w:sz w:val="20"/>
                <w:szCs w:val="20"/>
              </w:rPr>
              <w:t>Diagnostic</w:t>
            </w:r>
          </w:p>
          <w:p w14:paraId="42E82722" w14:textId="77777777" w:rsidR="00C136DD" w:rsidRPr="00BF5567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ArialNarrow"/>
                <w:sz w:val="20"/>
                <w:szCs w:val="20"/>
              </w:rPr>
            </w:pPr>
            <w:r w:rsidRPr="00BF5567">
              <w:rPr>
                <w:rFonts w:ascii="Arial Narrow" w:hAnsi="Arial Narrow" w:cs="ArialNarrow"/>
                <w:sz w:val="20"/>
                <w:szCs w:val="20"/>
              </w:rPr>
              <w:t>comportemental</w:t>
            </w:r>
          </w:p>
          <w:p w14:paraId="5F320B82" w14:textId="77777777" w:rsidR="00C136DD" w:rsidRPr="00BF5567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ArialNarrow"/>
                <w:sz w:val="20"/>
                <w:szCs w:val="20"/>
              </w:rPr>
              <w:t>sujet simple</w:t>
            </w:r>
          </w:p>
        </w:tc>
        <w:tc>
          <w:tcPr>
            <w:tcW w:w="3003" w:type="dxa"/>
          </w:tcPr>
          <w:p w14:paraId="1DF050FF" w14:textId="77777777" w:rsidR="00C136DD" w:rsidRPr="00BF5567" w:rsidRDefault="00C136DD" w:rsidP="001B575A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Inclut </w:t>
            </w:r>
            <w:r w:rsidR="001B575A">
              <w:rPr>
                <w:rFonts w:ascii="Arial Narrow" w:hAnsi="Arial Narrow" w:cs="Calibri"/>
                <w:color w:val="000000"/>
                <w:sz w:val="20"/>
                <w:szCs w:val="20"/>
              </w:rPr>
              <w:t>un état de l’art issu de</w:t>
            </w: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littérature gris</w:t>
            </w:r>
            <w:r w:rsidR="001B575A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e, d’articles </w:t>
            </w: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scientifiques</w:t>
            </w:r>
            <w:r w:rsidR="001B575A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pertinents</w:t>
            </w: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, des interviews de personnes-clés, des réunions de cadrage avec les équipes de Santé publique France</w:t>
            </w:r>
          </w:p>
        </w:tc>
        <w:tc>
          <w:tcPr>
            <w:tcW w:w="1276" w:type="dxa"/>
          </w:tcPr>
          <w:p w14:paraId="27600727" w14:textId="77777777" w:rsidR="00C136DD" w:rsidRPr="00BF5567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10 jours sur</w:t>
            </w:r>
          </w:p>
          <w:p w14:paraId="29FF25B5" w14:textId="77777777" w:rsidR="00C136DD" w:rsidRPr="00BF5567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une période</w:t>
            </w:r>
          </w:p>
          <w:p w14:paraId="3C564F9F" w14:textId="77777777" w:rsidR="00C136DD" w:rsidRPr="00BF5567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d’un mois</w:t>
            </w:r>
          </w:p>
        </w:tc>
        <w:tc>
          <w:tcPr>
            <w:tcW w:w="1417" w:type="dxa"/>
          </w:tcPr>
          <w:p w14:paraId="56394972" w14:textId="77777777" w:rsidR="00C136DD" w:rsidRPr="00C136DD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6EC38D94" w14:textId="77777777" w:rsidR="00C136DD" w:rsidRPr="00C136DD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C136DD" w:rsidRPr="00C136DD" w14:paraId="223A1115" w14:textId="77777777" w:rsidTr="00BA2D33">
        <w:tc>
          <w:tcPr>
            <w:tcW w:w="1812" w:type="dxa"/>
          </w:tcPr>
          <w:p w14:paraId="34959FF4" w14:textId="77777777" w:rsidR="00C136DD" w:rsidRPr="00BF5567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Diagnostic</w:t>
            </w:r>
          </w:p>
          <w:p w14:paraId="6B262D67" w14:textId="77777777" w:rsidR="00C136DD" w:rsidRPr="00BF5567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comportemental</w:t>
            </w:r>
          </w:p>
          <w:p w14:paraId="32A8B97C" w14:textId="77777777" w:rsidR="00C136DD" w:rsidRPr="00BF5567" w:rsidRDefault="00C136DD" w:rsidP="00C136D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sujet complexe</w:t>
            </w:r>
          </w:p>
        </w:tc>
        <w:tc>
          <w:tcPr>
            <w:tcW w:w="3003" w:type="dxa"/>
          </w:tcPr>
          <w:p w14:paraId="0DE0A7A3" w14:textId="77777777" w:rsidR="00C136DD" w:rsidRPr="00BF5567" w:rsidRDefault="001B575A" w:rsidP="00C136D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Inclut 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un état de l’art issu de</w:t>
            </w: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littérature gris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e, d’articles </w:t>
            </w: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scientifiques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pertinents</w:t>
            </w: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, des interviews de personnes-clés, des réunions de cadrage avec les équipes de Santé publique France</w:t>
            </w:r>
          </w:p>
        </w:tc>
        <w:tc>
          <w:tcPr>
            <w:tcW w:w="1276" w:type="dxa"/>
          </w:tcPr>
          <w:p w14:paraId="7E8BC6AB" w14:textId="77777777" w:rsidR="00BF5567" w:rsidRPr="00BF5567" w:rsidRDefault="00BF5567" w:rsidP="00BF556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20 jours sur</w:t>
            </w:r>
          </w:p>
          <w:p w14:paraId="53517FA3" w14:textId="77777777" w:rsidR="00BF5567" w:rsidRPr="00BF5567" w:rsidRDefault="00BF5567" w:rsidP="00BF556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une période</w:t>
            </w:r>
          </w:p>
          <w:p w14:paraId="789A713E" w14:textId="77777777" w:rsidR="00C136DD" w:rsidRPr="00BF5567" w:rsidRDefault="00BF5567" w:rsidP="00BF556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de 2 mois</w:t>
            </w:r>
          </w:p>
        </w:tc>
        <w:tc>
          <w:tcPr>
            <w:tcW w:w="1417" w:type="dxa"/>
          </w:tcPr>
          <w:p w14:paraId="57F76057" w14:textId="77777777" w:rsidR="00C136DD" w:rsidRPr="00C136DD" w:rsidRDefault="00C136DD" w:rsidP="00C136D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4837DD85" w14:textId="77777777" w:rsidR="00C136DD" w:rsidRPr="00C136DD" w:rsidRDefault="00C136DD" w:rsidP="00C136D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136DD" w:rsidRPr="00C136DD" w14:paraId="0F20E857" w14:textId="77777777" w:rsidTr="00BA2D33">
        <w:tc>
          <w:tcPr>
            <w:tcW w:w="1812" w:type="dxa"/>
          </w:tcPr>
          <w:p w14:paraId="28AE1D56" w14:textId="77777777" w:rsidR="00BF5567" w:rsidRPr="00BF5567" w:rsidRDefault="00BF5567" w:rsidP="00BF556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Génération des</w:t>
            </w:r>
          </w:p>
          <w:p w14:paraId="3AA82364" w14:textId="77777777" w:rsidR="00BF5567" w:rsidRPr="00BF5567" w:rsidRDefault="00BF5567" w:rsidP="00BF556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scénarios</w:t>
            </w:r>
          </w:p>
          <w:p w14:paraId="5F62812D" w14:textId="77777777" w:rsidR="00BF5567" w:rsidRPr="00BF5567" w:rsidRDefault="00BF5567" w:rsidP="00BF556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d’intervention /</w:t>
            </w:r>
          </w:p>
          <w:p w14:paraId="610290FC" w14:textId="77777777" w:rsidR="00C136DD" w:rsidRPr="00BF5567" w:rsidRDefault="00BF5567" w:rsidP="00BF556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prototype,</w:t>
            </w:r>
          </w:p>
          <w:p w14:paraId="3A80F421" w14:textId="77777777" w:rsidR="00BF5567" w:rsidRPr="00BF5567" w:rsidRDefault="00BF5567" w:rsidP="00BF556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sujet simple</w:t>
            </w:r>
          </w:p>
        </w:tc>
        <w:tc>
          <w:tcPr>
            <w:tcW w:w="3003" w:type="dxa"/>
          </w:tcPr>
          <w:p w14:paraId="00227500" w14:textId="77777777" w:rsidR="00BF5567" w:rsidRPr="00BF5567" w:rsidRDefault="00BF5567" w:rsidP="00BF556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Inclut des ateliers d’échanges avec les équipes de Santé publique France, les représentants des parties prenantes et les usagers</w:t>
            </w:r>
          </w:p>
          <w:p w14:paraId="44EF40C4" w14:textId="77777777" w:rsidR="00BF5567" w:rsidRPr="00BF5567" w:rsidRDefault="00BF5567" w:rsidP="00BF556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concernés par le projet. Définition</w:t>
            </w:r>
          </w:p>
          <w:p w14:paraId="299468C9" w14:textId="77777777" w:rsidR="00BF5567" w:rsidRPr="00BF5567" w:rsidRDefault="00BF5567" w:rsidP="00BF556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des pistes, des scénarios, des</w:t>
            </w:r>
          </w:p>
          <w:p w14:paraId="3D84B71E" w14:textId="77777777" w:rsidR="00C136DD" w:rsidRPr="00BF5567" w:rsidRDefault="00BF5567" w:rsidP="00BF556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prototypes, des solutions à tester</w:t>
            </w:r>
          </w:p>
        </w:tc>
        <w:tc>
          <w:tcPr>
            <w:tcW w:w="1276" w:type="dxa"/>
          </w:tcPr>
          <w:p w14:paraId="2771DA68" w14:textId="77777777" w:rsidR="00C136DD" w:rsidRPr="00BF5567" w:rsidRDefault="00BF5567" w:rsidP="00C136D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7 jours sur une période d’un mois</w:t>
            </w:r>
          </w:p>
        </w:tc>
        <w:tc>
          <w:tcPr>
            <w:tcW w:w="1417" w:type="dxa"/>
          </w:tcPr>
          <w:p w14:paraId="55D49FD2" w14:textId="77777777" w:rsidR="00C136DD" w:rsidRPr="00C136DD" w:rsidRDefault="00C136DD" w:rsidP="00C136D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59042589" w14:textId="77777777" w:rsidR="00C136DD" w:rsidRPr="00C136DD" w:rsidRDefault="00C136DD" w:rsidP="00C136D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136DD" w:rsidRPr="00C136DD" w14:paraId="7D9B4E9A" w14:textId="77777777" w:rsidTr="00BA2D33">
        <w:tc>
          <w:tcPr>
            <w:tcW w:w="1812" w:type="dxa"/>
          </w:tcPr>
          <w:p w14:paraId="7C7E16D6" w14:textId="77777777" w:rsidR="00BF5567" w:rsidRPr="00BF5567" w:rsidRDefault="00BF5567" w:rsidP="00BF556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Génération des</w:t>
            </w:r>
          </w:p>
          <w:p w14:paraId="0C3F09A7" w14:textId="77777777" w:rsidR="00BF5567" w:rsidRPr="00BF5567" w:rsidRDefault="00BF5567" w:rsidP="00BF556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scénarios</w:t>
            </w:r>
          </w:p>
          <w:p w14:paraId="69621386" w14:textId="77777777" w:rsidR="00BF5567" w:rsidRPr="00BF5567" w:rsidRDefault="00BF5567" w:rsidP="00BF556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d’intervention /</w:t>
            </w:r>
          </w:p>
          <w:p w14:paraId="7293DCEF" w14:textId="77777777" w:rsidR="00BF5567" w:rsidRPr="00BF5567" w:rsidRDefault="00BF5567" w:rsidP="00BF556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prototype,</w:t>
            </w:r>
          </w:p>
          <w:p w14:paraId="2D8FB430" w14:textId="77777777" w:rsidR="00C136DD" w:rsidRPr="00BF5567" w:rsidRDefault="00BF5567" w:rsidP="00BF556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sujet complexe</w:t>
            </w:r>
          </w:p>
        </w:tc>
        <w:tc>
          <w:tcPr>
            <w:tcW w:w="3003" w:type="dxa"/>
          </w:tcPr>
          <w:p w14:paraId="7D00568C" w14:textId="77777777" w:rsidR="00BF5567" w:rsidRPr="00BF5567" w:rsidRDefault="00BF5567" w:rsidP="00BF556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Inclut des ateliers d’échanges avec les équipes de Santé publique France, les représentants des parties prenantes et les usagers</w:t>
            </w:r>
          </w:p>
          <w:p w14:paraId="11053325" w14:textId="77777777" w:rsidR="00BF5567" w:rsidRPr="00BF5567" w:rsidRDefault="00BF5567" w:rsidP="00BF556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concernés par le projet. Définition</w:t>
            </w:r>
          </w:p>
          <w:p w14:paraId="0F87D6B4" w14:textId="77777777" w:rsidR="00BF5567" w:rsidRPr="00BF5567" w:rsidRDefault="00BF5567" w:rsidP="00BF556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des pistes, des scénarios, des</w:t>
            </w:r>
          </w:p>
          <w:p w14:paraId="69447D12" w14:textId="77777777" w:rsidR="00C136DD" w:rsidRPr="00BF5567" w:rsidRDefault="00BF5567" w:rsidP="00BF556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prototypes, des solutions à tester</w:t>
            </w:r>
          </w:p>
        </w:tc>
        <w:tc>
          <w:tcPr>
            <w:tcW w:w="1276" w:type="dxa"/>
          </w:tcPr>
          <w:p w14:paraId="037F18E6" w14:textId="55FF71EB" w:rsidR="00C136DD" w:rsidRPr="00BF5567" w:rsidRDefault="00BA2D33" w:rsidP="00C136D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14 jours sur une période de 2</w:t>
            </w:r>
            <w:r w:rsidR="00BF5567"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mois</w:t>
            </w:r>
          </w:p>
        </w:tc>
        <w:tc>
          <w:tcPr>
            <w:tcW w:w="1417" w:type="dxa"/>
          </w:tcPr>
          <w:p w14:paraId="3DEADE9C" w14:textId="77777777" w:rsidR="00C136DD" w:rsidRPr="00C136DD" w:rsidRDefault="00C136DD" w:rsidP="00C136D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766AE335" w14:textId="77777777" w:rsidR="00C136DD" w:rsidRPr="00C136DD" w:rsidRDefault="00C136DD" w:rsidP="00C136D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136DD" w:rsidRPr="00C136DD" w14:paraId="449C77B4" w14:textId="77777777" w:rsidTr="00BA2D33">
        <w:tc>
          <w:tcPr>
            <w:tcW w:w="1812" w:type="dxa"/>
          </w:tcPr>
          <w:p w14:paraId="4A236EF1" w14:textId="77777777" w:rsidR="00C136DD" w:rsidRPr="00BF5567" w:rsidRDefault="00BF5567" w:rsidP="00C136D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Cadrage de l’évaluation d’impact</w:t>
            </w:r>
          </w:p>
        </w:tc>
        <w:tc>
          <w:tcPr>
            <w:tcW w:w="3003" w:type="dxa"/>
          </w:tcPr>
          <w:p w14:paraId="4C63FD46" w14:textId="77777777" w:rsidR="00BF5567" w:rsidRPr="00BF5567" w:rsidRDefault="00BF5567" w:rsidP="00BF556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Proposition d’un protocole</w:t>
            </w:r>
          </w:p>
          <w:p w14:paraId="32F84B96" w14:textId="77777777" w:rsidR="00BF5567" w:rsidRPr="00BF5567" w:rsidRDefault="00BF5567" w:rsidP="00BF556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d’expérimentation permettant de</w:t>
            </w:r>
          </w:p>
          <w:p w14:paraId="7A787535" w14:textId="77777777" w:rsidR="00C136DD" w:rsidRPr="00BF5567" w:rsidRDefault="00BF5567" w:rsidP="00BF556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sélectionner le meilleur prototype</w:t>
            </w:r>
          </w:p>
        </w:tc>
        <w:tc>
          <w:tcPr>
            <w:tcW w:w="1276" w:type="dxa"/>
          </w:tcPr>
          <w:p w14:paraId="7A356989" w14:textId="77777777" w:rsidR="00C136DD" w:rsidRPr="00BF5567" w:rsidRDefault="00BF5567" w:rsidP="00C136D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10 jours sur une période d’un mois</w:t>
            </w:r>
          </w:p>
        </w:tc>
        <w:tc>
          <w:tcPr>
            <w:tcW w:w="1417" w:type="dxa"/>
          </w:tcPr>
          <w:p w14:paraId="6E1EB390" w14:textId="77777777" w:rsidR="00C136DD" w:rsidRPr="00C136DD" w:rsidRDefault="00C136DD" w:rsidP="00C136D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2ADB92D3" w14:textId="77777777" w:rsidR="00C136DD" w:rsidRPr="00C136DD" w:rsidRDefault="00C136DD" w:rsidP="00C136D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BF5567" w:rsidRPr="00C136DD" w14:paraId="4EBAD958" w14:textId="77777777" w:rsidTr="00BA2D33">
        <w:tc>
          <w:tcPr>
            <w:tcW w:w="1812" w:type="dxa"/>
          </w:tcPr>
          <w:p w14:paraId="41A90012" w14:textId="77777777" w:rsidR="00BF5567" w:rsidRPr="00BF5567" w:rsidRDefault="00BF5567" w:rsidP="00BF556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lastRenderedPageBreak/>
              <w:t>Accompagnement à la mise en œuvre</w:t>
            </w:r>
          </w:p>
          <w:p w14:paraId="0B74778D" w14:textId="77777777" w:rsidR="00BF5567" w:rsidRPr="00BF5567" w:rsidRDefault="00BF5567" w:rsidP="00BF556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d’une évaluation</w:t>
            </w:r>
          </w:p>
          <w:p w14:paraId="0E1B1ADE" w14:textId="77777777" w:rsidR="00BF5567" w:rsidRPr="00BF5567" w:rsidRDefault="00BF5567" w:rsidP="00BF556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d’impact</w:t>
            </w:r>
          </w:p>
          <w:p w14:paraId="40E2646E" w14:textId="77777777" w:rsidR="00BF5567" w:rsidRPr="00BF5567" w:rsidRDefault="00BF5567" w:rsidP="00C136D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3003" w:type="dxa"/>
          </w:tcPr>
          <w:p w14:paraId="4833A920" w14:textId="77777777" w:rsidR="00BF5567" w:rsidRPr="00BF5567" w:rsidRDefault="00BF5567" w:rsidP="00BF556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Suivi de la méthode de recueil de</w:t>
            </w:r>
          </w:p>
          <w:p w14:paraId="00EC1050" w14:textId="77777777" w:rsidR="00BF5567" w:rsidRPr="00BF5567" w:rsidRDefault="00BF5567" w:rsidP="00BF556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données, suivi de la qualité du</w:t>
            </w:r>
          </w:p>
          <w:p w14:paraId="7B3A7ED0" w14:textId="77777777" w:rsidR="00BF5567" w:rsidRPr="00BF5567" w:rsidRDefault="00BF5567" w:rsidP="00BF556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protocole expérimental, analyse</w:t>
            </w:r>
          </w:p>
          <w:p w14:paraId="0E1FE2C9" w14:textId="77777777" w:rsidR="00BF5567" w:rsidRPr="00BF5567" w:rsidRDefault="00BF5567" w:rsidP="00BF556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des données (renouvelable)</w:t>
            </w:r>
          </w:p>
        </w:tc>
        <w:tc>
          <w:tcPr>
            <w:tcW w:w="1276" w:type="dxa"/>
          </w:tcPr>
          <w:p w14:paraId="784BE35A" w14:textId="77777777" w:rsidR="00BF5567" w:rsidRPr="00BF5567" w:rsidRDefault="00BF5567" w:rsidP="00C136D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F5567">
              <w:rPr>
                <w:rFonts w:ascii="Arial Narrow" w:hAnsi="Arial Narrow" w:cs="Calibri"/>
                <w:color w:val="000000"/>
                <w:sz w:val="20"/>
                <w:szCs w:val="20"/>
              </w:rPr>
              <w:t>Par bloc de 10 jours de suivi</w:t>
            </w:r>
          </w:p>
        </w:tc>
        <w:tc>
          <w:tcPr>
            <w:tcW w:w="1417" w:type="dxa"/>
          </w:tcPr>
          <w:p w14:paraId="125DE597" w14:textId="77777777" w:rsidR="00BF5567" w:rsidRPr="00C136DD" w:rsidRDefault="00BF5567" w:rsidP="00C136D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373D88EE" w14:textId="77777777" w:rsidR="00BF5567" w:rsidRPr="00C136DD" w:rsidRDefault="00BF5567" w:rsidP="00C136D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7130D85C" w14:textId="77777777" w:rsidR="00C136DD" w:rsidRPr="00C136DD" w:rsidRDefault="00C136DD" w:rsidP="00C136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79E947FD" w14:textId="77777777" w:rsidR="00C136DD" w:rsidRPr="00834E41" w:rsidRDefault="00C136DD" w:rsidP="00C136DD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  <w:color w:val="000000"/>
        </w:rPr>
      </w:pPr>
    </w:p>
    <w:p w14:paraId="057BBDCF" w14:textId="0ADB068D" w:rsidR="00C136DD" w:rsidRDefault="00BF5567" w:rsidP="00C136D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"/>
          <w:color w:val="000000"/>
        </w:rPr>
      </w:pPr>
      <w:r w:rsidRPr="00834E41">
        <w:rPr>
          <w:rFonts w:ascii="Arial Narrow" w:hAnsi="Arial Narrow" w:cs="ArialNarrow"/>
          <w:color w:val="000000"/>
        </w:rPr>
        <w:t xml:space="preserve"> </w:t>
      </w:r>
      <w:r w:rsidR="00C136DD" w:rsidRPr="00834E41">
        <w:rPr>
          <w:rFonts w:ascii="Arial Narrow" w:hAnsi="Arial Narrow" w:cs="ArialNarrow"/>
          <w:color w:val="000000"/>
        </w:rPr>
        <w:t>(*) Cette unité d’</w:t>
      </w:r>
      <w:r w:rsidR="00FE0750" w:rsidRPr="00834E41">
        <w:rPr>
          <w:rFonts w:ascii="Arial Narrow" w:hAnsi="Arial Narrow" w:cs="ArialNarrow"/>
          <w:color w:val="000000"/>
        </w:rPr>
        <w:t>œuvre</w:t>
      </w:r>
      <w:r w:rsidR="00C136DD" w:rsidRPr="00834E41">
        <w:rPr>
          <w:rFonts w:ascii="Arial Narrow" w:hAnsi="Arial Narrow" w:cs="ArialNarrow"/>
          <w:color w:val="000000"/>
        </w:rPr>
        <w:t xml:space="preserve"> ne peut être commandée qu’une seule fois par projet</w:t>
      </w:r>
      <w:r w:rsidR="00FE0750">
        <w:rPr>
          <w:rFonts w:ascii="Arial Narrow" w:hAnsi="Arial Narrow" w:cs="ArialNarrow"/>
          <w:color w:val="000000"/>
        </w:rPr>
        <w:t>.</w:t>
      </w:r>
    </w:p>
    <w:p w14:paraId="772D5C47" w14:textId="77777777" w:rsidR="00FE0750" w:rsidRPr="00834E41" w:rsidRDefault="00FE0750" w:rsidP="00C136D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"/>
          <w:color w:val="000000"/>
        </w:rPr>
      </w:pPr>
    </w:p>
    <w:p w14:paraId="223A04D5" w14:textId="77777777" w:rsidR="00C136DD" w:rsidRPr="00834E41" w:rsidRDefault="00C136DD" w:rsidP="00C136D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"/>
          <w:color w:val="000000"/>
        </w:rPr>
      </w:pPr>
      <w:r w:rsidRPr="00834E41">
        <w:rPr>
          <w:rFonts w:ascii="Arial Narrow" w:hAnsi="Arial Narrow" w:cs="ArialNarrow"/>
          <w:color w:val="000000"/>
        </w:rPr>
        <w:t>Les prix comprennent tous les frais inhérents à la réalisation des prestatio</w:t>
      </w:r>
      <w:r w:rsidR="00BF5567" w:rsidRPr="00834E41">
        <w:rPr>
          <w:rFonts w:ascii="Arial Narrow" w:hAnsi="Arial Narrow" w:cs="ArialNarrow"/>
          <w:color w:val="000000"/>
        </w:rPr>
        <w:t xml:space="preserve">ns (frais de structures, petits </w:t>
      </w:r>
      <w:r w:rsidRPr="00834E41">
        <w:rPr>
          <w:rFonts w:ascii="Arial Narrow" w:hAnsi="Arial Narrow" w:cs="ArialNarrow"/>
          <w:color w:val="000000"/>
        </w:rPr>
        <w:t>matériels, frais de reprographie, conception graphique des documents livrables, frais de dé</w:t>
      </w:r>
      <w:r w:rsidR="00BF5567" w:rsidRPr="00834E41">
        <w:rPr>
          <w:rFonts w:ascii="Arial Narrow" w:hAnsi="Arial Narrow" w:cs="ArialNarrow"/>
          <w:color w:val="000000"/>
        </w:rPr>
        <w:t xml:space="preserve">placement </w:t>
      </w:r>
      <w:r w:rsidRPr="00834E41">
        <w:rPr>
          <w:rFonts w:ascii="Arial Narrow" w:hAnsi="Arial Narrow" w:cs="ArialNarrow"/>
          <w:color w:val="000000"/>
        </w:rPr>
        <w:t>en région parisienne, les réunions et échanges avec Santé publique France).</w:t>
      </w:r>
    </w:p>
    <w:p w14:paraId="26D82EBB" w14:textId="77777777" w:rsidR="00BF5567" w:rsidRDefault="00BF5567" w:rsidP="00C136DD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4"/>
          <w:szCs w:val="24"/>
        </w:rPr>
      </w:pPr>
    </w:p>
    <w:p w14:paraId="4E857D1F" w14:textId="77777777" w:rsidR="00C136DD" w:rsidRDefault="00C136DD" w:rsidP="00BF5567">
      <w:pPr>
        <w:autoSpaceDE w:val="0"/>
        <w:autoSpaceDN w:val="0"/>
        <w:adjustRightInd w:val="0"/>
        <w:spacing w:after="0" w:line="240" w:lineRule="auto"/>
        <w:jc w:val="center"/>
        <w:rPr>
          <w:rFonts w:ascii="ArialNarrow-Bold" w:hAnsi="ArialNarrow-Bold" w:cs="ArialNarrow-Bold"/>
          <w:b/>
          <w:bCs/>
          <w:color w:val="000000"/>
          <w:sz w:val="24"/>
          <w:szCs w:val="24"/>
        </w:rPr>
      </w:pPr>
      <w:r>
        <w:rPr>
          <w:rFonts w:ascii="ArialNarrow-Bold" w:hAnsi="ArialNarrow-Bold" w:cs="ArialNarrow-Bold"/>
          <w:b/>
          <w:bCs/>
          <w:color w:val="000000"/>
          <w:sz w:val="24"/>
          <w:szCs w:val="24"/>
        </w:rPr>
        <w:t>FRAIS ANNEXES</w:t>
      </w:r>
    </w:p>
    <w:p w14:paraId="721DE926" w14:textId="77777777" w:rsidR="00BF5567" w:rsidRDefault="00BF5567" w:rsidP="00BF5567">
      <w:pPr>
        <w:autoSpaceDE w:val="0"/>
        <w:autoSpaceDN w:val="0"/>
        <w:adjustRightInd w:val="0"/>
        <w:spacing w:after="0" w:line="240" w:lineRule="auto"/>
        <w:jc w:val="center"/>
        <w:rPr>
          <w:rFonts w:ascii="ArialNarrow-Bold" w:hAnsi="ArialNarrow-Bold" w:cs="ArialNarrow-Bold"/>
          <w:b/>
          <w:bCs/>
          <w:color w:val="000000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F5567" w14:paraId="21B176F3" w14:textId="77777777" w:rsidTr="00BF5567">
        <w:tc>
          <w:tcPr>
            <w:tcW w:w="4531" w:type="dxa"/>
          </w:tcPr>
          <w:p w14:paraId="00863D50" w14:textId="77777777" w:rsidR="00BF5567" w:rsidRPr="001B575A" w:rsidRDefault="001B575A" w:rsidP="00BF5567">
            <w:pPr>
              <w:autoSpaceDE w:val="0"/>
              <w:autoSpaceDN w:val="0"/>
              <w:adjustRightInd w:val="0"/>
              <w:rPr>
                <w:rFonts w:ascii="Arial Narrow" w:hAnsi="Arial Narrow" w:cs="ArialNarrow"/>
                <w:sz w:val="20"/>
                <w:szCs w:val="20"/>
              </w:rPr>
            </w:pPr>
            <w:r>
              <w:rPr>
                <w:rFonts w:ascii="Arial Narrow" w:hAnsi="Arial Narrow" w:cs="ArialNarrow"/>
                <w:sz w:val="20"/>
                <w:szCs w:val="20"/>
              </w:rPr>
              <w:t xml:space="preserve">Forfait frais de déplacements </w:t>
            </w:r>
            <w:r w:rsidR="00BF5567" w:rsidRPr="001B575A">
              <w:rPr>
                <w:rFonts w:ascii="Arial Narrow" w:hAnsi="Arial Narrow" w:cs="ArialNarrow"/>
                <w:sz w:val="20"/>
                <w:szCs w:val="20"/>
              </w:rPr>
              <w:t>métropolitains hors Ile-de-France (1)</w:t>
            </w:r>
          </w:p>
        </w:tc>
        <w:tc>
          <w:tcPr>
            <w:tcW w:w="4531" w:type="dxa"/>
          </w:tcPr>
          <w:p w14:paraId="38EAC5C2" w14:textId="77777777" w:rsidR="00BF5567" w:rsidRPr="001B575A" w:rsidRDefault="00BF5567" w:rsidP="00BF556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Narrow-Bold"/>
                <w:b/>
                <w:bCs/>
                <w:color w:val="000000"/>
                <w:sz w:val="20"/>
                <w:szCs w:val="20"/>
              </w:rPr>
            </w:pPr>
            <w:r w:rsidRPr="001B575A">
              <w:rPr>
                <w:rFonts w:ascii="Arial Narrow" w:hAnsi="Arial Narrow" w:cs="ArialNarrow-Italic"/>
                <w:i/>
                <w:iCs/>
                <w:color w:val="FF0000"/>
                <w:sz w:val="20"/>
                <w:szCs w:val="20"/>
              </w:rPr>
              <w:t>montant plafonné à 150 €HT</w:t>
            </w:r>
          </w:p>
        </w:tc>
      </w:tr>
      <w:tr w:rsidR="00BF5567" w14:paraId="0E0D9E39" w14:textId="77777777" w:rsidTr="00BF5567">
        <w:tc>
          <w:tcPr>
            <w:tcW w:w="4531" w:type="dxa"/>
          </w:tcPr>
          <w:p w14:paraId="302D148E" w14:textId="77777777" w:rsidR="00BF5567" w:rsidRPr="001B575A" w:rsidRDefault="00BF5567" w:rsidP="00BF556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Narrow-Bol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C7A61FA" w14:textId="77777777" w:rsidR="00BF5567" w:rsidRPr="001B575A" w:rsidRDefault="00BF5567" w:rsidP="00BF556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Narrow-Bol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F5567" w14:paraId="3A4944B7" w14:textId="77777777" w:rsidTr="00BF5567">
        <w:tc>
          <w:tcPr>
            <w:tcW w:w="4531" w:type="dxa"/>
          </w:tcPr>
          <w:p w14:paraId="3B7BA17C" w14:textId="0F971210" w:rsidR="00BF5567" w:rsidRPr="001B575A" w:rsidRDefault="001B575A" w:rsidP="001B575A">
            <w:pPr>
              <w:autoSpaceDE w:val="0"/>
              <w:autoSpaceDN w:val="0"/>
              <w:adjustRightInd w:val="0"/>
              <w:rPr>
                <w:rFonts w:ascii="Arial Narrow" w:hAnsi="Arial Narrow" w:cs="ArialNarrow"/>
                <w:sz w:val="20"/>
                <w:szCs w:val="20"/>
              </w:rPr>
            </w:pPr>
            <w:r w:rsidRPr="001B575A">
              <w:rPr>
                <w:rFonts w:ascii="Arial Narrow" w:hAnsi="Arial Narrow" w:cs="ArialNarrow"/>
                <w:sz w:val="20"/>
                <w:szCs w:val="20"/>
              </w:rPr>
              <w:t xml:space="preserve">Frais de transport hors </w:t>
            </w:r>
            <w:r w:rsidR="00FE0750">
              <w:rPr>
                <w:rFonts w:ascii="Arial Narrow" w:hAnsi="Arial Narrow" w:cs="ArialNarrow"/>
                <w:sz w:val="20"/>
                <w:szCs w:val="20"/>
              </w:rPr>
              <w:t>France hexagonale</w:t>
            </w:r>
            <w:r w:rsidR="00BF5567" w:rsidRPr="001B575A">
              <w:rPr>
                <w:rFonts w:ascii="Arial Narrow" w:hAnsi="Arial Narrow" w:cs="ArialNarrow"/>
                <w:sz w:val="20"/>
                <w:szCs w:val="20"/>
              </w:rPr>
              <w:t xml:space="preserve"> (2)</w:t>
            </w:r>
          </w:p>
        </w:tc>
        <w:tc>
          <w:tcPr>
            <w:tcW w:w="4531" w:type="dxa"/>
          </w:tcPr>
          <w:p w14:paraId="10EEF568" w14:textId="77777777" w:rsidR="00BF5567" w:rsidRPr="001B575A" w:rsidRDefault="001B575A" w:rsidP="00BF556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Narrow-Bold"/>
                <w:b/>
                <w:bCs/>
                <w:color w:val="000000"/>
                <w:sz w:val="20"/>
                <w:szCs w:val="20"/>
              </w:rPr>
            </w:pPr>
            <w:r w:rsidRPr="001B575A">
              <w:rPr>
                <w:rFonts w:ascii="Arial Narrow" w:hAnsi="Arial Narrow" w:cs="ArialNarrow"/>
                <w:sz w:val="20"/>
                <w:szCs w:val="20"/>
              </w:rPr>
              <w:t>sur justificatif</w:t>
            </w:r>
          </w:p>
        </w:tc>
      </w:tr>
      <w:tr w:rsidR="00BF5567" w14:paraId="13F60FE3" w14:textId="77777777" w:rsidTr="00BF5567">
        <w:tc>
          <w:tcPr>
            <w:tcW w:w="4531" w:type="dxa"/>
          </w:tcPr>
          <w:p w14:paraId="27DDE138" w14:textId="77777777" w:rsidR="00BF5567" w:rsidRPr="001B575A" w:rsidRDefault="00BF5567" w:rsidP="00BF556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Narrow-Bol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14:paraId="0615F8CA" w14:textId="77777777" w:rsidR="00BF5567" w:rsidRPr="001B575A" w:rsidRDefault="00BF5567" w:rsidP="00BF556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Narrow-Bol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F5567" w14:paraId="019B5D44" w14:textId="77777777" w:rsidTr="00BF5567">
        <w:tc>
          <w:tcPr>
            <w:tcW w:w="4531" w:type="dxa"/>
          </w:tcPr>
          <w:p w14:paraId="61CC3B46" w14:textId="77777777" w:rsidR="00BF5567" w:rsidRPr="001B575A" w:rsidRDefault="001B575A" w:rsidP="001B575A">
            <w:pPr>
              <w:autoSpaceDE w:val="0"/>
              <w:autoSpaceDN w:val="0"/>
              <w:adjustRightInd w:val="0"/>
              <w:rPr>
                <w:rFonts w:ascii="Arial Narrow" w:hAnsi="Arial Narrow" w:cs="ArialNarrow"/>
                <w:sz w:val="20"/>
                <w:szCs w:val="20"/>
              </w:rPr>
            </w:pPr>
            <w:r w:rsidRPr="001B575A">
              <w:rPr>
                <w:rFonts w:ascii="Arial Narrow" w:hAnsi="Arial Narrow" w:cs="ArialNarrow"/>
                <w:sz w:val="20"/>
                <w:szCs w:val="20"/>
              </w:rPr>
              <w:t xml:space="preserve">Frais de fourniture </w:t>
            </w:r>
            <w:r w:rsidR="00BF5567" w:rsidRPr="001B575A">
              <w:rPr>
                <w:rFonts w:ascii="Arial Narrow" w:hAnsi="Arial Narrow" w:cs="ArialNarrow"/>
                <w:sz w:val="20"/>
                <w:szCs w:val="20"/>
              </w:rPr>
              <w:t>d'é</w:t>
            </w:r>
            <w:r w:rsidRPr="001B575A">
              <w:rPr>
                <w:rFonts w:ascii="Arial Narrow" w:hAnsi="Arial Narrow" w:cs="ArialNarrow"/>
                <w:sz w:val="20"/>
                <w:szCs w:val="20"/>
              </w:rPr>
              <w:t xml:space="preserve">quipements techniques ou </w:t>
            </w:r>
            <w:r w:rsidR="00BF5567" w:rsidRPr="001B575A">
              <w:rPr>
                <w:rFonts w:ascii="Arial Narrow" w:hAnsi="Arial Narrow" w:cs="ArialNarrow"/>
                <w:sz w:val="20"/>
                <w:szCs w:val="20"/>
              </w:rPr>
              <w:t>d'outils informatiques (3)</w:t>
            </w:r>
          </w:p>
        </w:tc>
        <w:tc>
          <w:tcPr>
            <w:tcW w:w="4531" w:type="dxa"/>
          </w:tcPr>
          <w:p w14:paraId="730AD507" w14:textId="77777777" w:rsidR="00BF5567" w:rsidRPr="001B575A" w:rsidRDefault="001B575A" w:rsidP="00BF556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Narrow-Bold"/>
                <w:b/>
                <w:bCs/>
                <w:color w:val="000000"/>
                <w:sz w:val="20"/>
                <w:szCs w:val="20"/>
              </w:rPr>
            </w:pPr>
            <w:r w:rsidRPr="001B575A">
              <w:rPr>
                <w:rFonts w:ascii="Arial Narrow" w:hAnsi="Arial Narrow" w:cs="ArialNarrow"/>
                <w:sz w:val="20"/>
                <w:szCs w:val="20"/>
              </w:rPr>
              <w:t>sur justificatif</w:t>
            </w:r>
          </w:p>
        </w:tc>
      </w:tr>
    </w:tbl>
    <w:p w14:paraId="4055A696" w14:textId="77777777" w:rsidR="00BF5567" w:rsidRDefault="00BF5567" w:rsidP="00BF5567">
      <w:pPr>
        <w:autoSpaceDE w:val="0"/>
        <w:autoSpaceDN w:val="0"/>
        <w:adjustRightInd w:val="0"/>
        <w:spacing w:after="0" w:line="240" w:lineRule="auto"/>
        <w:jc w:val="center"/>
        <w:rPr>
          <w:rFonts w:ascii="ArialNarrow-Bold" w:hAnsi="ArialNarrow-Bold" w:cs="ArialNarrow-Bold"/>
          <w:b/>
          <w:bCs/>
          <w:color w:val="000000"/>
          <w:sz w:val="24"/>
          <w:szCs w:val="24"/>
        </w:rPr>
      </w:pPr>
    </w:p>
    <w:p w14:paraId="30E49AC4" w14:textId="77777777" w:rsidR="00C136DD" w:rsidRPr="00834E41" w:rsidRDefault="00C136DD" w:rsidP="00834E41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Narrow"/>
          <w:color w:val="000000"/>
        </w:rPr>
      </w:pPr>
      <w:r w:rsidRPr="00834E41">
        <w:rPr>
          <w:rFonts w:ascii="Arial Narrow" w:hAnsi="Arial Narrow" w:cs="ArialNarrow"/>
          <w:color w:val="000000"/>
        </w:rPr>
        <w:t>Ce forfait est supposé couvrir l’ensemble des dépenses journalières relatives au transport et à</w:t>
      </w:r>
      <w:r w:rsidR="001B575A" w:rsidRPr="00834E41">
        <w:rPr>
          <w:rFonts w:ascii="Arial Narrow" w:hAnsi="Arial Narrow" w:cs="ArialNarrow"/>
          <w:color w:val="000000"/>
        </w:rPr>
        <w:t xml:space="preserve"> </w:t>
      </w:r>
      <w:r w:rsidRPr="00834E41">
        <w:rPr>
          <w:rFonts w:ascii="Arial Narrow" w:hAnsi="Arial Narrow" w:cs="ArialNarrow"/>
          <w:color w:val="000000"/>
        </w:rPr>
        <w:t>l’hébergement d’un consultant. Le prix est librement fixé par le titulaire dans la limite d’un plafond fixé à</w:t>
      </w:r>
      <w:r w:rsidR="001B575A" w:rsidRPr="00834E41">
        <w:rPr>
          <w:rFonts w:ascii="Arial Narrow" w:hAnsi="Arial Narrow" w:cs="ArialNarrow"/>
          <w:color w:val="000000"/>
        </w:rPr>
        <w:t xml:space="preserve"> </w:t>
      </w:r>
      <w:r w:rsidRPr="00834E41">
        <w:rPr>
          <w:rFonts w:ascii="Arial Narrow" w:hAnsi="Arial Narrow" w:cs="ArialNarrow"/>
          <w:color w:val="000000"/>
        </w:rPr>
        <w:t>150€ HT. Ce forfait journalier s’applique en fonction du nombre de jours travaillés hors Il</w:t>
      </w:r>
      <w:r w:rsidR="001B575A" w:rsidRPr="00834E41">
        <w:rPr>
          <w:rFonts w:ascii="Arial Narrow" w:hAnsi="Arial Narrow" w:cs="ArialNarrow"/>
          <w:color w:val="000000"/>
        </w:rPr>
        <w:t xml:space="preserve">e-de-France et </w:t>
      </w:r>
      <w:r w:rsidRPr="00834E41">
        <w:rPr>
          <w:rFonts w:ascii="Arial Narrow" w:hAnsi="Arial Narrow" w:cs="ArialNarrow"/>
          <w:color w:val="000000"/>
        </w:rPr>
        <w:t>non en fonction du nombre de nuits passées sur place. Un aller-retour en province effectué</w:t>
      </w:r>
      <w:r w:rsidR="001B575A" w:rsidRPr="00834E41">
        <w:rPr>
          <w:rFonts w:ascii="Arial Narrow" w:hAnsi="Arial Narrow" w:cs="ArialNarrow"/>
          <w:color w:val="000000"/>
        </w:rPr>
        <w:t xml:space="preserve"> sur une </w:t>
      </w:r>
      <w:r w:rsidRPr="00834E41">
        <w:rPr>
          <w:rFonts w:ascii="Arial Narrow" w:hAnsi="Arial Narrow" w:cs="ArialNarrow"/>
          <w:color w:val="000000"/>
        </w:rPr>
        <w:t>journée donne ainsi lieu à tarification du forfait.</w:t>
      </w:r>
    </w:p>
    <w:p w14:paraId="4D122114" w14:textId="77777777" w:rsidR="001B575A" w:rsidRPr="00834E41" w:rsidRDefault="001B575A" w:rsidP="00834E41">
      <w:pPr>
        <w:autoSpaceDE w:val="0"/>
        <w:autoSpaceDN w:val="0"/>
        <w:adjustRightInd w:val="0"/>
        <w:spacing w:after="0" w:line="240" w:lineRule="auto"/>
        <w:ind w:left="70"/>
        <w:jc w:val="both"/>
        <w:rPr>
          <w:rFonts w:ascii="Arial Narrow" w:hAnsi="Arial Narrow" w:cs="ArialNarrow"/>
          <w:color w:val="000000"/>
        </w:rPr>
      </w:pPr>
    </w:p>
    <w:p w14:paraId="4B8BC7DE" w14:textId="61539E00" w:rsidR="001B575A" w:rsidRPr="00834E41" w:rsidRDefault="00C136DD" w:rsidP="00834E41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Narrow"/>
          <w:color w:val="000000"/>
        </w:rPr>
      </w:pPr>
      <w:r w:rsidRPr="00834E41">
        <w:rPr>
          <w:rFonts w:ascii="Arial Narrow" w:hAnsi="Arial Narrow" w:cs="ArialNarrow"/>
          <w:color w:val="000000"/>
        </w:rPr>
        <w:t xml:space="preserve">Frais de transport hors </w:t>
      </w:r>
      <w:r w:rsidR="00FE0750">
        <w:rPr>
          <w:rFonts w:ascii="Arial Narrow" w:hAnsi="Arial Narrow" w:cs="ArialNarrow"/>
          <w:color w:val="000000"/>
        </w:rPr>
        <w:t>France hexagonale</w:t>
      </w:r>
      <w:r w:rsidRPr="00834E41">
        <w:rPr>
          <w:rFonts w:ascii="Arial Narrow" w:hAnsi="Arial Narrow" w:cs="ArialNarrow"/>
          <w:color w:val="000000"/>
        </w:rPr>
        <w:t>, sur justificatif</w:t>
      </w:r>
      <w:r w:rsidR="00FE0750">
        <w:rPr>
          <w:rFonts w:ascii="Arial Narrow" w:hAnsi="Arial Narrow" w:cs="ArialNarrow"/>
          <w:color w:val="000000"/>
        </w:rPr>
        <w:t>.</w:t>
      </w:r>
      <w:r w:rsidRPr="00834E41">
        <w:rPr>
          <w:rFonts w:ascii="Arial Narrow" w:hAnsi="Arial Narrow" w:cs="ArialNarrow"/>
          <w:color w:val="000000"/>
        </w:rPr>
        <w:t xml:space="preserve"> La facturation de frais annexes su</w:t>
      </w:r>
      <w:r w:rsidR="001B575A" w:rsidRPr="00834E41">
        <w:rPr>
          <w:rFonts w:ascii="Arial Narrow" w:hAnsi="Arial Narrow" w:cs="ArialNarrow"/>
          <w:color w:val="000000"/>
        </w:rPr>
        <w:t xml:space="preserve">r justificatifs sera </w:t>
      </w:r>
      <w:r w:rsidRPr="00834E41">
        <w:rPr>
          <w:rFonts w:ascii="Arial Narrow" w:hAnsi="Arial Narrow" w:cs="ArialNarrow"/>
          <w:color w:val="000000"/>
        </w:rPr>
        <w:t xml:space="preserve">marginale et ponctuelle. Les frais de transport hors </w:t>
      </w:r>
      <w:r w:rsidR="00FE0750">
        <w:rPr>
          <w:rFonts w:ascii="Arial Narrow" w:hAnsi="Arial Narrow" w:cs="ArialNarrow"/>
          <w:color w:val="000000"/>
        </w:rPr>
        <w:t xml:space="preserve">France hexagonale </w:t>
      </w:r>
      <w:r w:rsidRPr="00834E41">
        <w:rPr>
          <w:rFonts w:ascii="Arial Narrow" w:hAnsi="Arial Narrow" w:cs="ArialNarrow"/>
          <w:color w:val="000000"/>
        </w:rPr>
        <w:t>seront réglés sur la base des justificatifs</w:t>
      </w:r>
      <w:r w:rsidR="001B575A" w:rsidRPr="00834E41">
        <w:rPr>
          <w:rFonts w:ascii="Arial Narrow" w:hAnsi="Arial Narrow" w:cs="ArialNarrow"/>
          <w:color w:val="000000"/>
        </w:rPr>
        <w:t xml:space="preserve"> </w:t>
      </w:r>
      <w:r w:rsidRPr="00834E41">
        <w:rPr>
          <w:rFonts w:ascii="Arial Narrow" w:hAnsi="Arial Narrow" w:cs="ArialNarrow"/>
          <w:color w:val="000000"/>
        </w:rPr>
        <w:t>des frais engagés (billets) et sur la base des textes fixant les conditions et les modalités de rè</w:t>
      </w:r>
      <w:r w:rsidR="001B575A" w:rsidRPr="00834E41">
        <w:rPr>
          <w:rFonts w:ascii="Arial Narrow" w:hAnsi="Arial Narrow" w:cs="ArialNarrow"/>
          <w:color w:val="000000"/>
        </w:rPr>
        <w:t xml:space="preserve">glement </w:t>
      </w:r>
      <w:r w:rsidRPr="00834E41">
        <w:rPr>
          <w:rFonts w:ascii="Arial Narrow" w:hAnsi="Arial Narrow" w:cs="ArialNarrow"/>
          <w:color w:val="000000"/>
        </w:rPr>
        <w:t>des frais occasionnés par les déplacements temporaires des perso</w:t>
      </w:r>
      <w:r w:rsidR="001B575A" w:rsidRPr="00834E41">
        <w:rPr>
          <w:rFonts w:ascii="Arial Narrow" w:hAnsi="Arial Narrow" w:cs="ArialNarrow"/>
          <w:color w:val="000000"/>
        </w:rPr>
        <w:t xml:space="preserve">nnels civils de l'Etat – tarifs </w:t>
      </w:r>
      <w:r w:rsidRPr="00834E41">
        <w:rPr>
          <w:rFonts w:ascii="Arial Narrow" w:hAnsi="Arial Narrow" w:cs="ArialNarrow"/>
          <w:color w:val="000000"/>
        </w:rPr>
        <w:t>appliqués dans le cadre de la politique de voyage de l’Etat.</w:t>
      </w:r>
    </w:p>
    <w:p w14:paraId="4C7F740D" w14:textId="77777777" w:rsidR="001B575A" w:rsidRPr="00834E41" w:rsidRDefault="001B575A" w:rsidP="00834E41">
      <w:pPr>
        <w:pStyle w:val="Paragraphedeliste"/>
        <w:autoSpaceDE w:val="0"/>
        <w:autoSpaceDN w:val="0"/>
        <w:adjustRightInd w:val="0"/>
        <w:spacing w:after="0" w:line="240" w:lineRule="auto"/>
        <w:ind w:left="430"/>
        <w:jc w:val="both"/>
        <w:rPr>
          <w:rFonts w:ascii="Arial Narrow" w:hAnsi="Arial Narrow" w:cs="ArialNarrow"/>
          <w:color w:val="000000"/>
        </w:rPr>
      </w:pPr>
    </w:p>
    <w:p w14:paraId="5093FFD9" w14:textId="77777777" w:rsidR="001B575A" w:rsidRPr="00834E41" w:rsidRDefault="00C136DD" w:rsidP="00834E41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Narrow"/>
          <w:color w:val="000000"/>
        </w:rPr>
      </w:pPr>
      <w:r w:rsidRPr="00834E41">
        <w:rPr>
          <w:rFonts w:ascii="Arial Narrow" w:hAnsi="Arial Narrow" w:cs="ArialNarrow"/>
          <w:color w:val="000000"/>
        </w:rPr>
        <w:t>Frais de fourniture d’équipements techniques ou d’outils informatiques, s</w:t>
      </w:r>
      <w:r w:rsidR="001B575A" w:rsidRPr="00834E41">
        <w:rPr>
          <w:rFonts w:ascii="Arial Narrow" w:hAnsi="Arial Narrow" w:cs="ArialNarrow"/>
          <w:color w:val="000000"/>
        </w:rPr>
        <w:t xml:space="preserve">ur justificatif. La facturation </w:t>
      </w:r>
      <w:r w:rsidRPr="00834E41">
        <w:rPr>
          <w:rFonts w:ascii="Arial Narrow" w:hAnsi="Arial Narrow" w:cs="ArialNarrow"/>
          <w:color w:val="000000"/>
        </w:rPr>
        <w:t>de frais annexes, sur justificatifs, sera marginale et ponctuelle. La fourniture de prestations ou d’</w:t>
      </w:r>
      <w:r w:rsidR="001B575A" w:rsidRPr="00834E41">
        <w:rPr>
          <w:rFonts w:ascii="Arial Narrow" w:hAnsi="Arial Narrow" w:cs="ArialNarrow"/>
          <w:color w:val="000000"/>
        </w:rPr>
        <w:t xml:space="preserve">usage </w:t>
      </w:r>
      <w:r w:rsidRPr="00834E41">
        <w:rPr>
          <w:rFonts w:ascii="Arial Narrow" w:hAnsi="Arial Narrow" w:cs="ArialNarrow"/>
          <w:color w:val="000000"/>
        </w:rPr>
        <w:t>d’outils particuliers, spécifiques à une prestation donnée, seront réglés su</w:t>
      </w:r>
      <w:r w:rsidR="001B575A" w:rsidRPr="00834E41">
        <w:rPr>
          <w:rFonts w:ascii="Arial Narrow" w:hAnsi="Arial Narrow" w:cs="ArialNarrow"/>
          <w:color w:val="000000"/>
        </w:rPr>
        <w:t xml:space="preserve">r la base des justificatifs des </w:t>
      </w:r>
      <w:r w:rsidRPr="00834E41">
        <w:rPr>
          <w:rFonts w:ascii="Arial Narrow" w:hAnsi="Arial Narrow" w:cs="ArialNarrow"/>
          <w:color w:val="000000"/>
        </w:rPr>
        <w:t>frais réellement engagés. Ceci concerne par exemple des outils d’animation de séminaire, l’usage de</w:t>
      </w:r>
      <w:r w:rsidR="001B575A" w:rsidRPr="00834E41">
        <w:rPr>
          <w:rFonts w:ascii="Arial Narrow" w:hAnsi="Arial Narrow" w:cs="ArialNarrow"/>
          <w:color w:val="000000"/>
        </w:rPr>
        <w:t xml:space="preserve"> </w:t>
      </w:r>
      <w:r w:rsidRPr="00834E41">
        <w:rPr>
          <w:rFonts w:ascii="Arial Narrow" w:hAnsi="Arial Narrow" w:cs="ArialNarrow"/>
          <w:color w:val="000000"/>
        </w:rPr>
        <w:t>plateformes informatiques dont la spécificité est telle qu’ils ne pourraient ê</w:t>
      </w:r>
      <w:r w:rsidR="001B575A" w:rsidRPr="00834E41">
        <w:rPr>
          <w:rFonts w:ascii="Arial Narrow" w:hAnsi="Arial Narrow" w:cs="ArialNarrow"/>
          <w:color w:val="000000"/>
        </w:rPr>
        <w:t xml:space="preserve">tre </w:t>
      </w:r>
      <w:r w:rsidRPr="00834E41">
        <w:rPr>
          <w:rFonts w:ascii="Arial Narrow" w:hAnsi="Arial Narrow" w:cs="ArialNarrow"/>
          <w:color w:val="000000"/>
        </w:rPr>
        <w:t>considérés dans l’</w:t>
      </w:r>
      <w:r w:rsidR="001B575A" w:rsidRPr="00834E41">
        <w:rPr>
          <w:rFonts w:ascii="Arial Narrow" w:hAnsi="Arial Narrow" w:cs="ArialNarrow"/>
          <w:color w:val="000000"/>
        </w:rPr>
        <w:t xml:space="preserve">offre </w:t>
      </w:r>
      <w:r w:rsidRPr="00834E41">
        <w:rPr>
          <w:rFonts w:ascii="Arial Narrow" w:hAnsi="Arial Narrow" w:cs="ArialNarrow"/>
          <w:color w:val="000000"/>
        </w:rPr>
        <w:t>générique.</w:t>
      </w:r>
    </w:p>
    <w:p w14:paraId="58CAFB9A" w14:textId="77777777" w:rsidR="001B575A" w:rsidRDefault="001B575A">
      <w:pPr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br w:type="page"/>
      </w:r>
    </w:p>
    <w:p w14:paraId="7E231FA1" w14:textId="77777777" w:rsidR="001B575A" w:rsidRPr="00FE0750" w:rsidRDefault="001B575A" w:rsidP="001B575A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Narrow-Bold"/>
          <w:b/>
          <w:bCs/>
          <w:sz w:val="24"/>
          <w:szCs w:val="24"/>
        </w:rPr>
      </w:pPr>
      <w:r w:rsidRPr="00FE0750">
        <w:rPr>
          <w:rFonts w:ascii="Arial Narrow" w:hAnsi="Arial Narrow" w:cs="ArialNarrow-Bold"/>
          <w:b/>
          <w:bCs/>
          <w:sz w:val="24"/>
          <w:szCs w:val="24"/>
        </w:rPr>
        <w:lastRenderedPageBreak/>
        <w:t>ÉQUIPE DÉDIÉE</w:t>
      </w:r>
    </w:p>
    <w:p w14:paraId="248157C7" w14:textId="77777777" w:rsidR="001B575A" w:rsidRPr="00FE0750" w:rsidRDefault="001B575A" w:rsidP="001B575A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Narrow"/>
          <w:sz w:val="24"/>
          <w:szCs w:val="24"/>
        </w:rPr>
      </w:pPr>
    </w:p>
    <w:p w14:paraId="1111438A" w14:textId="77777777" w:rsidR="001B575A" w:rsidRPr="00FE0750" w:rsidRDefault="001B575A" w:rsidP="001B575A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Narrow"/>
          <w:sz w:val="24"/>
          <w:szCs w:val="24"/>
        </w:rPr>
      </w:pPr>
      <w:r w:rsidRPr="00FE0750">
        <w:rPr>
          <w:rFonts w:ascii="Arial Narrow" w:hAnsi="Arial Narrow" w:cs="ArialNarrow"/>
          <w:sz w:val="24"/>
          <w:szCs w:val="24"/>
        </w:rPr>
        <w:t xml:space="preserve">Profils, formation et les expériences des membres de l’équipe dédiée </w:t>
      </w:r>
    </w:p>
    <w:p w14:paraId="5E58BB3B" w14:textId="5FE15AA9" w:rsidR="00B15D32" w:rsidRPr="00FE0750" w:rsidRDefault="001B575A" w:rsidP="001B575A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Narrow-Bold"/>
          <w:b/>
          <w:bCs/>
          <w:sz w:val="24"/>
          <w:szCs w:val="24"/>
        </w:rPr>
      </w:pPr>
      <w:r w:rsidRPr="00FE0750">
        <w:rPr>
          <w:rFonts w:ascii="Arial Narrow" w:hAnsi="Arial Narrow" w:cs="ArialNarrow"/>
          <w:sz w:val="24"/>
          <w:szCs w:val="24"/>
        </w:rPr>
        <w:t xml:space="preserve">pour </w:t>
      </w:r>
      <w:r w:rsidRPr="00FE0750">
        <w:rPr>
          <w:rFonts w:ascii="Arial Narrow" w:hAnsi="Arial Narrow" w:cs="ArialNarrow-Bold"/>
          <w:bCs/>
          <w:sz w:val="24"/>
          <w:szCs w:val="24"/>
        </w:rPr>
        <w:t xml:space="preserve">les </w:t>
      </w:r>
      <w:r w:rsidRPr="00FE0750">
        <w:rPr>
          <w:rFonts w:ascii="Arial Narrow" w:hAnsi="Arial Narrow" w:cs="ArialNarrow-Bold"/>
          <w:b/>
          <w:bCs/>
          <w:sz w:val="24"/>
          <w:szCs w:val="24"/>
        </w:rPr>
        <w:t xml:space="preserve">diagnostics comportementaux </w:t>
      </w:r>
      <w:r w:rsidRPr="00FE0750">
        <w:rPr>
          <w:rFonts w:ascii="Arial Narrow" w:hAnsi="Arial Narrow" w:cs="ArialNarrow-Bold"/>
          <w:bCs/>
          <w:sz w:val="24"/>
          <w:szCs w:val="24"/>
        </w:rPr>
        <w:t>et</w:t>
      </w:r>
      <w:r w:rsidRPr="00FE0750">
        <w:rPr>
          <w:rFonts w:ascii="Arial Narrow" w:hAnsi="Arial Narrow" w:cs="ArialNarrow"/>
          <w:sz w:val="24"/>
          <w:szCs w:val="24"/>
        </w:rPr>
        <w:t xml:space="preserve"> les </w:t>
      </w:r>
      <w:r w:rsidRPr="00FE0750">
        <w:rPr>
          <w:rFonts w:ascii="Arial Narrow" w:hAnsi="Arial Narrow" w:cs="ArialNarrow-Bold"/>
          <w:b/>
          <w:bCs/>
          <w:sz w:val="24"/>
          <w:szCs w:val="24"/>
        </w:rPr>
        <w:t>évaluations d’impact.</w:t>
      </w:r>
    </w:p>
    <w:sectPr w:rsidR="00B15D32" w:rsidRPr="00FE075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D445E9" w14:textId="77777777" w:rsidR="00FE0750" w:rsidRDefault="00FE0750" w:rsidP="00FE0750">
      <w:pPr>
        <w:spacing w:after="0" w:line="240" w:lineRule="auto"/>
      </w:pPr>
      <w:r>
        <w:separator/>
      </w:r>
    </w:p>
  </w:endnote>
  <w:endnote w:type="continuationSeparator" w:id="0">
    <w:p w14:paraId="18022C31" w14:textId="77777777" w:rsidR="00FE0750" w:rsidRDefault="00FE0750" w:rsidP="00FE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Narrow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4461374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34CFEDD8" w14:textId="611560DE" w:rsidR="00FE0750" w:rsidRPr="00834E41" w:rsidRDefault="00FE0750">
        <w:pPr>
          <w:pStyle w:val="Pieddepage"/>
          <w:jc w:val="right"/>
          <w:rPr>
            <w:rFonts w:ascii="Arial Narrow" w:hAnsi="Arial Narrow"/>
            <w:sz w:val="18"/>
            <w:szCs w:val="18"/>
          </w:rPr>
        </w:pPr>
        <w:r w:rsidRPr="00834E41">
          <w:rPr>
            <w:rFonts w:ascii="Arial Narrow" w:hAnsi="Arial Narrow"/>
            <w:sz w:val="18"/>
            <w:szCs w:val="18"/>
          </w:rPr>
          <w:fldChar w:fldCharType="begin"/>
        </w:r>
        <w:r w:rsidRPr="00834E41">
          <w:rPr>
            <w:rFonts w:ascii="Arial Narrow" w:hAnsi="Arial Narrow"/>
            <w:sz w:val="18"/>
            <w:szCs w:val="18"/>
          </w:rPr>
          <w:instrText>PAGE   \* MERGEFORMAT</w:instrText>
        </w:r>
        <w:r w:rsidRPr="00834E41">
          <w:rPr>
            <w:rFonts w:ascii="Arial Narrow" w:hAnsi="Arial Narrow"/>
            <w:sz w:val="18"/>
            <w:szCs w:val="18"/>
          </w:rPr>
          <w:fldChar w:fldCharType="separate"/>
        </w:r>
        <w:r w:rsidR="00BA2D33">
          <w:rPr>
            <w:rFonts w:ascii="Arial Narrow" w:hAnsi="Arial Narrow"/>
            <w:noProof/>
            <w:sz w:val="18"/>
            <w:szCs w:val="18"/>
          </w:rPr>
          <w:t>4</w:t>
        </w:r>
        <w:r w:rsidRPr="00834E41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14:paraId="27E43EE1" w14:textId="77777777" w:rsidR="00FE0750" w:rsidRDefault="00FE075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95554B" w14:textId="77777777" w:rsidR="00FE0750" w:rsidRDefault="00FE0750" w:rsidP="00FE0750">
      <w:pPr>
        <w:spacing w:after="0" w:line="240" w:lineRule="auto"/>
      </w:pPr>
      <w:r>
        <w:separator/>
      </w:r>
    </w:p>
  </w:footnote>
  <w:footnote w:type="continuationSeparator" w:id="0">
    <w:p w14:paraId="2E4A178C" w14:textId="77777777" w:rsidR="00FE0750" w:rsidRDefault="00FE0750" w:rsidP="00FE07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47730"/>
    <w:multiLevelType w:val="hybridMultilevel"/>
    <w:tmpl w:val="3EE8D31A"/>
    <w:lvl w:ilvl="0" w:tplc="D8B66488">
      <w:start w:val="1"/>
      <w:numFmt w:val="decimal"/>
      <w:lvlText w:val="(%1)"/>
      <w:lvlJc w:val="left"/>
      <w:pPr>
        <w:ind w:left="43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50" w:hanging="360"/>
      </w:pPr>
    </w:lvl>
    <w:lvl w:ilvl="2" w:tplc="040C001B" w:tentative="1">
      <w:start w:val="1"/>
      <w:numFmt w:val="lowerRoman"/>
      <w:lvlText w:val="%3."/>
      <w:lvlJc w:val="right"/>
      <w:pPr>
        <w:ind w:left="1870" w:hanging="180"/>
      </w:pPr>
    </w:lvl>
    <w:lvl w:ilvl="3" w:tplc="040C000F" w:tentative="1">
      <w:start w:val="1"/>
      <w:numFmt w:val="decimal"/>
      <w:lvlText w:val="%4."/>
      <w:lvlJc w:val="left"/>
      <w:pPr>
        <w:ind w:left="2590" w:hanging="360"/>
      </w:pPr>
    </w:lvl>
    <w:lvl w:ilvl="4" w:tplc="040C0019" w:tentative="1">
      <w:start w:val="1"/>
      <w:numFmt w:val="lowerLetter"/>
      <w:lvlText w:val="%5."/>
      <w:lvlJc w:val="left"/>
      <w:pPr>
        <w:ind w:left="3310" w:hanging="360"/>
      </w:pPr>
    </w:lvl>
    <w:lvl w:ilvl="5" w:tplc="040C001B" w:tentative="1">
      <w:start w:val="1"/>
      <w:numFmt w:val="lowerRoman"/>
      <w:lvlText w:val="%6."/>
      <w:lvlJc w:val="right"/>
      <w:pPr>
        <w:ind w:left="4030" w:hanging="180"/>
      </w:pPr>
    </w:lvl>
    <w:lvl w:ilvl="6" w:tplc="040C000F" w:tentative="1">
      <w:start w:val="1"/>
      <w:numFmt w:val="decimal"/>
      <w:lvlText w:val="%7."/>
      <w:lvlJc w:val="left"/>
      <w:pPr>
        <w:ind w:left="4750" w:hanging="360"/>
      </w:pPr>
    </w:lvl>
    <w:lvl w:ilvl="7" w:tplc="040C0019" w:tentative="1">
      <w:start w:val="1"/>
      <w:numFmt w:val="lowerLetter"/>
      <w:lvlText w:val="%8."/>
      <w:lvlJc w:val="left"/>
      <w:pPr>
        <w:ind w:left="5470" w:hanging="360"/>
      </w:pPr>
    </w:lvl>
    <w:lvl w:ilvl="8" w:tplc="040C001B" w:tentative="1">
      <w:start w:val="1"/>
      <w:numFmt w:val="lowerRoman"/>
      <w:lvlText w:val="%9."/>
      <w:lvlJc w:val="right"/>
      <w:pPr>
        <w:ind w:left="61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D32"/>
    <w:rsid w:val="00057088"/>
    <w:rsid w:val="001B575A"/>
    <w:rsid w:val="002D3D32"/>
    <w:rsid w:val="002F0E90"/>
    <w:rsid w:val="00834E41"/>
    <w:rsid w:val="00BA2D33"/>
    <w:rsid w:val="00BC21FB"/>
    <w:rsid w:val="00BF5567"/>
    <w:rsid w:val="00C136DD"/>
    <w:rsid w:val="00C47B81"/>
    <w:rsid w:val="00FE0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5645D"/>
  <w15:chartTrackingRefBased/>
  <w15:docId w15:val="{E3E564B9-CE1C-4ED9-9E87-E2ABBB24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13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B575A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E075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075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E075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075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075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07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0750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FE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0750"/>
  </w:style>
  <w:style w:type="paragraph" w:styleId="Pieddepage">
    <w:name w:val="footer"/>
    <w:basedOn w:val="Normal"/>
    <w:link w:val="PieddepageCar"/>
    <w:uiPriority w:val="99"/>
    <w:unhideWhenUsed/>
    <w:rsid w:val="00FE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0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894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ANSP</Company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ARWIDSON Pierre</dc:creator>
  <cp:keywords/>
  <dc:description/>
  <cp:lastModifiedBy>MOREAU Christine</cp:lastModifiedBy>
  <cp:revision>6</cp:revision>
  <dcterms:created xsi:type="dcterms:W3CDTF">2025-03-14T13:48:00Z</dcterms:created>
  <dcterms:modified xsi:type="dcterms:W3CDTF">2025-03-27T10:34:00Z</dcterms:modified>
</cp:coreProperties>
</file>