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6EF8">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6EF8">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726EF8">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6EF8">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Groussay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726EF8" w:rsidRDefault="00726EF8" w:rsidP="0013020E">
      <w:pPr>
        <w:spacing w:line="276" w:lineRule="auto"/>
        <w:jc w:val="center"/>
        <w:rPr>
          <w:rFonts w:ascii="Arial" w:hAnsi="Arial" w:cs="Arial"/>
          <w:b/>
          <w:bCs/>
          <w:color w:val="000000" w:themeColor="text1"/>
        </w:rPr>
      </w:pPr>
      <w:r>
        <w:rPr>
          <w:rFonts w:ascii="Arial" w:hAnsi="Arial" w:cs="Arial"/>
          <w:b/>
          <w:bCs/>
          <w:color w:val="000000" w:themeColor="text1"/>
        </w:rPr>
        <w:t>DAF_202</w:t>
      </w:r>
      <w:r w:rsidR="00D20682">
        <w:rPr>
          <w:rFonts w:ascii="Arial" w:hAnsi="Arial" w:cs="Arial"/>
          <w:b/>
          <w:bCs/>
          <w:color w:val="000000" w:themeColor="text1"/>
        </w:rPr>
        <w:t>5</w:t>
      </w:r>
      <w:r>
        <w:rPr>
          <w:rFonts w:ascii="Arial" w:hAnsi="Arial" w:cs="Arial"/>
          <w:b/>
          <w:bCs/>
          <w:color w:val="000000" w:themeColor="text1"/>
        </w:rPr>
        <w:t>_000042_</w:t>
      </w:r>
      <w:r w:rsidRPr="00726EF8">
        <w:rPr>
          <w:rFonts w:ascii="Arial" w:hAnsi="Arial" w:cs="Arial"/>
          <w:b/>
          <w:bCs/>
          <w:color w:val="000000" w:themeColor="text1"/>
        </w:rPr>
        <w:t>CONFECTION DE TENUES OPERATIONNELLES</w:t>
      </w:r>
    </w:p>
    <w:p w:rsidR="00726EF8" w:rsidRPr="00726EF8" w:rsidRDefault="00726EF8" w:rsidP="0013020E">
      <w:pPr>
        <w:spacing w:line="276" w:lineRule="auto"/>
        <w:jc w:val="center"/>
        <w:rPr>
          <w:rFonts w:ascii="Arial" w:hAnsi="Arial" w:cs="Arial"/>
          <w:b/>
          <w:bCs/>
          <w:color w:val="000000" w:themeColor="text1"/>
        </w:rPr>
      </w:pPr>
    </w:p>
    <w:p w:rsidR="00726EF8" w:rsidRPr="00726EF8" w:rsidRDefault="00726EF8" w:rsidP="0013020E">
      <w:pPr>
        <w:spacing w:line="276" w:lineRule="auto"/>
        <w:jc w:val="center"/>
        <w:rPr>
          <w:rFonts w:ascii="Arial" w:hAnsi="Arial" w:cs="Arial"/>
          <w:b/>
          <w:color w:val="000000" w:themeColor="text1"/>
        </w:rPr>
      </w:pPr>
      <w:r w:rsidRPr="00726EF8">
        <w:rPr>
          <w:rFonts w:ascii="Arial" w:hAnsi="Arial" w:cs="Arial"/>
          <w:b/>
          <w:bCs/>
          <w:color w:val="000000" w:themeColor="text1"/>
        </w:rPr>
        <w:t>LOT N°</w:t>
      </w:r>
      <w:r w:rsidR="006F1254">
        <w:rPr>
          <w:rFonts w:ascii="Arial" w:hAnsi="Arial" w:cs="Arial"/>
          <w:b/>
          <w:bCs/>
          <w:color w:val="000000" w:themeColor="text1"/>
        </w:rPr>
        <w:t>3</w:t>
      </w:r>
      <w:r w:rsidRPr="00726EF8">
        <w:rPr>
          <w:rFonts w:ascii="Arial" w:hAnsi="Arial" w:cs="Arial"/>
          <w:b/>
          <w:bCs/>
          <w:color w:val="000000" w:themeColor="text1"/>
        </w:rPr>
        <w:t xml:space="preserve"> : </w:t>
      </w:r>
      <w:r w:rsidR="007C7772">
        <w:rPr>
          <w:rFonts w:ascii="Arial" w:hAnsi="Arial" w:cs="Arial"/>
          <w:b/>
          <w:bCs/>
          <w:color w:val="000000" w:themeColor="text1"/>
        </w:rPr>
        <w:t xml:space="preserve">EFFETS </w:t>
      </w:r>
      <w:r w:rsidR="006F1254">
        <w:rPr>
          <w:rFonts w:ascii="Arial" w:hAnsi="Arial" w:cs="Arial"/>
          <w:b/>
          <w:bCs/>
          <w:color w:val="000000" w:themeColor="text1"/>
        </w:rPr>
        <w:t>DE TETE ET ACCESSOIRES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3"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726EF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726EF8">
      <w:pPr>
        <w:pStyle w:val="Paragraphedeliste"/>
        <w:numPr>
          <w:ilvl w:val="0"/>
          <w:numId w:val="20"/>
        </w:numPr>
        <w:suppressAutoHyphens/>
        <w:spacing w:line="276" w:lineRule="auto"/>
        <w:ind w:left="284" w:hanging="284"/>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r w:rsidRPr="00A45AA6">
          <w:rPr>
            <w:rFonts w:ascii="Arial" w:hAnsi="Arial" w:cs="Arial"/>
            <w:bCs/>
            <w:i/>
            <w:color w:val="0000FF"/>
            <w:u w:val="single"/>
            <w:lang w:eastAsia="zh-CN"/>
          </w:rPr>
          <w:t>nonies</w:t>
        </w:r>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8"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9"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tbl>
      <w:tblPr>
        <w:tblW w:w="10208"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726EF8">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726EF8">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indiquant les effectifs moyens annuels du candidat et l’importance du personnel d’encadrement pour chacune des trois dernières années ou preuve par équivalence</w:t>
      </w:r>
      <w:r w:rsidRPr="00726EF8" w:rsidDel="00985DAC">
        <w:rPr>
          <w:rFonts w:ascii="Arial" w:hAnsi="Arial" w:cs="Arial"/>
          <w:bCs/>
        </w:rPr>
        <w:t xml:space="preserve"> </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Présentation d’une liste des principales fournitures effectuées au cours des trois dernières années, indiquant le montant, la date et le destinataire public ou privé, ou preuve par équivalence</w:t>
      </w:r>
      <w:r w:rsidRPr="00726EF8" w:rsidDel="00985DAC">
        <w:rPr>
          <w:rFonts w:ascii="Arial" w:hAnsi="Arial" w:cs="Arial"/>
          <w:bCs/>
        </w:rPr>
        <w:t xml:space="preserve"> </w:t>
      </w:r>
    </w:p>
    <w:p w:rsidR="004037BA" w:rsidRPr="00726EF8" w:rsidRDefault="00985DAC" w:rsidP="0013020E">
      <w:pPr>
        <w:spacing w:line="276" w:lineRule="auto"/>
        <w:ind w:left="927"/>
        <w:jc w:val="both"/>
        <w:rPr>
          <w:rFonts w:ascii="Arial" w:hAnsi="Arial" w:cs="Arial"/>
          <w:bCs/>
        </w:rPr>
      </w:pPr>
      <w:r w:rsidRPr="00726EF8">
        <w:rPr>
          <w:rFonts w:ascii="Arial" w:hAnsi="Arial" w:cs="Arial"/>
          <w:bCs/>
        </w:rPr>
        <w:t>Déclaration indiquant l'outillage, le matériel et l'équipement technique dont le candidat dispose pour la réalisation de marchés de même nature</w:t>
      </w:r>
      <w:r w:rsidRPr="00726EF8"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726EF8">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 xml:space="preserve">l'exemplaire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r w:rsidRPr="00A45AA6">
        <w:rPr>
          <w:rFonts w:ascii="Arial" w:hAnsi="Arial" w:cs="Arial"/>
          <w:iCs/>
          <w:u w:val="single"/>
        </w:rPr>
        <w:t>OU</w:t>
      </w:r>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une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r w:rsidRPr="00A45AA6">
        <w:rPr>
          <w:rFonts w:ascii="Arial" w:hAnsi="Arial" w:cs="Arial"/>
          <w:iCs/>
          <w:u w:val="single"/>
        </w:rPr>
        <w:lastRenderedPageBreak/>
        <w:t>OU</w:t>
      </w:r>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3E0D7B">
        <w:rPr>
          <w:rFonts w:ascii="Arial" w:hAnsi="Arial" w:cs="Arial"/>
        </w:rPr>
      </w:r>
      <w:r w:rsidR="003E0D7B">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l’exemplaire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r w:rsidRPr="00A45AA6">
        <w:rPr>
          <w:rFonts w:ascii="Arial" w:hAnsi="Arial" w:cs="Arial"/>
        </w:rPr>
        <w:t xml:space="preserve">soit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r w:rsidRPr="00A45AA6">
        <w:rPr>
          <w:rFonts w:ascii="Arial" w:hAnsi="Arial" w:cs="Arial"/>
        </w:rPr>
        <w:t>soit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Pr="00A45AA6">
        <w:rPr>
          <w:rFonts w:ascii="Arial" w:hAnsi="Arial" w:cs="Arial"/>
        </w:rPr>
        <w:t xml:space="preserve">stade </w:t>
      </w:r>
      <w:r w:rsidR="00A452BF" w:rsidRPr="00A45AA6">
        <w:rPr>
          <w:rFonts w:ascii="Arial" w:hAnsi="Arial" w:cs="Arial"/>
        </w:rPr>
        <w:t xml:space="preserve"> ;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726EF8" w:rsidTr="00CE7EAB">
      <w:trPr>
        <w:trHeight w:val="142"/>
        <w:tblHeader/>
      </w:trPr>
      <w:tc>
        <w:tcPr>
          <w:tcW w:w="4040" w:type="dxa"/>
          <w:shd w:val="clear" w:color="auto" w:fill="9CC2E5" w:themeFill="accent1" w:themeFillTint="99"/>
        </w:tcPr>
        <w:p w:rsidR="00157994" w:rsidRPr="00726EF8" w:rsidRDefault="00157994" w:rsidP="009800F3">
          <w:pPr>
            <w:rPr>
              <w:rFonts w:ascii="Arial" w:hAnsi="Arial" w:cs="Arial"/>
              <w:b/>
              <w:i/>
              <w:iCs/>
            </w:rPr>
          </w:pPr>
          <w:r w:rsidRPr="00726EF8">
            <w:rPr>
              <w:rFonts w:ascii="Arial" w:hAnsi="Arial" w:cs="Arial"/>
              <w:b/>
              <w:bCs/>
            </w:rPr>
            <w:t>DC4 – Déclaration de sous-traitance</w:t>
          </w:r>
        </w:p>
      </w:tc>
      <w:tc>
        <w:tcPr>
          <w:tcW w:w="3969" w:type="dxa"/>
          <w:shd w:val="clear" w:color="auto" w:fill="9CC2E5" w:themeFill="accent1" w:themeFillTint="99"/>
        </w:tcPr>
        <w:p w:rsidR="00157994" w:rsidRPr="00726EF8" w:rsidRDefault="00157994" w:rsidP="009800F3">
          <w:pPr>
            <w:ind w:left="1347"/>
            <w:rPr>
              <w:rFonts w:ascii="Arial" w:hAnsi="Arial" w:cs="Arial"/>
              <w:b/>
              <w:bCs/>
            </w:rPr>
          </w:pPr>
        </w:p>
      </w:tc>
      <w:tc>
        <w:tcPr>
          <w:tcW w:w="851" w:type="dxa"/>
          <w:shd w:val="clear" w:color="auto" w:fill="9CC2E5" w:themeFill="accent1" w:themeFillTint="99"/>
        </w:tcPr>
        <w:p w:rsidR="00157994" w:rsidRPr="00726EF8" w:rsidRDefault="00157994" w:rsidP="00ED6722">
          <w:pPr>
            <w:jc w:val="right"/>
            <w:rPr>
              <w:rFonts w:ascii="Arial" w:hAnsi="Arial" w:cs="Arial"/>
            </w:rPr>
          </w:pPr>
          <w:r w:rsidRPr="00726EF8">
            <w:rPr>
              <w:rFonts w:ascii="Arial" w:hAnsi="Arial" w:cs="Arial"/>
              <w:b/>
              <w:bCs/>
            </w:rPr>
            <w:t xml:space="preserve">Page :     </w:t>
          </w:r>
        </w:p>
      </w:tc>
      <w:tc>
        <w:tcPr>
          <w:tcW w:w="567" w:type="dxa"/>
          <w:shd w:val="clear" w:color="auto" w:fill="9CC2E5" w:themeFill="accent1" w:themeFillTint="99"/>
        </w:tcPr>
        <w:p w:rsidR="00157994" w:rsidRPr="00726EF8" w:rsidRDefault="00157994" w:rsidP="00ED6722">
          <w:pPr>
            <w:jc w:val="center"/>
            <w:rPr>
              <w:rFonts w:ascii="Arial" w:hAnsi="Arial" w:cs="Arial"/>
              <w:b/>
              <w:bCs/>
            </w:rPr>
          </w:pPr>
          <w:r w:rsidRPr="00726EF8">
            <w:rPr>
              <w:rFonts w:ascii="Arial" w:hAnsi="Arial" w:cs="Arial"/>
              <w:b/>
            </w:rPr>
            <w:fldChar w:fldCharType="begin"/>
          </w:r>
          <w:r w:rsidRPr="00726EF8">
            <w:rPr>
              <w:rFonts w:ascii="Arial" w:hAnsi="Arial" w:cs="Arial"/>
              <w:b/>
            </w:rPr>
            <w:instrText xml:space="preserve"> PAGE </w:instrText>
          </w:r>
          <w:r w:rsidRPr="00726EF8">
            <w:rPr>
              <w:rFonts w:ascii="Arial" w:hAnsi="Arial" w:cs="Arial"/>
              <w:b/>
            </w:rPr>
            <w:fldChar w:fldCharType="separate"/>
          </w:r>
          <w:r w:rsidR="003E0D7B">
            <w:rPr>
              <w:rFonts w:ascii="Arial" w:hAnsi="Arial" w:cs="Arial"/>
              <w:b/>
              <w:noProof/>
            </w:rPr>
            <w:t>7</w:t>
          </w:r>
          <w:r w:rsidRPr="00726EF8">
            <w:rPr>
              <w:rFonts w:ascii="Arial" w:hAnsi="Arial" w:cs="Arial"/>
              <w:b/>
            </w:rPr>
            <w:fldChar w:fldCharType="end"/>
          </w:r>
          <w:r w:rsidRPr="00726EF8">
            <w:rPr>
              <w:rFonts w:ascii="Arial" w:eastAsia="Arial" w:hAnsi="Arial" w:cs="Arial"/>
              <w:b/>
            </w:rPr>
            <w:t xml:space="preserve"> </w:t>
          </w:r>
        </w:p>
      </w:tc>
      <w:tc>
        <w:tcPr>
          <w:tcW w:w="322" w:type="dxa"/>
          <w:shd w:val="clear" w:color="auto" w:fill="9CC2E5" w:themeFill="accent1" w:themeFillTint="99"/>
        </w:tcPr>
        <w:p w:rsidR="00157994" w:rsidRPr="00726EF8" w:rsidRDefault="00157994" w:rsidP="00ED6722">
          <w:pPr>
            <w:jc w:val="center"/>
            <w:rPr>
              <w:rFonts w:ascii="Arial" w:hAnsi="Arial" w:cs="Arial"/>
            </w:rPr>
          </w:pPr>
          <w:r w:rsidRPr="00726EF8">
            <w:rPr>
              <w:rFonts w:ascii="Arial" w:hAnsi="Arial" w:cs="Arial"/>
              <w:b/>
              <w:bCs/>
            </w:rPr>
            <w:t>/</w:t>
          </w:r>
        </w:p>
      </w:tc>
      <w:tc>
        <w:tcPr>
          <w:tcW w:w="567" w:type="dxa"/>
          <w:shd w:val="clear" w:color="auto" w:fill="9CC2E5" w:themeFill="accent1" w:themeFillTint="99"/>
        </w:tcPr>
        <w:p w:rsidR="00157994" w:rsidRPr="00726EF8" w:rsidRDefault="00157994" w:rsidP="00ED6722">
          <w:pPr>
            <w:jc w:val="center"/>
            <w:rPr>
              <w:rFonts w:ascii="Arial" w:hAnsi="Arial" w:cs="Arial"/>
            </w:rPr>
          </w:pPr>
          <w:r w:rsidRPr="00726EF8">
            <w:rPr>
              <w:rStyle w:val="Numrodepage"/>
              <w:rFonts w:ascii="Arial" w:hAnsi="Arial" w:cs="Arial"/>
              <w:b/>
            </w:rPr>
            <w:fldChar w:fldCharType="begin"/>
          </w:r>
          <w:r w:rsidRPr="00726EF8">
            <w:rPr>
              <w:rStyle w:val="Numrodepage"/>
              <w:rFonts w:ascii="Arial" w:hAnsi="Arial" w:cs="Arial"/>
              <w:b/>
            </w:rPr>
            <w:instrText xml:space="preserve"> NUMPAGES \*Arabic </w:instrText>
          </w:r>
          <w:r w:rsidRPr="00726EF8">
            <w:rPr>
              <w:rStyle w:val="Numrodepage"/>
              <w:rFonts w:ascii="Arial" w:hAnsi="Arial" w:cs="Arial"/>
              <w:b/>
            </w:rPr>
            <w:fldChar w:fldCharType="separate"/>
          </w:r>
          <w:r w:rsidR="003E0D7B">
            <w:rPr>
              <w:rStyle w:val="Numrodepage"/>
              <w:rFonts w:ascii="Arial" w:hAnsi="Arial" w:cs="Arial"/>
              <w:b/>
              <w:noProof/>
            </w:rPr>
            <w:t>7</w:t>
          </w:r>
          <w:r w:rsidRPr="00726EF8">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0D7B"/>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4D61"/>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1254"/>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EF8"/>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B5A46"/>
    <w:rsid w:val="007C7772"/>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3627"/>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0682"/>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1B6E"/>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65042"/>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94FF7-00E5-4F38-9D29-743E21E57C75}">
  <ds:schemaRefs>
    <ds:schemaRef ds:uri="http://schemas.microsoft.com/sharepoint/v3/contenttype/forms"/>
  </ds:schemaRefs>
</ds:datastoreItem>
</file>

<file path=customXml/itemProps2.xml><?xml version="1.0" encoding="utf-8"?>
<ds:datastoreItem xmlns:ds="http://schemas.openxmlformats.org/officeDocument/2006/customXml" ds:itemID="{ED88EDCF-2DE9-4785-8C3B-28739ED125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8DE843-BC5A-4615-B701-99CA4E4E8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2507</Words>
  <Characters>20349</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22811</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2025-03-20T15:48:00Z</dcterms:created>
  <dcterms:modified xsi:type="dcterms:W3CDTF">2025-04-03T07:45:00Z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