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44" w:rsidRDefault="00C70DFA" w:rsidP="006B7044">
      <w:pPr>
        <w:jc w:val="center"/>
        <w:rPr>
          <w:b/>
          <w:sz w:val="24"/>
          <w:szCs w:val="24"/>
        </w:rPr>
      </w:pPr>
      <w:r>
        <w:rPr>
          <w:noProof/>
          <w:sz w:val="40"/>
          <w:szCs w:val="40"/>
        </w:rPr>
        <w:drawing>
          <wp:inline distT="0" distB="0" distL="0" distR="0">
            <wp:extent cx="5753100" cy="742950"/>
            <wp:effectExtent l="0" t="0" r="0" b="0"/>
            <wp:docPr id="1" name="Image 1" descr="observatoire_de_paris-comarquage-rgb_ultra_vio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servatoire_de_paris-comarquage-rgb_ultra_viol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044" w:rsidRDefault="006B7044" w:rsidP="006B7044">
      <w:pPr>
        <w:rPr>
          <w:b/>
          <w:sz w:val="24"/>
          <w:szCs w:val="24"/>
        </w:rPr>
      </w:pPr>
    </w:p>
    <w:p w:rsidR="006B7044" w:rsidRDefault="006B7044" w:rsidP="006B7044">
      <w:pPr>
        <w:jc w:val="center"/>
        <w:rPr>
          <w:b/>
          <w:sz w:val="24"/>
          <w:szCs w:val="24"/>
        </w:rPr>
      </w:pPr>
    </w:p>
    <w:p w:rsidR="00C70DFA" w:rsidRPr="00C70DFA" w:rsidRDefault="00C70DFA" w:rsidP="006B7044">
      <w:pPr>
        <w:jc w:val="center"/>
        <w:rPr>
          <w:rFonts w:ascii="Gilroy" w:hAnsi="Gilroy"/>
          <w:b/>
          <w:sz w:val="24"/>
          <w:szCs w:val="24"/>
        </w:rPr>
      </w:pPr>
    </w:p>
    <w:p w:rsidR="006B7044" w:rsidRPr="00C70DFA" w:rsidRDefault="006B7044" w:rsidP="006B7044">
      <w:pPr>
        <w:jc w:val="center"/>
        <w:rPr>
          <w:rFonts w:ascii="Gilroy" w:hAnsi="Gilroy"/>
          <w:b/>
          <w:sz w:val="24"/>
          <w:szCs w:val="24"/>
        </w:rPr>
      </w:pPr>
      <w:r w:rsidRPr="00C70DFA">
        <w:rPr>
          <w:rFonts w:ascii="Gilroy" w:hAnsi="Gilroy"/>
          <w:b/>
          <w:sz w:val="24"/>
          <w:szCs w:val="24"/>
        </w:rPr>
        <w:t>MARCHES PUBLICS DE FOURNITURES COURANTES ET SERVICES</w:t>
      </w:r>
    </w:p>
    <w:p w:rsidR="006B7044" w:rsidRPr="00C70DFA" w:rsidRDefault="006B7044" w:rsidP="006B7044">
      <w:pPr>
        <w:jc w:val="center"/>
        <w:rPr>
          <w:rFonts w:ascii="Gilroy" w:hAnsi="Gilroy"/>
          <w:b/>
          <w:sz w:val="24"/>
          <w:szCs w:val="24"/>
        </w:rPr>
      </w:pPr>
    </w:p>
    <w:p w:rsidR="006B7044" w:rsidRPr="00C70DFA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C70DFA">
        <w:rPr>
          <w:rFonts w:ascii="Gilroy" w:hAnsi="Gilroy"/>
          <w:sz w:val="24"/>
          <w:szCs w:val="24"/>
        </w:rPr>
        <w:t>Observatoire de Paris</w:t>
      </w:r>
    </w:p>
    <w:p w:rsidR="006B7044" w:rsidRPr="00C70DFA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C70DFA">
        <w:rPr>
          <w:rFonts w:ascii="Gilroy" w:hAnsi="Gilroy"/>
          <w:sz w:val="24"/>
          <w:szCs w:val="24"/>
        </w:rPr>
        <w:t>Direction Immobilière et Logistique</w:t>
      </w:r>
    </w:p>
    <w:p w:rsidR="006B7044" w:rsidRPr="00C70DFA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C70DFA">
        <w:rPr>
          <w:rFonts w:ascii="Gilroy" w:hAnsi="Gilroy"/>
          <w:sz w:val="24"/>
          <w:szCs w:val="24"/>
        </w:rPr>
        <w:t>Service des moyens généraux</w:t>
      </w:r>
    </w:p>
    <w:p w:rsidR="006B7044" w:rsidRPr="00C70DFA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C70DFA">
        <w:rPr>
          <w:rFonts w:ascii="Gilroy" w:hAnsi="Gilroy"/>
          <w:sz w:val="24"/>
          <w:szCs w:val="24"/>
        </w:rPr>
        <w:t>77, avenue Denfert-Rochereau</w:t>
      </w:r>
    </w:p>
    <w:p w:rsidR="006B7044" w:rsidRPr="00C70DFA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C70DFA">
        <w:rPr>
          <w:rFonts w:ascii="Gilroy" w:hAnsi="Gilroy"/>
          <w:sz w:val="24"/>
          <w:szCs w:val="24"/>
        </w:rPr>
        <w:t>75014 PARIS</w:t>
      </w:r>
    </w:p>
    <w:p w:rsidR="006B7044" w:rsidRPr="00C70DFA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C70DFA">
        <w:rPr>
          <w:rFonts w:ascii="Gilroy" w:hAnsi="Gilroy"/>
          <w:sz w:val="24"/>
          <w:szCs w:val="24"/>
        </w:rPr>
        <w:t>Tél: 01.40.51.21.82</w:t>
      </w:r>
    </w:p>
    <w:p w:rsidR="006B7044" w:rsidRPr="00C70DFA" w:rsidRDefault="006B7044">
      <w:pPr>
        <w:rPr>
          <w:rFonts w:ascii="Gilroy" w:hAnsi="Gilroy"/>
        </w:rPr>
      </w:pPr>
    </w:p>
    <w:p w:rsidR="006B7044" w:rsidRPr="00C70DFA" w:rsidRDefault="006B7044" w:rsidP="006B7044">
      <w:pPr>
        <w:rPr>
          <w:rFonts w:ascii="Gilroy" w:hAnsi="Gilroy"/>
          <w:sz w:val="24"/>
        </w:rPr>
      </w:pPr>
    </w:p>
    <w:p w:rsidR="006B7044" w:rsidRPr="00C70DFA" w:rsidRDefault="006B7044" w:rsidP="006B7044">
      <w:pPr>
        <w:rPr>
          <w:rFonts w:ascii="Gilroy" w:hAnsi="Gilroy"/>
          <w:sz w:val="22"/>
        </w:rPr>
      </w:pPr>
    </w:p>
    <w:p w:rsidR="006B7044" w:rsidRPr="00C70DFA" w:rsidRDefault="00C70DFA" w:rsidP="006B7044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Gilroy" w:hAnsi="Gilroy"/>
          <w:caps/>
          <w:color w:val="000000"/>
          <w:sz w:val="32"/>
          <w:szCs w:val="32"/>
        </w:rPr>
      </w:pPr>
      <w:r w:rsidRPr="00C70DFA">
        <w:rPr>
          <w:rFonts w:ascii="Gilroy" w:hAnsi="Gilroy"/>
          <w:b/>
          <w:caps/>
          <w:color w:val="000000"/>
          <w:sz w:val="32"/>
          <w:szCs w:val="32"/>
        </w:rPr>
        <w:t>MARCHE PUBLIC DE MAINTENANCE DES systèmeS DE SECURITE INCENDIE, MOYENS De secours ET BLOCS AUTONOMES D’ECLAIRAGE DE SECURITE</w:t>
      </w:r>
    </w:p>
    <w:p w:rsidR="006B7044" w:rsidRPr="00C70DFA" w:rsidRDefault="006B7044" w:rsidP="006B7044">
      <w:pPr>
        <w:rPr>
          <w:rFonts w:ascii="Gilroy" w:hAnsi="Gilroy"/>
          <w:sz w:val="22"/>
        </w:rPr>
      </w:pPr>
    </w:p>
    <w:p w:rsidR="006B7044" w:rsidRPr="00C70DFA" w:rsidRDefault="006B7044" w:rsidP="006B7044">
      <w:pPr>
        <w:pStyle w:val="Default"/>
        <w:rPr>
          <w:rFonts w:ascii="Gilroy" w:hAnsi="Gilroy"/>
          <w:color w:val="auto"/>
          <w:sz w:val="22"/>
        </w:rPr>
      </w:pPr>
    </w:p>
    <w:p w:rsidR="006B7044" w:rsidRPr="00C70DFA" w:rsidRDefault="006B7044" w:rsidP="006B7044">
      <w:pPr>
        <w:pStyle w:val="Default"/>
        <w:jc w:val="center"/>
        <w:rPr>
          <w:rFonts w:ascii="Gilroy" w:hAnsi="Gilroy"/>
          <w:color w:val="auto"/>
          <w:sz w:val="22"/>
        </w:rPr>
      </w:pPr>
    </w:p>
    <w:p w:rsidR="006B7044" w:rsidRPr="00C70DFA" w:rsidRDefault="006B7044" w:rsidP="006B7044">
      <w:pPr>
        <w:jc w:val="center"/>
        <w:rPr>
          <w:rFonts w:ascii="Gilroy" w:hAnsi="Gilroy"/>
          <w:b/>
          <w:sz w:val="32"/>
          <w:szCs w:val="32"/>
          <w:u w:val="single"/>
        </w:rPr>
      </w:pPr>
      <w:r w:rsidRPr="00C70DFA">
        <w:rPr>
          <w:rFonts w:ascii="Gilroy" w:hAnsi="Gilroy"/>
          <w:sz w:val="22"/>
        </w:rPr>
        <w:t xml:space="preserve"> </w:t>
      </w:r>
      <w:r w:rsidRPr="00C70DFA">
        <w:rPr>
          <w:rFonts w:ascii="Gilroy" w:hAnsi="Gilroy"/>
          <w:b/>
          <w:sz w:val="32"/>
          <w:szCs w:val="32"/>
          <w:u w:val="single"/>
        </w:rPr>
        <w:t>CADRE MEMOIRE TECHNIQUE</w:t>
      </w:r>
    </w:p>
    <w:p w:rsidR="006B7044" w:rsidRPr="00C70DFA" w:rsidRDefault="006B7044" w:rsidP="006B7044">
      <w:pPr>
        <w:jc w:val="center"/>
        <w:rPr>
          <w:rFonts w:ascii="Gilroy" w:hAnsi="Gilroy"/>
          <w:b/>
          <w:sz w:val="32"/>
          <w:szCs w:val="32"/>
          <w:u w:val="single"/>
        </w:rPr>
      </w:pPr>
    </w:p>
    <w:p w:rsidR="00C70DFA" w:rsidRPr="00C70DFA" w:rsidRDefault="00C70DFA" w:rsidP="00C70DFA">
      <w:pPr>
        <w:jc w:val="center"/>
        <w:rPr>
          <w:rFonts w:ascii="Gilroy" w:hAnsi="Gilroy"/>
          <w:b/>
          <w:sz w:val="32"/>
          <w:szCs w:val="32"/>
          <w:u w:val="single"/>
        </w:rPr>
      </w:pPr>
      <w:r w:rsidRPr="00C70DFA">
        <w:rPr>
          <w:rFonts w:ascii="Gilroy" w:hAnsi="Gilroy"/>
          <w:b/>
          <w:sz w:val="32"/>
          <w:szCs w:val="32"/>
          <w:u w:val="single"/>
        </w:rPr>
        <w:t>Lot 1</w:t>
      </w:r>
      <w:r w:rsidRPr="00C70DFA">
        <w:rPr>
          <w:rFonts w:ascii="Calibri" w:hAnsi="Calibri" w:cs="Calibri"/>
          <w:b/>
          <w:sz w:val="32"/>
          <w:szCs w:val="32"/>
          <w:u w:val="single"/>
        </w:rPr>
        <w:t> </w:t>
      </w:r>
      <w:r w:rsidRPr="00C70DFA">
        <w:rPr>
          <w:rFonts w:ascii="Gilroy" w:hAnsi="Gilroy"/>
          <w:b/>
          <w:sz w:val="32"/>
          <w:szCs w:val="32"/>
          <w:u w:val="single"/>
        </w:rPr>
        <w:t>: Système de sécurité incendie</w:t>
      </w:r>
    </w:p>
    <w:p w:rsidR="006B7044" w:rsidRPr="00C70DFA" w:rsidRDefault="006B7044" w:rsidP="006B7044">
      <w:pPr>
        <w:pStyle w:val="Default"/>
        <w:jc w:val="center"/>
        <w:rPr>
          <w:rFonts w:ascii="Gilroy" w:hAnsi="Gilroy"/>
          <w:b/>
          <w:bCs/>
          <w:color w:val="auto"/>
          <w:sz w:val="28"/>
          <w:szCs w:val="28"/>
        </w:rPr>
      </w:pPr>
    </w:p>
    <w:p w:rsidR="006B7044" w:rsidRPr="00C70DFA" w:rsidRDefault="006B7044" w:rsidP="006B7044">
      <w:pPr>
        <w:pStyle w:val="Default"/>
        <w:jc w:val="center"/>
        <w:rPr>
          <w:rFonts w:ascii="Gilroy" w:hAnsi="Gilroy"/>
          <w:b/>
          <w:bCs/>
          <w:color w:val="auto"/>
          <w:sz w:val="28"/>
          <w:szCs w:val="28"/>
        </w:rPr>
      </w:pPr>
    </w:p>
    <w:p w:rsidR="006B7044" w:rsidRPr="00C70DFA" w:rsidRDefault="006B7044" w:rsidP="006B7044">
      <w:pPr>
        <w:pStyle w:val="Default"/>
        <w:jc w:val="center"/>
        <w:rPr>
          <w:rFonts w:ascii="Gilroy" w:hAnsi="Gilroy"/>
          <w:b/>
          <w:bCs/>
          <w:color w:val="auto"/>
          <w:sz w:val="28"/>
          <w:szCs w:val="28"/>
        </w:rPr>
      </w:pPr>
    </w:p>
    <w:p w:rsidR="006B7044" w:rsidRPr="00C70DFA" w:rsidRDefault="006B7044" w:rsidP="006B7044">
      <w:pPr>
        <w:jc w:val="center"/>
        <w:rPr>
          <w:rFonts w:ascii="Gilroy" w:hAnsi="Gilroy"/>
          <w:b/>
          <w:sz w:val="28"/>
          <w:szCs w:val="28"/>
        </w:rPr>
      </w:pPr>
      <w:r w:rsidRPr="00C70DFA">
        <w:rPr>
          <w:rFonts w:ascii="Gilroy" w:hAnsi="Gilroy"/>
          <w:b/>
          <w:sz w:val="28"/>
          <w:szCs w:val="28"/>
        </w:rPr>
        <w:t xml:space="preserve">Marché n° </w:t>
      </w:r>
      <w:r w:rsidR="00B955D0" w:rsidRPr="00B955D0">
        <w:rPr>
          <w:rFonts w:ascii="Gilroy" w:hAnsi="Gilroy"/>
          <w:b/>
          <w:sz w:val="32"/>
          <w:szCs w:val="22"/>
        </w:rPr>
        <w:t>2025960SERV002</w:t>
      </w:r>
    </w:p>
    <w:p w:rsidR="006B7044" w:rsidRPr="00CE655D" w:rsidRDefault="006B7044" w:rsidP="00CE655D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B7044" w:rsidRPr="00CE655D" w:rsidTr="00CE655D">
        <w:tc>
          <w:tcPr>
            <w:tcW w:w="13994" w:type="dxa"/>
            <w:gridSpan w:val="2"/>
            <w:shd w:val="clear" w:color="auto" w:fill="C5E0B3" w:themeFill="accent6" w:themeFillTint="66"/>
          </w:tcPr>
          <w:p w:rsidR="006B7044" w:rsidRPr="00FE3E7F" w:rsidRDefault="00FE3E7F" w:rsidP="00CE655D">
            <w:pPr>
              <w:jc w:val="center"/>
              <w:rPr>
                <w:rFonts w:ascii="Gilroy" w:hAnsi="Gilroy"/>
                <w:b/>
                <w:sz w:val="24"/>
                <w:szCs w:val="24"/>
              </w:rPr>
            </w:pPr>
            <w:r w:rsidRPr="00FE3E7F">
              <w:rPr>
                <w:rFonts w:ascii="Gilroy" w:hAnsi="Gilroy"/>
                <w:b/>
                <w:sz w:val="24"/>
                <w:szCs w:val="24"/>
              </w:rPr>
              <w:lastRenderedPageBreak/>
              <w:t>CRITERE N°2</w:t>
            </w:r>
            <w:r w:rsidRPr="00FE3E7F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Pr="00FE3E7F">
              <w:rPr>
                <w:rFonts w:ascii="Gilroy" w:hAnsi="Gilroy"/>
                <w:b/>
                <w:sz w:val="24"/>
                <w:szCs w:val="24"/>
              </w:rPr>
              <w:t>: TECHNIQUE</w:t>
            </w:r>
          </w:p>
        </w:tc>
      </w:tr>
      <w:tr w:rsidR="006B7044" w:rsidTr="00912887">
        <w:trPr>
          <w:trHeight w:val="964"/>
        </w:trPr>
        <w:tc>
          <w:tcPr>
            <w:tcW w:w="6997" w:type="dxa"/>
            <w:vAlign w:val="center"/>
          </w:tcPr>
          <w:p w:rsidR="006B7044" w:rsidRPr="00FE3E7F" w:rsidRDefault="00FE3E7F" w:rsidP="00CE655D">
            <w:pPr>
              <w:rPr>
                <w:rFonts w:ascii="Gilroy" w:hAnsi="Gilroy"/>
                <w:sz w:val="24"/>
                <w:szCs w:val="24"/>
              </w:rPr>
            </w:pPr>
            <w:r w:rsidRPr="00FE3E7F">
              <w:rPr>
                <w:rFonts w:ascii="Gilroy" w:hAnsi="Gilroy"/>
                <w:sz w:val="24"/>
                <w:szCs w:val="24"/>
              </w:rPr>
              <w:t>Délai d’intervention en cas d’urgence</w:t>
            </w:r>
          </w:p>
        </w:tc>
        <w:tc>
          <w:tcPr>
            <w:tcW w:w="6997" w:type="dxa"/>
          </w:tcPr>
          <w:p w:rsidR="006B7044" w:rsidRPr="00FE3E7F" w:rsidRDefault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6B7044" w:rsidTr="00912887">
        <w:trPr>
          <w:trHeight w:val="964"/>
        </w:trPr>
        <w:tc>
          <w:tcPr>
            <w:tcW w:w="6997" w:type="dxa"/>
            <w:vAlign w:val="center"/>
          </w:tcPr>
          <w:p w:rsidR="006B7044" w:rsidRPr="00FE3E7F" w:rsidRDefault="00FE3E7F" w:rsidP="00FE3E7F">
            <w:pPr>
              <w:pStyle w:val="Default"/>
              <w:jc w:val="both"/>
              <w:rPr>
                <w:rFonts w:ascii="Gilroy" w:hAnsi="Gilroy" w:cs="Calibri"/>
                <w:color w:val="000000" w:themeColor="text1"/>
              </w:rPr>
            </w:pPr>
            <w:r w:rsidRPr="00FE3E7F">
              <w:rPr>
                <w:rFonts w:ascii="Gilroy" w:hAnsi="Gilroy" w:cs="Calibri"/>
                <w:color w:val="000000" w:themeColor="text1"/>
              </w:rPr>
              <w:t>Fourniture rapide et Qualité des rapports d’intervention</w:t>
            </w:r>
          </w:p>
        </w:tc>
        <w:tc>
          <w:tcPr>
            <w:tcW w:w="6997" w:type="dxa"/>
          </w:tcPr>
          <w:p w:rsidR="006B7044" w:rsidRPr="00FE3E7F" w:rsidRDefault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EA7508" w:rsidTr="00912887">
        <w:trPr>
          <w:trHeight w:val="964"/>
        </w:trPr>
        <w:tc>
          <w:tcPr>
            <w:tcW w:w="6997" w:type="dxa"/>
            <w:vAlign w:val="center"/>
          </w:tcPr>
          <w:p w:rsidR="00EA7508" w:rsidRPr="00FE3E7F" w:rsidRDefault="00EA7508" w:rsidP="00EA7508">
            <w:pPr>
              <w:pStyle w:val="Default"/>
              <w:jc w:val="both"/>
              <w:rPr>
                <w:rFonts w:ascii="Gilroy" w:hAnsi="Gilroy" w:cs="Calibri"/>
                <w:color w:val="000000" w:themeColor="text1"/>
              </w:rPr>
            </w:pPr>
            <w:r w:rsidRPr="00EA7508">
              <w:rPr>
                <w:rFonts w:ascii="Gilroy" w:hAnsi="Gilroy" w:cs="Calibri"/>
                <w:color w:val="000000" w:themeColor="text1"/>
              </w:rPr>
              <w:t>Fourniture de la documentation demandée à l’article 20 du CCTP</w:t>
            </w:r>
          </w:p>
        </w:tc>
        <w:tc>
          <w:tcPr>
            <w:tcW w:w="6997" w:type="dxa"/>
          </w:tcPr>
          <w:p w:rsidR="00EA7508" w:rsidRPr="00FE3E7F" w:rsidRDefault="00EA7508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6B7044" w:rsidTr="00912887">
        <w:trPr>
          <w:trHeight w:val="964"/>
        </w:trPr>
        <w:tc>
          <w:tcPr>
            <w:tcW w:w="6997" w:type="dxa"/>
            <w:vAlign w:val="center"/>
          </w:tcPr>
          <w:p w:rsidR="006B7044" w:rsidRPr="00FE3E7F" w:rsidRDefault="00FE3E7F" w:rsidP="00FE3E7F">
            <w:pPr>
              <w:pStyle w:val="Default"/>
              <w:jc w:val="both"/>
              <w:rPr>
                <w:rFonts w:ascii="Gilroy" w:hAnsi="Gilroy" w:cs="Calibri"/>
                <w:color w:val="000000" w:themeColor="text1"/>
              </w:rPr>
            </w:pPr>
            <w:r w:rsidRPr="00FE3E7F">
              <w:rPr>
                <w:rFonts w:ascii="Gilroy" w:hAnsi="Gilroy" w:cs="Calibri"/>
                <w:color w:val="000000" w:themeColor="text1"/>
              </w:rPr>
              <w:t>Planning de maintenance</w:t>
            </w:r>
            <w:bookmarkStart w:id="0" w:name="_GoBack"/>
            <w:bookmarkEnd w:id="0"/>
          </w:p>
        </w:tc>
        <w:tc>
          <w:tcPr>
            <w:tcW w:w="6997" w:type="dxa"/>
          </w:tcPr>
          <w:p w:rsidR="006B7044" w:rsidRPr="00FE3E7F" w:rsidRDefault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6B7044" w:rsidTr="00912887">
        <w:trPr>
          <w:trHeight w:val="1134"/>
        </w:trPr>
        <w:tc>
          <w:tcPr>
            <w:tcW w:w="6997" w:type="dxa"/>
            <w:vAlign w:val="center"/>
          </w:tcPr>
          <w:p w:rsidR="006B7044" w:rsidRPr="00FE3E7F" w:rsidRDefault="00FE3E7F" w:rsidP="00FE3E7F">
            <w:pPr>
              <w:pStyle w:val="Default"/>
              <w:jc w:val="both"/>
              <w:rPr>
                <w:rFonts w:ascii="Gilroy" w:hAnsi="Gilroy" w:cs="Calibri"/>
                <w:color w:val="000000" w:themeColor="text1"/>
              </w:rPr>
            </w:pPr>
            <w:r w:rsidRPr="00FE3E7F">
              <w:rPr>
                <w:rFonts w:ascii="Gilroy" w:hAnsi="Gilroy" w:cs="Calibri"/>
                <w:color w:val="000000" w:themeColor="text1"/>
              </w:rPr>
              <w:t>Moyens matériels (Qualité du matériel, qualité des plateformes de communication, approvisionnement en fourniture de réserve)</w:t>
            </w:r>
          </w:p>
        </w:tc>
        <w:tc>
          <w:tcPr>
            <w:tcW w:w="6997" w:type="dxa"/>
          </w:tcPr>
          <w:p w:rsidR="006B7044" w:rsidRPr="00FE3E7F" w:rsidRDefault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FE3E7F" w:rsidTr="00912887">
        <w:trPr>
          <w:trHeight w:val="1134"/>
        </w:trPr>
        <w:tc>
          <w:tcPr>
            <w:tcW w:w="6997" w:type="dxa"/>
            <w:vAlign w:val="center"/>
          </w:tcPr>
          <w:p w:rsidR="00FE3E7F" w:rsidRPr="00FE3E7F" w:rsidRDefault="00FE3E7F" w:rsidP="00FE3E7F">
            <w:pPr>
              <w:pStyle w:val="Default"/>
              <w:jc w:val="both"/>
              <w:rPr>
                <w:rFonts w:ascii="Gilroy" w:hAnsi="Gilroy" w:cs="Calibri"/>
                <w:color w:val="FF0000"/>
              </w:rPr>
            </w:pPr>
            <w:r w:rsidRPr="00FE3E7F">
              <w:rPr>
                <w:rFonts w:ascii="Gilroy" w:hAnsi="Gilroy" w:cs="Calibri"/>
                <w:color w:val="000000" w:themeColor="text1"/>
              </w:rPr>
              <w:t>Moyens humains (Qualification du personnel, fidélisation des techniciens, Qualité du service client, capacité à avoir un interlocuteur dédié)</w:t>
            </w:r>
          </w:p>
        </w:tc>
        <w:tc>
          <w:tcPr>
            <w:tcW w:w="6997" w:type="dxa"/>
          </w:tcPr>
          <w:p w:rsidR="00FE3E7F" w:rsidRPr="00FE3E7F" w:rsidRDefault="00FE3E7F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FE3E7F" w:rsidTr="00912887">
        <w:trPr>
          <w:trHeight w:val="1134"/>
        </w:trPr>
        <w:tc>
          <w:tcPr>
            <w:tcW w:w="6997" w:type="dxa"/>
            <w:vAlign w:val="center"/>
          </w:tcPr>
          <w:p w:rsidR="00FE3E7F" w:rsidRPr="00FE3E7F" w:rsidRDefault="00FE3E7F" w:rsidP="00FE3E7F">
            <w:pPr>
              <w:pStyle w:val="Default"/>
              <w:jc w:val="both"/>
              <w:rPr>
                <w:rFonts w:ascii="Gilroy" w:hAnsi="Gilroy" w:cs="Calibri"/>
                <w:color w:val="000000" w:themeColor="text1"/>
              </w:rPr>
            </w:pPr>
            <w:r w:rsidRPr="00FE3E7F">
              <w:rPr>
                <w:rFonts w:ascii="Gilroy" w:hAnsi="Gilroy" w:cs="Calibri"/>
                <w:color w:val="auto"/>
              </w:rPr>
              <w:t>Diversité du catalogue matériel et capacité d’adaptation sur la programmation SSI de différentes marques</w:t>
            </w:r>
          </w:p>
        </w:tc>
        <w:tc>
          <w:tcPr>
            <w:tcW w:w="6997" w:type="dxa"/>
          </w:tcPr>
          <w:p w:rsidR="00FE3E7F" w:rsidRPr="00FE3E7F" w:rsidRDefault="00FE3E7F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6B7044" w:rsidTr="00CE655D">
        <w:tc>
          <w:tcPr>
            <w:tcW w:w="13994" w:type="dxa"/>
            <w:gridSpan w:val="2"/>
            <w:shd w:val="clear" w:color="auto" w:fill="C5E0B3" w:themeFill="accent6" w:themeFillTint="66"/>
          </w:tcPr>
          <w:p w:rsidR="006B7044" w:rsidRPr="004E59D0" w:rsidRDefault="006B7044" w:rsidP="00FE3E7F">
            <w:pPr>
              <w:jc w:val="center"/>
              <w:rPr>
                <w:rFonts w:ascii="Gilroy" w:hAnsi="Gilroy"/>
                <w:b/>
                <w:sz w:val="24"/>
                <w:szCs w:val="24"/>
              </w:rPr>
            </w:pPr>
            <w:r w:rsidRPr="004E59D0">
              <w:rPr>
                <w:rFonts w:ascii="Gilroy" w:hAnsi="Gilroy"/>
                <w:b/>
                <w:sz w:val="24"/>
                <w:szCs w:val="24"/>
              </w:rPr>
              <w:t>CRITERE N°</w:t>
            </w:r>
            <w:r w:rsidR="00FE3E7F" w:rsidRPr="004E59D0">
              <w:rPr>
                <w:rFonts w:ascii="Gilroy" w:hAnsi="Gilroy"/>
                <w:b/>
                <w:sz w:val="24"/>
                <w:szCs w:val="24"/>
              </w:rPr>
              <w:t>3</w:t>
            </w:r>
            <w:r w:rsidR="00FE3E7F" w:rsidRPr="004E59D0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="00FE3E7F" w:rsidRPr="004E59D0">
              <w:rPr>
                <w:rFonts w:ascii="Gilroy" w:hAnsi="Gilroy"/>
                <w:b/>
                <w:sz w:val="24"/>
                <w:szCs w:val="24"/>
              </w:rPr>
              <w:t xml:space="preserve">: </w:t>
            </w:r>
            <w:r w:rsidRPr="004E59D0">
              <w:rPr>
                <w:rFonts w:ascii="Gilroy" w:hAnsi="Gilroy"/>
                <w:b/>
                <w:sz w:val="24"/>
                <w:szCs w:val="24"/>
              </w:rPr>
              <w:t>DEVELOPPEMENT DURABLE</w:t>
            </w:r>
          </w:p>
        </w:tc>
      </w:tr>
      <w:tr w:rsidR="006B7044" w:rsidTr="00CE655D">
        <w:trPr>
          <w:trHeight w:val="964"/>
        </w:trPr>
        <w:tc>
          <w:tcPr>
            <w:tcW w:w="6997" w:type="dxa"/>
            <w:vAlign w:val="center"/>
          </w:tcPr>
          <w:p w:rsidR="006B7044" w:rsidRPr="004E59D0" w:rsidRDefault="00F368BE" w:rsidP="00F368BE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t>Optimisation et m</w:t>
            </w:r>
            <w:r w:rsidR="004E59D0" w:rsidRPr="004E59D0">
              <w:rPr>
                <w:rFonts w:ascii="Gilroy" w:hAnsi="Gilroy"/>
                <w:sz w:val="24"/>
                <w:szCs w:val="24"/>
              </w:rPr>
              <w:t>oyen de déplacement</w:t>
            </w:r>
          </w:p>
        </w:tc>
        <w:tc>
          <w:tcPr>
            <w:tcW w:w="6997" w:type="dxa"/>
          </w:tcPr>
          <w:p w:rsidR="006B7044" w:rsidRPr="004E59D0" w:rsidRDefault="006B7044" w:rsidP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6B7044" w:rsidTr="00CE655D">
        <w:trPr>
          <w:trHeight w:val="964"/>
        </w:trPr>
        <w:tc>
          <w:tcPr>
            <w:tcW w:w="6997" w:type="dxa"/>
            <w:vAlign w:val="center"/>
          </w:tcPr>
          <w:p w:rsidR="006B7044" w:rsidRPr="004E59D0" w:rsidRDefault="00F368BE" w:rsidP="00CE655D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lastRenderedPageBreak/>
              <w:t>D</w:t>
            </w:r>
            <w:r w:rsidR="004E59D0" w:rsidRPr="004E59D0">
              <w:rPr>
                <w:rFonts w:ascii="Gilroy" w:hAnsi="Gilroy"/>
                <w:sz w:val="24"/>
                <w:szCs w:val="24"/>
              </w:rPr>
              <w:t>émarche mise en place par l’entreprise</w:t>
            </w:r>
          </w:p>
        </w:tc>
        <w:tc>
          <w:tcPr>
            <w:tcW w:w="6997" w:type="dxa"/>
          </w:tcPr>
          <w:p w:rsidR="006B7044" w:rsidRPr="004E59D0" w:rsidRDefault="006B7044" w:rsidP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6B7044" w:rsidTr="00CE655D">
        <w:trPr>
          <w:trHeight w:val="964"/>
        </w:trPr>
        <w:tc>
          <w:tcPr>
            <w:tcW w:w="6997" w:type="dxa"/>
            <w:vAlign w:val="center"/>
          </w:tcPr>
          <w:p w:rsidR="006B7044" w:rsidRPr="004E59D0" w:rsidRDefault="004E59D0" w:rsidP="00F368BE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t>D</w:t>
            </w:r>
            <w:r w:rsidRPr="004E59D0">
              <w:rPr>
                <w:rFonts w:ascii="Gilroy" w:hAnsi="Gilroy"/>
                <w:sz w:val="24"/>
                <w:szCs w:val="24"/>
              </w:rPr>
              <w:t xml:space="preserve">émarche RSE </w:t>
            </w:r>
          </w:p>
        </w:tc>
        <w:tc>
          <w:tcPr>
            <w:tcW w:w="6997" w:type="dxa"/>
          </w:tcPr>
          <w:p w:rsidR="006B7044" w:rsidRPr="004E59D0" w:rsidRDefault="006B7044" w:rsidP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F368BE" w:rsidTr="00CE655D">
        <w:trPr>
          <w:trHeight w:val="964"/>
        </w:trPr>
        <w:tc>
          <w:tcPr>
            <w:tcW w:w="6997" w:type="dxa"/>
            <w:vAlign w:val="center"/>
          </w:tcPr>
          <w:p w:rsidR="00F368BE" w:rsidRDefault="00F368BE" w:rsidP="00CE655D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t>C</w:t>
            </w:r>
            <w:r w:rsidRPr="004E59D0">
              <w:rPr>
                <w:rFonts w:ascii="Gilroy" w:hAnsi="Gilroy"/>
                <w:sz w:val="24"/>
                <w:szCs w:val="24"/>
              </w:rPr>
              <w:t>onsommation énergétique</w:t>
            </w:r>
          </w:p>
        </w:tc>
        <w:tc>
          <w:tcPr>
            <w:tcW w:w="6997" w:type="dxa"/>
          </w:tcPr>
          <w:p w:rsidR="00F368BE" w:rsidRPr="004E59D0" w:rsidRDefault="00F368BE" w:rsidP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4E59D0" w:rsidTr="00CE655D">
        <w:trPr>
          <w:trHeight w:val="964"/>
        </w:trPr>
        <w:tc>
          <w:tcPr>
            <w:tcW w:w="6997" w:type="dxa"/>
            <w:vAlign w:val="center"/>
          </w:tcPr>
          <w:p w:rsidR="004E59D0" w:rsidRPr="004E59D0" w:rsidRDefault="004E59D0" w:rsidP="00CE655D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t>R</w:t>
            </w:r>
            <w:r w:rsidRPr="004E59D0">
              <w:rPr>
                <w:rFonts w:ascii="Gilroy" w:hAnsi="Gilroy"/>
                <w:sz w:val="24"/>
                <w:szCs w:val="24"/>
              </w:rPr>
              <w:t>ecyclage et conformités aux normes environnementales</w:t>
            </w:r>
          </w:p>
        </w:tc>
        <w:tc>
          <w:tcPr>
            <w:tcW w:w="6997" w:type="dxa"/>
          </w:tcPr>
          <w:p w:rsidR="004E59D0" w:rsidRPr="004E59D0" w:rsidRDefault="004E59D0" w:rsidP="006B7044">
            <w:pPr>
              <w:rPr>
                <w:rFonts w:ascii="Gilroy" w:hAnsi="Gilroy"/>
                <w:sz w:val="24"/>
                <w:szCs w:val="24"/>
              </w:rPr>
            </w:pPr>
          </w:p>
        </w:tc>
      </w:tr>
    </w:tbl>
    <w:p w:rsidR="006B7044" w:rsidRPr="006B7044" w:rsidRDefault="006B7044">
      <w:pPr>
        <w:rPr>
          <w:sz w:val="24"/>
          <w:szCs w:val="24"/>
        </w:rPr>
      </w:pPr>
    </w:p>
    <w:sectPr w:rsidR="006B7044" w:rsidRPr="006B7044" w:rsidSect="00C70DFA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044" w:rsidRDefault="006B7044" w:rsidP="006B7044">
      <w:r>
        <w:separator/>
      </w:r>
    </w:p>
  </w:endnote>
  <w:endnote w:type="continuationSeparator" w:id="0">
    <w:p w:rsidR="006B7044" w:rsidRDefault="006B7044" w:rsidP="006B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roy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044" w:rsidRPr="00C70DFA" w:rsidRDefault="006B7044" w:rsidP="006B7044">
    <w:pPr>
      <w:pStyle w:val="Pieddepage"/>
      <w:tabs>
        <w:tab w:val="clear" w:pos="9072"/>
      </w:tabs>
      <w:ind w:left="-993" w:right="-1134"/>
      <w:jc w:val="center"/>
      <w:rPr>
        <w:rFonts w:ascii="Gilroy" w:hAnsi="Gilroy"/>
        <w:sz w:val="16"/>
        <w:szCs w:val="16"/>
      </w:rPr>
    </w:pPr>
    <w:r w:rsidRPr="00C70DFA">
      <w:rPr>
        <w:rStyle w:val="Numrodepage"/>
        <w:rFonts w:ascii="Gilroy" w:hAnsi="Gilroy"/>
        <w:sz w:val="16"/>
        <w:szCs w:val="16"/>
      </w:rPr>
      <w:t xml:space="preserve">Cadre mémoire technique - Marché public </w:t>
    </w:r>
    <w:r w:rsidR="00C70DFA" w:rsidRPr="00C70DFA">
      <w:rPr>
        <w:rStyle w:val="Numrodepage"/>
        <w:rFonts w:ascii="Gilroy" w:hAnsi="Gilroy"/>
        <w:sz w:val="16"/>
        <w:szCs w:val="16"/>
      </w:rPr>
      <w:t>de maintenance des système de s</w:t>
    </w:r>
    <w:r w:rsidR="00C70DFA">
      <w:rPr>
        <w:rStyle w:val="Numrodepage"/>
        <w:rFonts w:ascii="Gilroy" w:hAnsi="Gilroy"/>
        <w:sz w:val="16"/>
        <w:szCs w:val="16"/>
      </w:rPr>
      <w:t>écurité</w:t>
    </w:r>
    <w:r w:rsidR="00C70DFA" w:rsidRPr="00C70DFA">
      <w:rPr>
        <w:rStyle w:val="Numrodepage"/>
        <w:rFonts w:ascii="Gilroy" w:hAnsi="Gilroy"/>
        <w:sz w:val="16"/>
        <w:szCs w:val="16"/>
      </w:rPr>
      <w:t xml:space="preserve"> incendie, moyens de secours et bloc autonomes d’éclairage de sécurité – LOT 1</w:t>
    </w:r>
    <w:r w:rsidR="00C70DFA" w:rsidRPr="00C70DFA">
      <w:rPr>
        <w:rStyle w:val="Numrodepage"/>
        <w:rFonts w:ascii="Calibri" w:hAnsi="Calibri" w:cs="Calibri"/>
        <w:sz w:val="16"/>
        <w:szCs w:val="16"/>
      </w:rPr>
      <w:t> </w:t>
    </w:r>
    <w:r w:rsidR="00C70DFA" w:rsidRPr="00C70DFA">
      <w:rPr>
        <w:rStyle w:val="Numrodepage"/>
        <w:rFonts w:ascii="Gilroy" w:hAnsi="Gilroy"/>
        <w:sz w:val="16"/>
        <w:szCs w:val="16"/>
      </w:rPr>
      <w:t xml:space="preserve">: SSI   </w:t>
    </w:r>
    <w:r w:rsidRPr="00C70DFA">
      <w:rPr>
        <w:rStyle w:val="Numrodepage"/>
        <w:rFonts w:ascii="Gilroy" w:hAnsi="Gilroy"/>
        <w:sz w:val="16"/>
        <w:szCs w:val="16"/>
      </w:rPr>
      <w:t xml:space="preserve">      </w:t>
    </w:r>
    <w:r w:rsidRPr="00C70DFA">
      <w:rPr>
        <w:rStyle w:val="Numrodepage"/>
        <w:rFonts w:ascii="Gilroy" w:hAnsi="Gilroy"/>
        <w:snapToGrid w:val="0"/>
        <w:sz w:val="16"/>
        <w:szCs w:val="16"/>
      </w:rPr>
      <w:t xml:space="preserve">Page </w:t>
    </w:r>
    <w:r w:rsidRPr="00C70DFA">
      <w:rPr>
        <w:rStyle w:val="Numrodepage"/>
        <w:rFonts w:ascii="Gilroy" w:hAnsi="Gilroy"/>
        <w:snapToGrid w:val="0"/>
        <w:sz w:val="16"/>
        <w:szCs w:val="16"/>
      </w:rPr>
      <w:fldChar w:fldCharType="begin"/>
    </w:r>
    <w:r w:rsidRPr="00C70DFA">
      <w:rPr>
        <w:rStyle w:val="Numrodepage"/>
        <w:rFonts w:ascii="Gilroy" w:hAnsi="Gilroy"/>
        <w:snapToGrid w:val="0"/>
        <w:sz w:val="16"/>
        <w:szCs w:val="16"/>
      </w:rPr>
      <w:instrText xml:space="preserve"> PAGE </w:instrText>
    </w:r>
    <w:r w:rsidRPr="00C70DFA">
      <w:rPr>
        <w:rStyle w:val="Numrodepage"/>
        <w:rFonts w:ascii="Gilroy" w:hAnsi="Gilroy"/>
        <w:snapToGrid w:val="0"/>
        <w:sz w:val="16"/>
        <w:szCs w:val="16"/>
      </w:rPr>
      <w:fldChar w:fldCharType="separate"/>
    </w:r>
    <w:r w:rsidR="00EA7508">
      <w:rPr>
        <w:rStyle w:val="Numrodepage"/>
        <w:rFonts w:ascii="Gilroy" w:hAnsi="Gilroy"/>
        <w:noProof/>
        <w:snapToGrid w:val="0"/>
        <w:sz w:val="16"/>
        <w:szCs w:val="16"/>
      </w:rPr>
      <w:t>3</w:t>
    </w:r>
    <w:r w:rsidRPr="00C70DFA">
      <w:rPr>
        <w:rStyle w:val="Numrodepage"/>
        <w:rFonts w:ascii="Gilroy" w:hAnsi="Gilroy"/>
        <w:snapToGrid w:val="0"/>
        <w:sz w:val="16"/>
        <w:szCs w:val="16"/>
      </w:rPr>
      <w:fldChar w:fldCharType="end"/>
    </w:r>
    <w:r w:rsidRPr="00C70DFA">
      <w:rPr>
        <w:rStyle w:val="Numrodepage"/>
        <w:rFonts w:ascii="Gilroy" w:hAnsi="Gilroy"/>
        <w:snapToGrid w:val="0"/>
        <w:sz w:val="16"/>
        <w:szCs w:val="16"/>
      </w:rPr>
      <w:t xml:space="preserve"> sur </w:t>
    </w:r>
    <w:r w:rsidRPr="00C70DFA">
      <w:rPr>
        <w:rStyle w:val="Numrodepage"/>
        <w:rFonts w:ascii="Gilroy" w:hAnsi="Gilroy"/>
        <w:snapToGrid w:val="0"/>
        <w:sz w:val="16"/>
        <w:szCs w:val="16"/>
      </w:rPr>
      <w:fldChar w:fldCharType="begin"/>
    </w:r>
    <w:r w:rsidRPr="00C70DFA">
      <w:rPr>
        <w:rStyle w:val="Numrodepage"/>
        <w:rFonts w:ascii="Gilroy" w:hAnsi="Gilroy"/>
        <w:snapToGrid w:val="0"/>
        <w:sz w:val="16"/>
        <w:szCs w:val="16"/>
      </w:rPr>
      <w:instrText xml:space="preserve"> NUMPAGES </w:instrText>
    </w:r>
    <w:r w:rsidRPr="00C70DFA">
      <w:rPr>
        <w:rStyle w:val="Numrodepage"/>
        <w:rFonts w:ascii="Gilroy" w:hAnsi="Gilroy"/>
        <w:snapToGrid w:val="0"/>
        <w:sz w:val="16"/>
        <w:szCs w:val="16"/>
      </w:rPr>
      <w:fldChar w:fldCharType="separate"/>
    </w:r>
    <w:r w:rsidR="00EA7508">
      <w:rPr>
        <w:rStyle w:val="Numrodepage"/>
        <w:rFonts w:ascii="Gilroy" w:hAnsi="Gilroy"/>
        <w:noProof/>
        <w:snapToGrid w:val="0"/>
        <w:sz w:val="16"/>
        <w:szCs w:val="16"/>
      </w:rPr>
      <w:t>3</w:t>
    </w:r>
    <w:r w:rsidRPr="00C70DFA">
      <w:rPr>
        <w:rStyle w:val="Numrodepage"/>
        <w:rFonts w:ascii="Gilroy" w:hAnsi="Gilroy"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044" w:rsidRDefault="006B7044" w:rsidP="006B7044">
      <w:r>
        <w:separator/>
      </w:r>
    </w:p>
  </w:footnote>
  <w:footnote w:type="continuationSeparator" w:id="0">
    <w:p w:rsidR="006B7044" w:rsidRDefault="006B7044" w:rsidP="006B7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F0695"/>
    <w:multiLevelType w:val="hybridMultilevel"/>
    <w:tmpl w:val="E4AA0BFC"/>
    <w:lvl w:ilvl="0" w:tplc="4E84A05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44"/>
    <w:rsid w:val="004E59D0"/>
    <w:rsid w:val="006B7044"/>
    <w:rsid w:val="00861C6B"/>
    <w:rsid w:val="00912887"/>
    <w:rsid w:val="00B05997"/>
    <w:rsid w:val="00B955D0"/>
    <w:rsid w:val="00C70DFA"/>
    <w:rsid w:val="00CE655D"/>
    <w:rsid w:val="00D52A68"/>
    <w:rsid w:val="00EA7508"/>
    <w:rsid w:val="00F368BE"/>
    <w:rsid w:val="00FE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ABFF"/>
  <w15:chartTrackingRefBased/>
  <w15:docId w15:val="{86795320-757F-4CA2-AE8C-A55C5096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dressePageDeGarde">
    <w:name w:val="AdressePageDeGarde"/>
    <w:basedOn w:val="Normal"/>
    <w:rsid w:val="006B7044"/>
    <w:pPr>
      <w:jc w:val="center"/>
    </w:pPr>
    <w:rPr>
      <w:b/>
      <w:sz w:val="22"/>
    </w:rPr>
  </w:style>
  <w:style w:type="table" w:styleId="Grilledutableau">
    <w:name w:val="Table Grid"/>
    <w:basedOn w:val="TableauNormal"/>
    <w:uiPriority w:val="39"/>
    <w:rsid w:val="006B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7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704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704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6B704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704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6B7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Observatoire de Paris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Ambre Puiseux</dc:creator>
  <cp:keywords/>
  <dc:description/>
  <cp:lastModifiedBy>Ambre Puiseux</cp:lastModifiedBy>
  <cp:revision>10</cp:revision>
  <dcterms:created xsi:type="dcterms:W3CDTF">2024-05-13T13:06:00Z</dcterms:created>
  <dcterms:modified xsi:type="dcterms:W3CDTF">2025-03-07T10:19:00Z</dcterms:modified>
</cp:coreProperties>
</file>