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57349" w14:textId="6D875617" w:rsidR="0036503B" w:rsidRDefault="00802FB5" w:rsidP="0036503B">
      <w:pPr>
        <w:pStyle w:val="Titre2"/>
        <w:numPr>
          <w:ilvl w:val="0"/>
          <w:numId w:val="0"/>
        </w:numPr>
        <w:jc w:val="center"/>
        <w:rPr>
          <w:sz w:val="24"/>
        </w:rPr>
      </w:pPr>
      <w:r>
        <w:rPr>
          <w:sz w:val="24"/>
        </w:rPr>
        <w:t xml:space="preserve">Annexe </w:t>
      </w:r>
      <w:r w:rsidR="00A847DE">
        <w:rPr>
          <w:sz w:val="24"/>
        </w:rPr>
        <w:t>3</w:t>
      </w:r>
      <w:r w:rsidR="0036503B">
        <w:rPr>
          <w:sz w:val="24"/>
        </w:rPr>
        <w:t xml:space="preserve"> « Protocole de </w:t>
      </w:r>
      <w:r w:rsidR="00127994">
        <w:rPr>
          <w:sz w:val="24"/>
        </w:rPr>
        <w:t>télémaintenance »</w:t>
      </w:r>
    </w:p>
    <w:p w14:paraId="1284721E" w14:textId="77777777" w:rsidR="0036503B" w:rsidRDefault="0036503B" w:rsidP="0036503B">
      <w:pPr>
        <w:pStyle w:val="Style1"/>
        <w:jc w:val="both"/>
        <w:rPr>
          <w:sz w:val="18"/>
          <w:szCs w:val="18"/>
        </w:rPr>
      </w:pPr>
    </w:p>
    <w:p w14:paraId="7E1A9E05" w14:textId="77777777" w:rsidR="0036503B" w:rsidRPr="002019FD" w:rsidRDefault="0036503B" w:rsidP="0036503B">
      <w:pPr>
        <w:pStyle w:val="Style1"/>
        <w:jc w:val="both"/>
        <w:rPr>
          <w:sz w:val="18"/>
          <w:szCs w:val="18"/>
        </w:rPr>
      </w:pPr>
      <w:r w:rsidRPr="002019FD">
        <w:rPr>
          <w:sz w:val="18"/>
          <w:szCs w:val="18"/>
        </w:rPr>
        <w:t>La présente Annexe a pour objet préciser les conditions de mise en œuvre d’un accès à distance ouvert au PRESTATAIRE pour procéder au diagnostic des Matériels dans le cadre des opérations de Maintenance Curative, conformément aux</w:t>
      </w:r>
      <w:r w:rsidR="00041EF7">
        <w:rPr>
          <w:sz w:val="18"/>
          <w:szCs w:val="18"/>
        </w:rPr>
        <w:t xml:space="preserve"> dispositions de l’article 6.2.2</w:t>
      </w:r>
      <w:r w:rsidRPr="002019FD">
        <w:rPr>
          <w:sz w:val="18"/>
          <w:szCs w:val="18"/>
        </w:rPr>
        <w:t xml:space="preserve"> du Contrat.</w:t>
      </w:r>
    </w:p>
    <w:p w14:paraId="5E2D1DB3" w14:textId="77777777" w:rsidR="0036503B" w:rsidRPr="002019FD" w:rsidRDefault="0036503B" w:rsidP="0036503B">
      <w:pPr>
        <w:pStyle w:val="Style1"/>
        <w:jc w:val="both"/>
        <w:outlineLvl w:val="0"/>
        <w:rPr>
          <w:sz w:val="18"/>
          <w:szCs w:val="18"/>
        </w:rPr>
      </w:pPr>
    </w:p>
    <w:p w14:paraId="03D94DD9" w14:textId="77777777" w:rsidR="0036503B" w:rsidRPr="002019FD" w:rsidRDefault="0036503B" w:rsidP="0036503B">
      <w:pPr>
        <w:pStyle w:val="Style1"/>
        <w:jc w:val="both"/>
        <w:outlineLvl w:val="0"/>
        <w:rPr>
          <w:sz w:val="18"/>
          <w:szCs w:val="18"/>
        </w:rPr>
      </w:pPr>
    </w:p>
    <w:p w14:paraId="428C2DF0" w14:textId="77777777" w:rsidR="0036503B" w:rsidRPr="002019FD" w:rsidRDefault="0036503B" w:rsidP="0036503B">
      <w:pPr>
        <w:pStyle w:val="Style1"/>
        <w:jc w:val="both"/>
        <w:outlineLvl w:val="0"/>
        <w:rPr>
          <w:b/>
          <w:sz w:val="18"/>
          <w:szCs w:val="18"/>
        </w:rPr>
      </w:pPr>
      <w:bookmarkStart w:id="0" w:name="_Toc532993639"/>
      <w:r w:rsidRPr="002019FD">
        <w:rPr>
          <w:b/>
          <w:sz w:val="18"/>
          <w:szCs w:val="18"/>
        </w:rPr>
        <w:t>1 – Conditions de l’accès à distance</w:t>
      </w:r>
      <w:bookmarkEnd w:id="0"/>
      <w:r w:rsidRPr="002019FD">
        <w:rPr>
          <w:b/>
          <w:sz w:val="18"/>
          <w:szCs w:val="18"/>
        </w:rPr>
        <w:t xml:space="preserve"> </w:t>
      </w:r>
    </w:p>
    <w:p w14:paraId="16CB1B32" w14:textId="77777777" w:rsidR="0036503B" w:rsidRPr="002019FD" w:rsidRDefault="0036503B" w:rsidP="0036503B">
      <w:pPr>
        <w:pStyle w:val="Style1"/>
        <w:jc w:val="both"/>
        <w:outlineLvl w:val="0"/>
        <w:rPr>
          <w:b/>
          <w:sz w:val="18"/>
          <w:szCs w:val="18"/>
        </w:rPr>
      </w:pPr>
    </w:p>
    <w:p w14:paraId="08DEF9D3" w14:textId="77777777" w:rsidR="0036503B" w:rsidRPr="002019FD" w:rsidRDefault="0036503B" w:rsidP="0036503B">
      <w:pPr>
        <w:pStyle w:val="Style1"/>
        <w:jc w:val="both"/>
        <w:rPr>
          <w:sz w:val="18"/>
          <w:szCs w:val="18"/>
          <w:u w:val="single"/>
        </w:rPr>
      </w:pPr>
      <w:r w:rsidRPr="002019FD">
        <w:rPr>
          <w:sz w:val="18"/>
          <w:szCs w:val="18"/>
          <w:u w:val="single"/>
        </w:rPr>
        <w:t>1.1 Conditions d’ouverture de l’accès à distance</w:t>
      </w:r>
    </w:p>
    <w:p w14:paraId="6D22D104" w14:textId="77777777" w:rsidR="0036503B" w:rsidRPr="002019FD" w:rsidRDefault="0036503B" w:rsidP="0036503B">
      <w:pPr>
        <w:pStyle w:val="Style1"/>
        <w:jc w:val="both"/>
        <w:rPr>
          <w:sz w:val="18"/>
          <w:szCs w:val="18"/>
        </w:rPr>
      </w:pPr>
    </w:p>
    <w:p w14:paraId="6BB97D96" w14:textId="77777777" w:rsidR="0036503B" w:rsidRPr="002019FD" w:rsidRDefault="0036503B" w:rsidP="0036503B">
      <w:pPr>
        <w:pStyle w:val="Style1"/>
        <w:jc w:val="both"/>
        <w:rPr>
          <w:sz w:val="18"/>
          <w:szCs w:val="18"/>
        </w:rPr>
      </w:pPr>
      <w:r w:rsidRPr="002019FD">
        <w:rPr>
          <w:sz w:val="18"/>
          <w:szCs w:val="18"/>
        </w:rPr>
        <w:t xml:space="preserve">IFPEN </w:t>
      </w:r>
      <w:r w:rsidRPr="00CD1679">
        <w:rPr>
          <w:sz w:val="18"/>
          <w:szCs w:val="18"/>
        </w:rPr>
        <w:t>pourra</w:t>
      </w:r>
      <w:r w:rsidRPr="002019FD">
        <w:rPr>
          <w:sz w:val="18"/>
          <w:szCs w:val="18"/>
        </w:rPr>
        <w:t xml:space="preserve"> ouvrir au PRESTATAIRE un accès à distance aux Matériels afin de procéder au diagnostic de ceux-ci par télémaintenance et déterminer l’origine du problème.</w:t>
      </w:r>
    </w:p>
    <w:p w14:paraId="4613DC80" w14:textId="77777777" w:rsidR="0036503B" w:rsidRPr="002019FD" w:rsidRDefault="0036503B" w:rsidP="0036503B">
      <w:pPr>
        <w:pStyle w:val="Style1"/>
        <w:jc w:val="both"/>
        <w:rPr>
          <w:sz w:val="18"/>
          <w:szCs w:val="18"/>
        </w:rPr>
      </w:pPr>
    </w:p>
    <w:p w14:paraId="02FF01D5" w14:textId="77777777" w:rsidR="0036503B" w:rsidRPr="002019FD" w:rsidRDefault="0036503B" w:rsidP="0036503B">
      <w:pPr>
        <w:pStyle w:val="Style1"/>
        <w:jc w:val="both"/>
        <w:rPr>
          <w:sz w:val="18"/>
          <w:szCs w:val="18"/>
        </w:rPr>
      </w:pPr>
    </w:p>
    <w:p w14:paraId="0BF5E801" w14:textId="77777777" w:rsidR="0036503B" w:rsidRPr="002019FD" w:rsidRDefault="0036503B" w:rsidP="0036503B">
      <w:pPr>
        <w:pStyle w:val="Style1"/>
        <w:jc w:val="both"/>
        <w:rPr>
          <w:sz w:val="18"/>
          <w:szCs w:val="18"/>
          <w:u w:val="single"/>
        </w:rPr>
      </w:pPr>
      <w:r w:rsidRPr="002019FD">
        <w:rPr>
          <w:sz w:val="18"/>
          <w:szCs w:val="18"/>
          <w:u w:val="single"/>
        </w:rPr>
        <w:t>1.2 Conditions techniques de l’accès à distance</w:t>
      </w:r>
    </w:p>
    <w:p w14:paraId="73D21480" w14:textId="77777777" w:rsidR="0036503B" w:rsidRPr="002019FD" w:rsidRDefault="0036503B" w:rsidP="0036503B">
      <w:pPr>
        <w:pStyle w:val="Style1"/>
        <w:jc w:val="both"/>
        <w:rPr>
          <w:sz w:val="18"/>
          <w:szCs w:val="18"/>
        </w:rPr>
      </w:pPr>
    </w:p>
    <w:p w14:paraId="5D6974CA" w14:textId="77777777" w:rsidR="0036503B" w:rsidRPr="002019FD" w:rsidRDefault="0036503B" w:rsidP="0036503B">
      <w:pPr>
        <w:pStyle w:val="Style1"/>
        <w:jc w:val="both"/>
        <w:rPr>
          <w:sz w:val="18"/>
          <w:szCs w:val="18"/>
        </w:rPr>
      </w:pPr>
      <w:r w:rsidRPr="002019FD">
        <w:rPr>
          <w:sz w:val="18"/>
          <w:szCs w:val="18"/>
        </w:rPr>
        <w:t>L’accès à distance aux Matériels sera ouvert au PRESTATAIRE par IFPEN pour chaque opération de maintenance nécessitant une télémaintenance pour la phase de diagnostic.</w:t>
      </w:r>
    </w:p>
    <w:p w14:paraId="31B25581" w14:textId="77777777" w:rsidR="0036503B" w:rsidRPr="002019FD" w:rsidRDefault="0036503B" w:rsidP="0036503B">
      <w:pPr>
        <w:pStyle w:val="Style1"/>
        <w:jc w:val="both"/>
        <w:rPr>
          <w:sz w:val="18"/>
          <w:szCs w:val="18"/>
        </w:rPr>
      </w:pPr>
      <w:r w:rsidRPr="002019FD">
        <w:rPr>
          <w:sz w:val="18"/>
          <w:szCs w:val="18"/>
        </w:rPr>
        <w:t xml:space="preserve">IFPEN communiquera au PRESTATAIRE un login et mot de passe pour se connecter au portail d’accès à distance IFPEN. Chaque login sera nominatif et ne devra être utilisé que par la personne identifiée du PRESTATAIRE devant intervenir pour le diagnostic des Matériels concernés. </w:t>
      </w:r>
    </w:p>
    <w:p w14:paraId="218713D3" w14:textId="77777777" w:rsidR="0036503B" w:rsidRPr="002019FD" w:rsidRDefault="0036503B" w:rsidP="0036503B">
      <w:pPr>
        <w:pStyle w:val="Style1"/>
        <w:jc w:val="both"/>
        <w:rPr>
          <w:sz w:val="18"/>
          <w:szCs w:val="18"/>
        </w:rPr>
      </w:pPr>
      <w:r w:rsidRPr="002019FD">
        <w:rPr>
          <w:sz w:val="18"/>
          <w:szCs w:val="18"/>
        </w:rPr>
        <w:t>Le PRESTATAIRE communiquera à IFPEN la liste des personnes qui seront amenées se connecter au portail d’accès à distance ainsi que les identifiants de connexion (adresses IP des ordinateurs qui pourront se connecter au portail d’accès à distance). Cette liste pourra être mise à jour par le PRESTATAIRE à sa demande écrite.</w:t>
      </w:r>
    </w:p>
    <w:p w14:paraId="561056F3" w14:textId="77777777" w:rsidR="0036503B" w:rsidRPr="002019FD" w:rsidRDefault="0036503B" w:rsidP="0036503B">
      <w:pPr>
        <w:pStyle w:val="Style1"/>
        <w:jc w:val="both"/>
        <w:rPr>
          <w:sz w:val="18"/>
          <w:szCs w:val="18"/>
        </w:rPr>
      </w:pPr>
    </w:p>
    <w:p w14:paraId="4BE48530" w14:textId="0E5E7C17" w:rsidR="0036503B" w:rsidRPr="002019FD" w:rsidRDefault="0036503B" w:rsidP="0036503B">
      <w:pPr>
        <w:pStyle w:val="Style1"/>
        <w:jc w:val="both"/>
        <w:rPr>
          <w:sz w:val="18"/>
          <w:szCs w:val="18"/>
        </w:rPr>
      </w:pPr>
      <w:r w:rsidRPr="002019FD">
        <w:rPr>
          <w:sz w:val="18"/>
          <w:szCs w:val="18"/>
        </w:rPr>
        <w:t xml:space="preserve">L’accès sera refermé après chaque intervention du PRESTATAIRE. Il est entendu que la durée d’ouverture de l’accès à distance ne pourra pas excéder </w:t>
      </w:r>
      <w:r w:rsidR="0083733B" w:rsidRPr="0083733B">
        <w:rPr>
          <w:sz w:val="18"/>
          <w:szCs w:val="18"/>
          <w:highlight w:val="yellow"/>
        </w:rPr>
        <w:t>XXXX</w:t>
      </w:r>
      <w:r w:rsidRPr="0083733B">
        <w:rPr>
          <w:sz w:val="18"/>
          <w:szCs w:val="18"/>
          <w:highlight w:val="yellow"/>
        </w:rPr>
        <w:t xml:space="preserve"> (</w:t>
      </w:r>
      <w:r w:rsidR="0083733B" w:rsidRPr="0083733B">
        <w:rPr>
          <w:sz w:val="18"/>
          <w:szCs w:val="18"/>
          <w:highlight w:val="yellow"/>
        </w:rPr>
        <w:t>XX</w:t>
      </w:r>
      <w:r w:rsidR="00793936">
        <w:rPr>
          <w:sz w:val="18"/>
          <w:szCs w:val="18"/>
          <w:highlight w:val="yellow"/>
        </w:rPr>
        <w:t>)</w:t>
      </w:r>
      <w:r w:rsidRPr="0083733B">
        <w:rPr>
          <w:sz w:val="18"/>
          <w:szCs w:val="18"/>
          <w:highlight w:val="yellow"/>
        </w:rPr>
        <w:t xml:space="preserve"> jours ouvrés</w:t>
      </w:r>
      <w:r w:rsidRPr="002019FD">
        <w:rPr>
          <w:sz w:val="18"/>
          <w:szCs w:val="18"/>
        </w:rPr>
        <w:t>, pour chaque opération de maintenance.</w:t>
      </w:r>
    </w:p>
    <w:p w14:paraId="18D66545" w14:textId="77777777" w:rsidR="0036503B" w:rsidRPr="002019FD" w:rsidRDefault="0036503B" w:rsidP="0036503B">
      <w:pPr>
        <w:pStyle w:val="Style1"/>
        <w:jc w:val="both"/>
        <w:rPr>
          <w:sz w:val="18"/>
          <w:szCs w:val="18"/>
        </w:rPr>
      </w:pPr>
    </w:p>
    <w:p w14:paraId="73F7D1F1" w14:textId="77777777" w:rsidR="0036503B" w:rsidRPr="002019FD" w:rsidRDefault="0036503B" w:rsidP="0036503B">
      <w:pPr>
        <w:pStyle w:val="Style1"/>
        <w:jc w:val="both"/>
        <w:rPr>
          <w:sz w:val="18"/>
          <w:szCs w:val="18"/>
          <w:u w:val="single"/>
        </w:rPr>
      </w:pPr>
      <w:r w:rsidRPr="002019FD">
        <w:rPr>
          <w:sz w:val="18"/>
          <w:szCs w:val="18"/>
          <w:u w:val="single"/>
        </w:rPr>
        <w:t>1.3 Engagements du PRESTATAIRE</w:t>
      </w:r>
    </w:p>
    <w:p w14:paraId="053E0E81" w14:textId="77777777" w:rsidR="0036503B" w:rsidRPr="002019FD" w:rsidRDefault="0036503B" w:rsidP="0036503B">
      <w:pPr>
        <w:pStyle w:val="Style1"/>
        <w:jc w:val="both"/>
        <w:rPr>
          <w:sz w:val="18"/>
          <w:szCs w:val="18"/>
        </w:rPr>
      </w:pPr>
    </w:p>
    <w:p w14:paraId="38BF1965" w14:textId="77777777" w:rsidR="0036503B" w:rsidRPr="002019FD" w:rsidRDefault="0036503B" w:rsidP="0036503B">
      <w:pPr>
        <w:pStyle w:val="Style1"/>
        <w:jc w:val="both"/>
        <w:rPr>
          <w:sz w:val="18"/>
          <w:szCs w:val="18"/>
        </w:rPr>
      </w:pPr>
      <w:r w:rsidRPr="002019FD">
        <w:rPr>
          <w:b/>
          <w:sz w:val="18"/>
          <w:szCs w:val="18"/>
        </w:rPr>
        <w:t>(i)</w:t>
      </w:r>
      <w:r w:rsidRPr="002019FD">
        <w:rPr>
          <w:sz w:val="18"/>
          <w:szCs w:val="18"/>
        </w:rPr>
        <w:t xml:space="preserve"> Le PRESTATAIRE s’engage à faire ses meilleurs efforts pour que la phase de diagnostic des Matériels réalisée par télémaintenance soit la plus courte possible afin de permettre un dépannage dans les meilleurs délais.</w:t>
      </w:r>
    </w:p>
    <w:p w14:paraId="163E09D1" w14:textId="77777777" w:rsidR="0036503B" w:rsidRPr="002019FD" w:rsidRDefault="0036503B" w:rsidP="0036503B">
      <w:pPr>
        <w:pStyle w:val="Style1"/>
        <w:jc w:val="both"/>
        <w:rPr>
          <w:sz w:val="18"/>
          <w:szCs w:val="18"/>
        </w:rPr>
      </w:pPr>
    </w:p>
    <w:p w14:paraId="650B4D66" w14:textId="77777777" w:rsidR="0036503B" w:rsidRPr="002019FD" w:rsidRDefault="0036503B" w:rsidP="0036503B">
      <w:pPr>
        <w:pStyle w:val="Style1"/>
        <w:jc w:val="both"/>
        <w:rPr>
          <w:sz w:val="18"/>
          <w:szCs w:val="18"/>
        </w:rPr>
      </w:pPr>
      <w:r w:rsidRPr="002019FD">
        <w:rPr>
          <w:b/>
          <w:sz w:val="18"/>
          <w:szCs w:val="18"/>
        </w:rPr>
        <w:t>(ii)</w:t>
      </w:r>
      <w:r w:rsidRPr="002019FD">
        <w:rPr>
          <w:sz w:val="18"/>
          <w:szCs w:val="18"/>
        </w:rPr>
        <w:t xml:space="preserve"> Les login et mot de passe communiqués par IFPEN au PRESTATAIRE pour permettre les opérations de télémaintenance devront être gardés confidentiels par les personnels concernés du PRESTATAIRE.</w:t>
      </w:r>
    </w:p>
    <w:p w14:paraId="7DA51DEA" w14:textId="77777777" w:rsidR="0036503B" w:rsidRPr="002019FD" w:rsidRDefault="0036503B" w:rsidP="0036503B">
      <w:pPr>
        <w:pStyle w:val="Style1"/>
        <w:jc w:val="both"/>
        <w:rPr>
          <w:sz w:val="18"/>
          <w:szCs w:val="18"/>
        </w:rPr>
      </w:pPr>
    </w:p>
    <w:p w14:paraId="42798E5F" w14:textId="77777777" w:rsidR="0036503B" w:rsidRPr="002019FD" w:rsidRDefault="0036503B" w:rsidP="0036503B">
      <w:pPr>
        <w:pStyle w:val="Style1"/>
        <w:jc w:val="both"/>
        <w:rPr>
          <w:sz w:val="18"/>
          <w:szCs w:val="18"/>
        </w:rPr>
      </w:pPr>
      <w:r w:rsidRPr="002019FD">
        <w:rPr>
          <w:b/>
          <w:sz w:val="18"/>
          <w:szCs w:val="18"/>
        </w:rPr>
        <w:t>(iii)</w:t>
      </w:r>
      <w:r w:rsidRPr="002019FD">
        <w:rPr>
          <w:sz w:val="18"/>
          <w:szCs w:val="18"/>
        </w:rPr>
        <w:t xml:space="preserve"> Les intervenants du PRESTATAIRE dans le cadre d’opérations de télémaintenance s’engagent à respecter les principes suivants :</w:t>
      </w:r>
    </w:p>
    <w:p w14:paraId="4C57AFCC" w14:textId="77777777" w:rsidR="0036503B" w:rsidRPr="002019FD" w:rsidRDefault="0036503B" w:rsidP="0036503B">
      <w:pPr>
        <w:pStyle w:val="Style1"/>
        <w:ind w:left="567"/>
        <w:jc w:val="both"/>
        <w:rPr>
          <w:sz w:val="18"/>
          <w:szCs w:val="18"/>
        </w:rPr>
      </w:pPr>
      <w:r w:rsidRPr="002019FD">
        <w:rPr>
          <w:sz w:val="18"/>
          <w:szCs w:val="18"/>
        </w:rPr>
        <w:t>- A ne se connecter au portail d’accès à distance qu’à partir de leur login propre (chaque login étant nominatif). Les logins et mots de passe associés devront être gardés confidentiels par les intervenants et ne devront pas être utilisés par d’autres personnels du PRESTATAIRE que ceux auxquels ils sont destinés ;</w:t>
      </w:r>
    </w:p>
    <w:p w14:paraId="5B00046B" w14:textId="77777777" w:rsidR="0036503B" w:rsidRPr="002019FD" w:rsidRDefault="0036503B" w:rsidP="0036503B">
      <w:pPr>
        <w:pStyle w:val="Style1"/>
        <w:ind w:left="567"/>
        <w:jc w:val="both"/>
        <w:rPr>
          <w:sz w:val="18"/>
          <w:szCs w:val="18"/>
        </w:rPr>
      </w:pPr>
      <w:r w:rsidRPr="002019FD">
        <w:rPr>
          <w:sz w:val="18"/>
          <w:szCs w:val="18"/>
        </w:rPr>
        <w:t>- A ne se connecter au portail d’accès à distance qu’à partir des ordinateurs dûment identifiés appartenant au PRESTATAIRE et uniquement dans les locaux du PRESTATAIRE (déclaration des adresses IP) ;</w:t>
      </w:r>
    </w:p>
    <w:p w14:paraId="2AB65883" w14:textId="77777777" w:rsidR="0036503B" w:rsidRPr="002019FD" w:rsidRDefault="0036503B" w:rsidP="0036503B">
      <w:pPr>
        <w:pStyle w:val="Style1"/>
        <w:ind w:left="567"/>
        <w:jc w:val="both"/>
        <w:rPr>
          <w:sz w:val="18"/>
          <w:szCs w:val="18"/>
        </w:rPr>
      </w:pPr>
      <w:r w:rsidRPr="002019FD">
        <w:rPr>
          <w:sz w:val="18"/>
          <w:szCs w:val="18"/>
        </w:rPr>
        <w:t>- A n’utiliser la connexion au portail d’accès à distance que dans le seul but de corriger les dysfonctionnements remontés par les équipes IFPEN dans le cadre de la Maintenance Curative des Matériels ;</w:t>
      </w:r>
    </w:p>
    <w:p w14:paraId="306E52B0" w14:textId="77777777" w:rsidR="0036503B" w:rsidRPr="002019FD" w:rsidRDefault="0036503B" w:rsidP="0036503B">
      <w:pPr>
        <w:pStyle w:val="Style1"/>
        <w:ind w:left="567"/>
        <w:jc w:val="both"/>
        <w:rPr>
          <w:sz w:val="18"/>
          <w:szCs w:val="18"/>
        </w:rPr>
      </w:pPr>
      <w:r w:rsidRPr="002019FD">
        <w:rPr>
          <w:sz w:val="18"/>
          <w:szCs w:val="18"/>
        </w:rPr>
        <w:t>- A ne pas accéder ou tenter d’accéder à des postes ou équipements IFPEN autres que ceux mis à disposition à partir du portail d’accès pour les opérations de maintenance des Matériels.</w:t>
      </w:r>
    </w:p>
    <w:p w14:paraId="1366ED27" w14:textId="77777777" w:rsidR="0036503B" w:rsidRPr="002019FD" w:rsidRDefault="0036503B" w:rsidP="0036503B">
      <w:pPr>
        <w:pStyle w:val="Style1"/>
        <w:jc w:val="both"/>
        <w:rPr>
          <w:sz w:val="18"/>
          <w:szCs w:val="18"/>
        </w:rPr>
      </w:pPr>
    </w:p>
    <w:p w14:paraId="6EA4A205" w14:textId="77777777" w:rsidR="0036503B" w:rsidRPr="002019FD" w:rsidRDefault="0036503B" w:rsidP="0036503B">
      <w:pPr>
        <w:pStyle w:val="Style1"/>
        <w:jc w:val="both"/>
        <w:rPr>
          <w:sz w:val="18"/>
          <w:szCs w:val="18"/>
        </w:rPr>
      </w:pPr>
      <w:r w:rsidRPr="002019FD">
        <w:rPr>
          <w:b/>
          <w:sz w:val="18"/>
          <w:szCs w:val="18"/>
        </w:rPr>
        <w:t>(iv)</w:t>
      </w:r>
      <w:r w:rsidRPr="002019FD">
        <w:rPr>
          <w:sz w:val="18"/>
          <w:szCs w:val="18"/>
        </w:rPr>
        <w:t xml:space="preserve"> Le PRESTATAIRE s’engage à garder confidentielles, dans les conditions de l’article 17 du Contrat, toutes les informations auxquelles il pourrait avoir accès dans le cadre des opérations de télémaintenance.</w:t>
      </w:r>
    </w:p>
    <w:p w14:paraId="3CE88424" w14:textId="77777777" w:rsidR="0036503B" w:rsidRPr="002019FD" w:rsidRDefault="0036503B" w:rsidP="0036503B">
      <w:pPr>
        <w:pStyle w:val="Style1"/>
        <w:jc w:val="both"/>
        <w:rPr>
          <w:sz w:val="18"/>
          <w:szCs w:val="18"/>
        </w:rPr>
      </w:pPr>
    </w:p>
    <w:p w14:paraId="3F222954" w14:textId="77777777" w:rsidR="0036503B" w:rsidRPr="002019FD" w:rsidRDefault="0036503B" w:rsidP="0036503B">
      <w:pPr>
        <w:pStyle w:val="Style1"/>
        <w:jc w:val="both"/>
        <w:rPr>
          <w:sz w:val="18"/>
          <w:szCs w:val="18"/>
        </w:rPr>
      </w:pPr>
      <w:r w:rsidRPr="00CF1DA1">
        <w:rPr>
          <w:b/>
          <w:sz w:val="18"/>
          <w:szCs w:val="18"/>
        </w:rPr>
        <w:t>(v)</w:t>
      </w:r>
      <w:r w:rsidRPr="00CF1DA1">
        <w:rPr>
          <w:sz w:val="18"/>
          <w:szCs w:val="18"/>
        </w:rPr>
        <w:t xml:space="preserve"> Le PRESTATAIRE s’engage à assurer la sécurité de sa connexion au portail d’accès à distance d’IFPEN.</w:t>
      </w:r>
    </w:p>
    <w:p w14:paraId="1C984399" w14:textId="77777777" w:rsidR="0036503B" w:rsidRPr="002019FD" w:rsidRDefault="0036503B" w:rsidP="0036503B">
      <w:pPr>
        <w:pStyle w:val="Style1"/>
        <w:jc w:val="both"/>
        <w:rPr>
          <w:sz w:val="18"/>
          <w:szCs w:val="18"/>
        </w:rPr>
      </w:pPr>
    </w:p>
    <w:p w14:paraId="18661462" w14:textId="77777777" w:rsidR="0036503B" w:rsidRPr="002019FD" w:rsidRDefault="0036503B" w:rsidP="0036503B">
      <w:pPr>
        <w:pStyle w:val="Style1"/>
        <w:jc w:val="both"/>
        <w:rPr>
          <w:sz w:val="18"/>
          <w:szCs w:val="18"/>
          <w:u w:val="single"/>
        </w:rPr>
      </w:pPr>
      <w:r w:rsidRPr="002019FD">
        <w:rPr>
          <w:sz w:val="18"/>
          <w:szCs w:val="18"/>
          <w:u w:val="single"/>
        </w:rPr>
        <w:t>1.4 Engagements d’IFPEN</w:t>
      </w:r>
    </w:p>
    <w:p w14:paraId="1F28B83D" w14:textId="77777777" w:rsidR="0036503B" w:rsidRPr="002019FD" w:rsidRDefault="0036503B" w:rsidP="0036503B">
      <w:pPr>
        <w:pStyle w:val="Style1"/>
        <w:jc w:val="both"/>
        <w:rPr>
          <w:sz w:val="18"/>
          <w:szCs w:val="18"/>
        </w:rPr>
      </w:pPr>
    </w:p>
    <w:p w14:paraId="7830BE52" w14:textId="77777777" w:rsidR="0036503B" w:rsidRPr="002019FD" w:rsidRDefault="0036503B" w:rsidP="0036503B">
      <w:pPr>
        <w:pStyle w:val="Style1"/>
        <w:jc w:val="both"/>
        <w:rPr>
          <w:sz w:val="18"/>
          <w:szCs w:val="18"/>
        </w:rPr>
      </w:pPr>
      <w:r w:rsidRPr="002019FD">
        <w:rPr>
          <w:sz w:val="18"/>
          <w:szCs w:val="18"/>
        </w:rPr>
        <w:t xml:space="preserve">Dès lors qu’IFPEN décide de mettre à disposition du PRESTATAIRE un accès à distance aux Matériels, IFPEN s’engage à faire ses meilleurs efforts pour assurer le bon fonctionnement du portail et de l’accès à distance aux Matériels fourni au PRESTATAIRE. </w:t>
      </w:r>
    </w:p>
    <w:p w14:paraId="0102388B" w14:textId="77777777" w:rsidR="0036503B" w:rsidRPr="002019FD" w:rsidRDefault="0036503B" w:rsidP="0036503B">
      <w:pPr>
        <w:pStyle w:val="Style1"/>
        <w:jc w:val="both"/>
        <w:rPr>
          <w:sz w:val="18"/>
          <w:szCs w:val="18"/>
        </w:rPr>
      </w:pPr>
      <w:r w:rsidRPr="002019FD">
        <w:rPr>
          <w:sz w:val="18"/>
          <w:szCs w:val="18"/>
        </w:rPr>
        <w:t>Il entendu que la responsabilité d’IFPEN ne saurait en aucun cas être engagée en cas de problème avec l’accès à distance fourni au PRESTATAIRE, notamment en cas de problème de connexion ou d’accès au portail, d’indisponibilité du portail ou de bug.</w:t>
      </w:r>
    </w:p>
    <w:p w14:paraId="4D3FDD93" w14:textId="77777777" w:rsidR="0036503B" w:rsidRPr="002019FD" w:rsidRDefault="0036503B" w:rsidP="0036503B">
      <w:pPr>
        <w:pStyle w:val="Style1"/>
        <w:jc w:val="both"/>
        <w:rPr>
          <w:sz w:val="18"/>
          <w:szCs w:val="18"/>
        </w:rPr>
      </w:pPr>
    </w:p>
    <w:p w14:paraId="26242945" w14:textId="77777777" w:rsidR="0036503B" w:rsidRPr="002019FD" w:rsidRDefault="0036503B" w:rsidP="0036503B">
      <w:pPr>
        <w:pStyle w:val="Style1"/>
        <w:jc w:val="both"/>
        <w:rPr>
          <w:sz w:val="18"/>
          <w:szCs w:val="18"/>
        </w:rPr>
      </w:pPr>
      <w:r w:rsidRPr="002019FD">
        <w:rPr>
          <w:sz w:val="18"/>
          <w:szCs w:val="18"/>
        </w:rPr>
        <w:t>En cas de problème relatif à l’accès à distance, le PRESTATAIRE en informera dans les meilleurs délais IFPEN qui pourra lui fournir une assistance technique. Le délai d’intervention (</w:t>
      </w:r>
      <w:proofErr w:type="spellStart"/>
      <w:r w:rsidRPr="002019FD">
        <w:rPr>
          <w:sz w:val="18"/>
          <w:szCs w:val="18"/>
        </w:rPr>
        <w:t>cf</w:t>
      </w:r>
      <w:proofErr w:type="spellEnd"/>
      <w:r w:rsidRPr="002019FD">
        <w:rPr>
          <w:sz w:val="18"/>
          <w:szCs w:val="18"/>
        </w:rPr>
        <w:t xml:space="preserve"> point 2 ci-dessous) pourra alors être prolongé d’un commun accord des Parties.</w:t>
      </w:r>
    </w:p>
    <w:p w14:paraId="54500B57" w14:textId="77777777" w:rsidR="0036503B" w:rsidRPr="002019FD" w:rsidRDefault="0036503B" w:rsidP="0036503B">
      <w:pPr>
        <w:pStyle w:val="Style1"/>
        <w:jc w:val="both"/>
        <w:outlineLvl w:val="0"/>
        <w:rPr>
          <w:b/>
          <w:sz w:val="18"/>
          <w:szCs w:val="18"/>
        </w:rPr>
      </w:pPr>
    </w:p>
    <w:p w14:paraId="1DCFE931" w14:textId="77777777" w:rsidR="0036503B" w:rsidRPr="002019FD" w:rsidRDefault="0036503B" w:rsidP="0036503B">
      <w:pPr>
        <w:pStyle w:val="Style1"/>
        <w:jc w:val="both"/>
        <w:outlineLvl w:val="0"/>
        <w:rPr>
          <w:b/>
          <w:sz w:val="18"/>
          <w:szCs w:val="18"/>
        </w:rPr>
      </w:pPr>
    </w:p>
    <w:p w14:paraId="4C31B572" w14:textId="77777777" w:rsidR="0036503B" w:rsidRPr="002019FD" w:rsidRDefault="0036503B" w:rsidP="0036503B">
      <w:pPr>
        <w:pStyle w:val="Style1"/>
        <w:jc w:val="both"/>
        <w:outlineLvl w:val="0"/>
        <w:rPr>
          <w:b/>
          <w:sz w:val="18"/>
          <w:szCs w:val="18"/>
        </w:rPr>
      </w:pPr>
      <w:bookmarkStart w:id="1" w:name="_Toc532993640"/>
      <w:r w:rsidRPr="002019FD">
        <w:rPr>
          <w:b/>
          <w:sz w:val="18"/>
          <w:szCs w:val="18"/>
        </w:rPr>
        <w:t>2 – Délais d’intervention</w:t>
      </w:r>
      <w:bookmarkEnd w:id="1"/>
    </w:p>
    <w:p w14:paraId="2A0ABC8B" w14:textId="77777777" w:rsidR="0036503B" w:rsidRPr="002019FD" w:rsidRDefault="0036503B" w:rsidP="0036503B">
      <w:pPr>
        <w:pStyle w:val="Style1"/>
        <w:jc w:val="both"/>
        <w:outlineLvl w:val="0"/>
        <w:rPr>
          <w:b/>
          <w:sz w:val="18"/>
          <w:szCs w:val="18"/>
        </w:rPr>
      </w:pPr>
    </w:p>
    <w:p w14:paraId="78EFEA13" w14:textId="77777777" w:rsidR="0036503B" w:rsidRPr="002019FD" w:rsidRDefault="0036503B" w:rsidP="0036503B">
      <w:pPr>
        <w:pStyle w:val="Style1"/>
        <w:jc w:val="both"/>
        <w:outlineLvl w:val="0"/>
        <w:rPr>
          <w:sz w:val="18"/>
          <w:szCs w:val="18"/>
        </w:rPr>
      </w:pPr>
      <w:bookmarkStart w:id="2" w:name="_Toc532993641"/>
      <w:r w:rsidRPr="002019FD">
        <w:rPr>
          <w:sz w:val="18"/>
          <w:szCs w:val="18"/>
        </w:rPr>
        <w:t xml:space="preserve">En vertu de l’article 6.2.4 a) du Contrat, « pour dépanner IFPEN, le PRESTATAIRE dispose de </w:t>
      </w:r>
      <w:proofErr w:type="spellStart"/>
      <w:r w:rsidRPr="002019FD">
        <w:rPr>
          <w:sz w:val="18"/>
          <w:szCs w:val="18"/>
          <w:highlight w:val="yellow"/>
        </w:rPr>
        <w:t>xxxx</w:t>
      </w:r>
      <w:proofErr w:type="spellEnd"/>
      <w:r w:rsidRPr="002019FD">
        <w:rPr>
          <w:sz w:val="18"/>
          <w:szCs w:val="18"/>
        </w:rPr>
        <w:t xml:space="preserve"> jours ouvrés pour </w:t>
      </w:r>
      <w:proofErr w:type="spellStart"/>
      <w:r w:rsidRPr="002019FD">
        <w:rPr>
          <w:sz w:val="18"/>
          <w:szCs w:val="18"/>
          <w:highlight w:val="yellow"/>
        </w:rPr>
        <w:t>xxxxxx</w:t>
      </w:r>
      <w:proofErr w:type="spellEnd"/>
      <w:r w:rsidRPr="002019FD">
        <w:rPr>
          <w:sz w:val="18"/>
          <w:szCs w:val="18"/>
        </w:rPr>
        <w:t xml:space="preserve"> de pannes. »</w:t>
      </w:r>
      <w:bookmarkEnd w:id="2"/>
    </w:p>
    <w:p w14:paraId="26F3C2FB" w14:textId="77777777" w:rsidR="0036503B" w:rsidRPr="002019FD" w:rsidRDefault="0036503B" w:rsidP="0036503B">
      <w:pPr>
        <w:pStyle w:val="Style1"/>
        <w:jc w:val="both"/>
        <w:outlineLvl w:val="0"/>
        <w:rPr>
          <w:sz w:val="18"/>
          <w:szCs w:val="18"/>
        </w:rPr>
      </w:pPr>
      <w:bookmarkStart w:id="3" w:name="_Toc532993642"/>
      <w:r w:rsidRPr="0083733B">
        <w:rPr>
          <w:sz w:val="18"/>
          <w:szCs w:val="18"/>
        </w:rPr>
        <w:t xml:space="preserve">Il est entendu que dans le cas où le PRESTATAIRE procèderait à des opérations de télémaintenance pour le diagnostic des Matériels, le délai d’intervention </w:t>
      </w:r>
      <w:proofErr w:type="spellStart"/>
      <w:r w:rsidRPr="0083733B">
        <w:rPr>
          <w:sz w:val="18"/>
          <w:szCs w:val="18"/>
        </w:rPr>
        <w:t>sus-mentionné</w:t>
      </w:r>
      <w:proofErr w:type="spellEnd"/>
      <w:r w:rsidRPr="0083733B">
        <w:rPr>
          <w:sz w:val="18"/>
          <w:szCs w:val="18"/>
        </w:rPr>
        <w:t xml:space="preserve"> comprendrait les opérations de diagnostic par télémaintenance. Dans ce cas, le délai d’intervention commencerait à courir à l’ouverture par IFPEN de l’accès à distance pour l’opération de maintenance concernée.</w:t>
      </w:r>
      <w:bookmarkEnd w:id="3"/>
    </w:p>
    <w:p w14:paraId="27D2826F" w14:textId="77777777" w:rsidR="000517B5" w:rsidRPr="000411F5" w:rsidRDefault="000517B5" w:rsidP="00984EDA">
      <w:pPr>
        <w:rPr>
          <w:rFonts w:eastAsia="Batang"/>
          <w:sz w:val="19"/>
          <w:szCs w:val="19"/>
        </w:rPr>
      </w:pPr>
    </w:p>
    <w:p w14:paraId="51E2A1C8" w14:textId="77777777" w:rsidR="000517B5" w:rsidRDefault="000517B5" w:rsidP="000517B5">
      <w:pPr>
        <w:jc w:val="center"/>
      </w:pPr>
    </w:p>
    <w:p w14:paraId="7E655E1A" w14:textId="77777777" w:rsidR="000517B5" w:rsidRDefault="000517B5" w:rsidP="000517B5">
      <w:pPr>
        <w:jc w:val="center"/>
      </w:pPr>
    </w:p>
    <w:p w14:paraId="11D81398" w14:textId="77777777" w:rsidR="000517B5" w:rsidRDefault="000517B5" w:rsidP="000517B5">
      <w:pPr>
        <w:ind w:left="709"/>
        <w:jc w:val="center"/>
      </w:pPr>
    </w:p>
    <w:p w14:paraId="29746358" w14:textId="77777777" w:rsidR="000517B5" w:rsidRDefault="000517B5" w:rsidP="00984EDA">
      <w:pPr>
        <w:rPr>
          <w:rFonts w:eastAsia="Batang" w:cs="Arial"/>
          <w:szCs w:val="18"/>
        </w:rPr>
      </w:pPr>
    </w:p>
    <w:p w14:paraId="7113F87D" w14:textId="77777777" w:rsidR="000517B5" w:rsidRPr="00B63044" w:rsidRDefault="000517B5" w:rsidP="00984EDA">
      <w:pPr>
        <w:rPr>
          <w:rFonts w:eastAsia="Batang" w:cs="Arial"/>
          <w:szCs w:val="18"/>
        </w:rPr>
      </w:pPr>
    </w:p>
    <w:sectPr w:rsidR="000517B5" w:rsidRPr="00B63044" w:rsidSect="00AA007B">
      <w:headerReference w:type="even" r:id="rId8"/>
      <w:headerReference w:type="default" r:id="rId9"/>
      <w:footerReference w:type="even" r:id="rId10"/>
      <w:footerReference w:type="default" r:id="rId11"/>
      <w:headerReference w:type="first" r:id="rId12"/>
      <w:type w:val="continuous"/>
      <w:pgSz w:w="11906" w:h="16838" w:code="9"/>
      <w:pgMar w:top="1618" w:right="924" w:bottom="851" w:left="902" w:header="360" w:footer="2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A64E2" w14:textId="77777777" w:rsidR="005743EE" w:rsidRDefault="005743EE">
      <w:r>
        <w:separator/>
      </w:r>
    </w:p>
  </w:endnote>
  <w:endnote w:type="continuationSeparator" w:id="0">
    <w:p w14:paraId="17076FB9" w14:textId="77777777" w:rsidR="005743EE" w:rsidRDefault="00574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20259" w14:textId="77777777" w:rsidR="0049739F" w:rsidRDefault="0049739F" w:rsidP="009B4BE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19</w:t>
    </w:r>
    <w:r>
      <w:rPr>
        <w:rStyle w:val="Numrodepage"/>
      </w:rPr>
      <w:fldChar w:fldCharType="end"/>
    </w:r>
  </w:p>
  <w:p w14:paraId="2FD0BF63" w14:textId="77777777" w:rsidR="0049739F" w:rsidRDefault="0049739F" w:rsidP="009B4BE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4B5DA" w14:textId="77777777" w:rsidR="0049739F" w:rsidRDefault="0049739F" w:rsidP="0070280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4629D4">
      <w:rPr>
        <w:rStyle w:val="Numrodepage"/>
        <w:noProof/>
      </w:rPr>
      <w:t>8</w:t>
    </w:r>
    <w:r>
      <w:rPr>
        <w:rStyle w:val="Numrodepage"/>
      </w:rPr>
      <w:fldChar w:fldCharType="end"/>
    </w:r>
  </w:p>
  <w:tbl>
    <w:tblPr>
      <w:tblW w:w="10080" w:type="dxa"/>
      <w:tblInd w:w="70" w:type="dxa"/>
      <w:tblBorders>
        <w:top w:val="single" w:sz="4" w:space="0" w:color="auto"/>
      </w:tblBorders>
      <w:tblLayout w:type="fixed"/>
      <w:tblCellMar>
        <w:left w:w="70" w:type="dxa"/>
        <w:right w:w="70" w:type="dxa"/>
      </w:tblCellMar>
      <w:tblLook w:val="0000" w:firstRow="0" w:lastRow="0" w:firstColumn="0" w:lastColumn="0" w:noHBand="0" w:noVBand="0"/>
    </w:tblPr>
    <w:tblGrid>
      <w:gridCol w:w="10080"/>
    </w:tblGrid>
    <w:tr w:rsidR="0049739F" w14:paraId="6AE090AA" w14:textId="77777777" w:rsidTr="00ED2CD8">
      <w:trPr>
        <w:cantSplit/>
      </w:trPr>
      <w:tc>
        <w:tcPr>
          <w:tcW w:w="10080" w:type="dxa"/>
          <w:tcBorders>
            <w:top w:val="nil"/>
          </w:tcBorders>
        </w:tcPr>
        <w:p w14:paraId="33414AD5" w14:textId="77777777" w:rsidR="0049739F" w:rsidRPr="009B4BE5" w:rsidRDefault="0049739F" w:rsidP="00ED2CD8">
          <w:pPr>
            <w:pStyle w:val="Pieddepage"/>
            <w:ind w:right="360"/>
            <w:jc w:val="center"/>
            <w:rPr>
              <w:szCs w:val="18"/>
            </w:rPr>
          </w:pPr>
        </w:p>
      </w:tc>
    </w:tr>
  </w:tbl>
  <w:p w14:paraId="441AA7F1" w14:textId="77777777" w:rsidR="0049739F" w:rsidRDefault="0049739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6A342" w14:textId="77777777" w:rsidR="005743EE" w:rsidRDefault="005743EE">
      <w:r>
        <w:separator/>
      </w:r>
    </w:p>
  </w:footnote>
  <w:footnote w:type="continuationSeparator" w:id="0">
    <w:p w14:paraId="19F778EA" w14:textId="77777777" w:rsidR="005743EE" w:rsidRDefault="005743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5E5" w14:textId="6D71AB30" w:rsidR="00AB6F1E" w:rsidRDefault="00AB6F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tblInd w:w="70" w:type="dxa"/>
      <w:tblLayout w:type="fixed"/>
      <w:tblCellMar>
        <w:left w:w="70" w:type="dxa"/>
        <w:right w:w="70" w:type="dxa"/>
      </w:tblCellMar>
      <w:tblLook w:val="0000" w:firstRow="0" w:lastRow="0" w:firstColumn="0" w:lastColumn="0" w:noHBand="0" w:noVBand="0"/>
    </w:tblPr>
    <w:tblGrid>
      <w:gridCol w:w="7020"/>
      <w:gridCol w:w="160"/>
      <w:gridCol w:w="2900"/>
    </w:tblGrid>
    <w:tr w:rsidR="0049739F" w14:paraId="48E4FEA2" w14:textId="77777777" w:rsidTr="00234B6C">
      <w:trPr>
        <w:cantSplit/>
        <w:trHeight w:val="446"/>
      </w:trPr>
      <w:tc>
        <w:tcPr>
          <w:tcW w:w="7020" w:type="dxa"/>
          <w:tcBorders>
            <w:bottom w:val="single" w:sz="4" w:space="0" w:color="auto"/>
          </w:tcBorders>
          <w:vAlign w:val="center"/>
        </w:tcPr>
        <w:p w14:paraId="49E17E07" w14:textId="58AAB59D" w:rsidR="0049739F" w:rsidRDefault="00127994" w:rsidP="007A242D">
          <w:pPr>
            <w:pStyle w:val="En-tte"/>
            <w:ind w:left="-70"/>
            <w:rPr>
              <w:b/>
            </w:rPr>
          </w:pPr>
          <w:r w:rsidRPr="008229CA">
            <w:rPr>
              <w:noProof/>
            </w:rPr>
            <w:drawing>
              <wp:inline distT="0" distB="0" distL="0" distR="0" wp14:anchorId="4727DCA9" wp14:editId="1C2BD583">
                <wp:extent cx="1257300" cy="5524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552450"/>
                        </a:xfrm>
                        <a:prstGeom prst="rect">
                          <a:avLst/>
                        </a:prstGeom>
                        <a:noFill/>
                        <a:ln>
                          <a:noFill/>
                        </a:ln>
                      </pic:spPr>
                    </pic:pic>
                  </a:graphicData>
                </a:graphic>
              </wp:inline>
            </w:drawing>
          </w:r>
        </w:p>
      </w:tc>
      <w:tc>
        <w:tcPr>
          <w:tcW w:w="160" w:type="dxa"/>
          <w:tcBorders>
            <w:bottom w:val="single" w:sz="4" w:space="0" w:color="auto"/>
          </w:tcBorders>
          <w:vAlign w:val="center"/>
        </w:tcPr>
        <w:p w14:paraId="6AACB2AC" w14:textId="77777777" w:rsidR="0049739F" w:rsidRDefault="0049739F">
          <w:pPr>
            <w:pStyle w:val="En-tte"/>
            <w:jc w:val="center"/>
            <w:rPr>
              <w:b/>
              <w:sz w:val="16"/>
              <w:szCs w:val="16"/>
            </w:rPr>
          </w:pPr>
        </w:p>
      </w:tc>
      <w:tc>
        <w:tcPr>
          <w:tcW w:w="2900" w:type="dxa"/>
          <w:tcBorders>
            <w:bottom w:val="single" w:sz="4" w:space="0" w:color="auto"/>
          </w:tcBorders>
          <w:vAlign w:val="center"/>
        </w:tcPr>
        <w:p w14:paraId="7E4F7268" w14:textId="77777777" w:rsidR="0049739F" w:rsidRDefault="0049739F">
          <w:pPr>
            <w:pStyle w:val="En-tte"/>
            <w:jc w:val="center"/>
            <w:rPr>
              <w:sz w:val="16"/>
              <w:szCs w:val="16"/>
            </w:rPr>
          </w:pPr>
        </w:p>
      </w:tc>
    </w:tr>
    <w:tr w:rsidR="0049739F" w14:paraId="6FC4DAFE" w14:textId="77777777" w:rsidTr="00234B6C">
      <w:trPr>
        <w:cantSplit/>
      </w:trPr>
      <w:tc>
        <w:tcPr>
          <w:tcW w:w="7020" w:type="dxa"/>
          <w:tcBorders>
            <w:top w:val="single" w:sz="4" w:space="0" w:color="auto"/>
            <w:right w:val="single" w:sz="4" w:space="0" w:color="auto"/>
          </w:tcBorders>
          <w:vAlign w:val="center"/>
        </w:tcPr>
        <w:p w14:paraId="14097AA0" w14:textId="77777777" w:rsidR="0049739F" w:rsidRDefault="0049739F">
          <w:pPr>
            <w:pStyle w:val="Corpsdetitresimple"/>
          </w:pPr>
          <w:r>
            <w:t>DF – Département Achats</w:t>
          </w:r>
        </w:p>
      </w:tc>
      <w:tc>
        <w:tcPr>
          <w:tcW w:w="160" w:type="dxa"/>
          <w:tcBorders>
            <w:top w:val="single" w:sz="4" w:space="0" w:color="auto"/>
            <w:left w:val="single" w:sz="4" w:space="0" w:color="auto"/>
            <w:bottom w:val="single" w:sz="4" w:space="0" w:color="auto"/>
            <w:right w:val="single" w:sz="4" w:space="0" w:color="auto"/>
          </w:tcBorders>
          <w:shd w:val="clear" w:color="auto" w:fill="E0E0E0"/>
          <w:vAlign w:val="center"/>
        </w:tcPr>
        <w:p w14:paraId="4AB20392" w14:textId="77777777" w:rsidR="0049739F" w:rsidRDefault="0049739F">
          <w:pPr>
            <w:jc w:val="center"/>
            <w:rPr>
              <w:sz w:val="16"/>
              <w:szCs w:val="16"/>
            </w:rPr>
          </w:pPr>
        </w:p>
      </w:tc>
      <w:tc>
        <w:tcPr>
          <w:tcW w:w="2900" w:type="dxa"/>
          <w:tcBorders>
            <w:top w:val="single" w:sz="4" w:space="0" w:color="auto"/>
            <w:left w:val="single" w:sz="4" w:space="0" w:color="auto"/>
            <w:bottom w:val="single" w:sz="4" w:space="0" w:color="auto"/>
            <w:right w:val="single" w:sz="4" w:space="0" w:color="auto"/>
          </w:tcBorders>
          <w:shd w:val="clear" w:color="auto" w:fill="E0E0E0"/>
          <w:vAlign w:val="center"/>
        </w:tcPr>
        <w:p w14:paraId="2A3FE1C4" w14:textId="77777777" w:rsidR="0049739F" w:rsidRDefault="0049739F" w:rsidP="00234B6C">
          <w:pPr>
            <w:jc w:val="center"/>
            <w:rPr>
              <w:sz w:val="16"/>
              <w:szCs w:val="16"/>
            </w:rPr>
          </w:pPr>
          <w:r>
            <w:rPr>
              <w:sz w:val="16"/>
              <w:szCs w:val="16"/>
            </w:rPr>
            <w:t>Page</w:t>
          </w:r>
        </w:p>
      </w:tc>
    </w:tr>
    <w:tr w:rsidR="0049739F" w14:paraId="0379303C" w14:textId="77777777" w:rsidTr="00234B6C">
      <w:trPr>
        <w:cantSplit/>
      </w:trPr>
      <w:tc>
        <w:tcPr>
          <w:tcW w:w="7020" w:type="dxa"/>
          <w:tcBorders>
            <w:right w:val="single" w:sz="4" w:space="0" w:color="auto"/>
          </w:tcBorders>
          <w:vAlign w:val="center"/>
        </w:tcPr>
        <w:p w14:paraId="6E12245A" w14:textId="77777777" w:rsidR="0049739F" w:rsidRDefault="0049739F">
          <w:pPr>
            <w:rPr>
              <w:sz w:val="16"/>
              <w:szCs w:val="16"/>
            </w:rPr>
          </w:pPr>
          <w:r>
            <w:rPr>
              <w:sz w:val="16"/>
              <w:szCs w:val="16"/>
            </w:rPr>
            <w:t>Contrat Maintenance Matériel</w:t>
          </w:r>
        </w:p>
      </w:tc>
      <w:tc>
        <w:tcPr>
          <w:tcW w:w="160" w:type="dxa"/>
          <w:tcBorders>
            <w:top w:val="single" w:sz="4" w:space="0" w:color="auto"/>
            <w:left w:val="single" w:sz="4" w:space="0" w:color="auto"/>
            <w:bottom w:val="single" w:sz="4" w:space="0" w:color="auto"/>
            <w:right w:val="single" w:sz="4" w:space="0" w:color="auto"/>
          </w:tcBorders>
          <w:vAlign w:val="center"/>
        </w:tcPr>
        <w:p w14:paraId="4909880E" w14:textId="77777777" w:rsidR="0049739F" w:rsidRDefault="0049739F">
          <w:pPr>
            <w:jc w:val="center"/>
            <w:rPr>
              <w:sz w:val="16"/>
              <w:szCs w:val="16"/>
            </w:rPr>
          </w:pPr>
        </w:p>
      </w:tc>
      <w:tc>
        <w:tcPr>
          <w:tcW w:w="2900" w:type="dxa"/>
          <w:tcBorders>
            <w:top w:val="single" w:sz="4" w:space="0" w:color="auto"/>
            <w:left w:val="single" w:sz="4" w:space="0" w:color="auto"/>
            <w:bottom w:val="single" w:sz="4" w:space="0" w:color="auto"/>
            <w:right w:val="single" w:sz="4" w:space="0" w:color="auto"/>
          </w:tcBorders>
          <w:vAlign w:val="center"/>
        </w:tcPr>
        <w:p w14:paraId="0DB56891" w14:textId="77777777" w:rsidR="0049739F" w:rsidRPr="00D410D5" w:rsidRDefault="0049739F" w:rsidP="00234B6C">
          <w:pPr>
            <w:jc w:val="center"/>
            <w:rPr>
              <w:sz w:val="16"/>
              <w:szCs w:val="16"/>
            </w:rPr>
          </w:pPr>
          <w:r w:rsidRPr="00D410D5">
            <w:rPr>
              <w:sz w:val="16"/>
              <w:szCs w:val="16"/>
            </w:rPr>
            <w:fldChar w:fldCharType="begin"/>
          </w:r>
          <w:r w:rsidRPr="00D410D5">
            <w:rPr>
              <w:sz w:val="16"/>
              <w:szCs w:val="16"/>
            </w:rPr>
            <w:instrText xml:space="preserve">PAGE </w:instrText>
          </w:r>
          <w:r w:rsidRPr="00D410D5">
            <w:rPr>
              <w:sz w:val="16"/>
              <w:szCs w:val="16"/>
            </w:rPr>
            <w:fldChar w:fldCharType="separate"/>
          </w:r>
          <w:r w:rsidR="004629D4">
            <w:rPr>
              <w:noProof/>
              <w:sz w:val="16"/>
              <w:szCs w:val="16"/>
            </w:rPr>
            <w:t>8</w:t>
          </w:r>
          <w:r w:rsidRPr="00D410D5">
            <w:rPr>
              <w:sz w:val="16"/>
              <w:szCs w:val="16"/>
            </w:rPr>
            <w:fldChar w:fldCharType="end"/>
          </w:r>
          <w:r w:rsidRPr="00D410D5">
            <w:rPr>
              <w:sz w:val="16"/>
              <w:szCs w:val="16"/>
            </w:rPr>
            <w:t>/</w:t>
          </w:r>
          <w:r w:rsidRPr="00D410D5">
            <w:rPr>
              <w:rStyle w:val="Numrodepage"/>
              <w:sz w:val="16"/>
              <w:szCs w:val="16"/>
            </w:rPr>
            <w:fldChar w:fldCharType="begin"/>
          </w:r>
          <w:r w:rsidRPr="00D410D5">
            <w:rPr>
              <w:rStyle w:val="Numrodepage"/>
              <w:sz w:val="16"/>
              <w:szCs w:val="16"/>
            </w:rPr>
            <w:instrText xml:space="preserve"> NUMPAGES  \* MERGEFORMAT </w:instrText>
          </w:r>
          <w:r w:rsidRPr="00D410D5">
            <w:rPr>
              <w:rStyle w:val="Numrodepage"/>
              <w:sz w:val="16"/>
              <w:szCs w:val="16"/>
            </w:rPr>
            <w:fldChar w:fldCharType="separate"/>
          </w:r>
          <w:r w:rsidR="004629D4">
            <w:rPr>
              <w:rStyle w:val="Numrodepage"/>
              <w:noProof/>
              <w:sz w:val="16"/>
              <w:szCs w:val="16"/>
            </w:rPr>
            <w:t>24</w:t>
          </w:r>
          <w:r w:rsidRPr="00D410D5">
            <w:rPr>
              <w:rStyle w:val="Numrodepage"/>
              <w:sz w:val="16"/>
              <w:szCs w:val="16"/>
            </w:rPr>
            <w:fldChar w:fldCharType="end"/>
          </w:r>
        </w:p>
      </w:tc>
    </w:tr>
  </w:tbl>
  <w:p w14:paraId="5B3C320E" w14:textId="77777777" w:rsidR="0049739F" w:rsidRDefault="0049739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4D289" w14:textId="4C40CFD3" w:rsidR="00AB6F1E" w:rsidRDefault="00AB6F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4A414AC"/>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A75C0C14"/>
    <w:lvl w:ilvl="0">
      <w:numFmt w:val="bullet"/>
      <w:lvlText w:val="*"/>
      <w:lvlJc w:val="left"/>
      <w:pPr>
        <w:ind w:left="0" w:firstLine="0"/>
      </w:pPr>
    </w:lvl>
  </w:abstractNum>
  <w:abstractNum w:abstractNumId="2" w15:restartNumberingAfterBreak="0">
    <w:nsid w:val="00F61DE9"/>
    <w:multiLevelType w:val="hybridMultilevel"/>
    <w:tmpl w:val="75DABA1E"/>
    <w:lvl w:ilvl="0" w:tplc="0C9648AE">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D71DDE"/>
    <w:multiLevelType w:val="hybridMultilevel"/>
    <w:tmpl w:val="2A5EC564"/>
    <w:lvl w:ilvl="0" w:tplc="DF58C47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11245D"/>
    <w:multiLevelType w:val="hybridMultilevel"/>
    <w:tmpl w:val="5052E424"/>
    <w:lvl w:ilvl="0" w:tplc="0C9648AE">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A23626"/>
    <w:multiLevelType w:val="hybridMultilevel"/>
    <w:tmpl w:val="CFD849F6"/>
    <w:lvl w:ilvl="0" w:tplc="DBB09BAE">
      <w:start w:val="1"/>
      <w:numFmt w:val="bullet"/>
      <w:lvlText w:val=""/>
      <w:lvlJc w:val="left"/>
      <w:pPr>
        <w:tabs>
          <w:tab w:val="num" w:pos="720"/>
        </w:tabs>
        <w:ind w:left="720" w:hanging="360"/>
      </w:pPr>
      <w:rPr>
        <w:rFonts w:ascii="Symbol" w:hAnsi="Symbol" w:hint="default"/>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6F2925"/>
    <w:multiLevelType w:val="hybridMultilevel"/>
    <w:tmpl w:val="44D4EADC"/>
    <w:lvl w:ilvl="0" w:tplc="0C9648AE">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475784"/>
    <w:multiLevelType w:val="hybridMultilevel"/>
    <w:tmpl w:val="5EA0BC5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E4E08E6"/>
    <w:multiLevelType w:val="hybridMultilevel"/>
    <w:tmpl w:val="20C0E9A2"/>
    <w:lvl w:ilvl="0" w:tplc="0C9648AE">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A33E35"/>
    <w:multiLevelType w:val="multilevel"/>
    <w:tmpl w:val="66BA5D80"/>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2.%1.%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3E20B5"/>
    <w:multiLevelType w:val="hybridMultilevel"/>
    <w:tmpl w:val="0080917A"/>
    <w:lvl w:ilvl="0" w:tplc="0C9648AE">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00F23E4"/>
    <w:multiLevelType w:val="hybridMultilevel"/>
    <w:tmpl w:val="10F60198"/>
    <w:lvl w:ilvl="0" w:tplc="5A168036">
      <w:start w:val="1"/>
      <w:numFmt w:val="decimal"/>
      <w:lvlText w:val="1.%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29D05E6"/>
    <w:multiLevelType w:val="hybridMultilevel"/>
    <w:tmpl w:val="D3C4ABCA"/>
    <w:lvl w:ilvl="0" w:tplc="0C9648AE">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0060524"/>
    <w:multiLevelType w:val="multilevel"/>
    <w:tmpl w:val="4EE4E5AA"/>
    <w:lvl w:ilvl="0">
      <w:start w:val="1"/>
      <w:numFmt w:val="decimal"/>
      <w:pStyle w:val="article"/>
      <w:lvlText w:val="ARTICLE %1"/>
      <w:lvlJc w:val="left"/>
      <w:pPr>
        <w:tabs>
          <w:tab w:val="num" w:pos="0"/>
        </w:tabs>
        <w:snapToGrid w:val="0"/>
        <w:ind w:left="0" w:firstLine="0"/>
      </w:pPr>
      <w:rPr>
        <w:rFonts w:ascii="Times New Roman" w:hAnsi="Times New Roman" w:cs="Times New Roman" w:hint="default"/>
        <w:b/>
        <w:bCs w:val="0"/>
        <w:i w:val="0"/>
        <w:iCs w:val="0"/>
        <w:caps w:val="0"/>
        <w:smallCaps w:val="0"/>
        <w:strike w:val="0"/>
        <w:dstrike w:val="0"/>
        <w:vanish w:val="0"/>
        <w:webHidden w:val="0"/>
        <w:color w:val="000000"/>
        <w:spacing w:val="0"/>
        <w:w w:val="1"/>
        <w:kern w:val="0"/>
        <w:position w:val="0"/>
        <w:sz w:val="22"/>
        <w:szCs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
      <w:lvlJc w:val="left"/>
      <w:pPr>
        <w:ind w:left="1985" w:firstLine="0"/>
      </w:pPr>
      <w:rPr>
        <w:rFonts w:ascii="Times New Roman" w:hAnsi="Times New Roman" w:cs="Times New Roman" w:hint="default"/>
        <w:b/>
        <w:i w:val="0"/>
        <w:caps w:val="0"/>
        <w:color w:val="auto"/>
        <w:sz w:val="22"/>
        <w:szCs w:val="22"/>
      </w:rPr>
    </w:lvl>
    <w:lvl w:ilvl="2">
      <w:start w:val="1"/>
      <w:numFmt w:val="decimal"/>
      <w:suff w:val="nothing"/>
      <w:lvlText w:val="%1.%2.%3"/>
      <w:lvlJc w:val="left"/>
      <w:pPr>
        <w:ind w:left="-503" w:firstLine="0"/>
      </w:pPr>
      <w:rPr>
        <w:b/>
        <w:i w:val="0"/>
        <w:sz w:val="20"/>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61862CFB"/>
    <w:multiLevelType w:val="hybridMultilevel"/>
    <w:tmpl w:val="BC0CB316"/>
    <w:lvl w:ilvl="0" w:tplc="DF58C47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FE554D"/>
    <w:multiLevelType w:val="hybridMultilevel"/>
    <w:tmpl w:val="4BAEAC6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6DC1BC8"/>
    <w:multiLevelType w:val="hybridMultilevel"/>
    <w:tmpl w:val="BFB869EC"/>
    <w:lvl w:ilvl="0" w:tplc="7A56CB1E">
      <w:numFmt w:val="bullet"/>
      <w:lvlText w:val="-"/>
      <w:lvlJc w:val="left"/>
      <w:pPr>
        <w:ind w:left="720" w:hanging="360"/>
      </w:pPr>
      <w:rPr>
        <w:rFonts w:ascii="Times" w:eastAsia="Times" w:hAnsi="Times"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F0668EF"/>
    <w:multiLevelType w:val="multilevel"/>
    <w:tmpl w:val="DBE2FBC0"/>
    <w:lvl w:ilvl="0">
      <w:start w:val="1"/>
      <w:numFmt w:val="decimal"/>
      <w:pStyle w:val="Titre1"/>
      <w:lvlText w:val="Article %1."/>
      <w:lvlJc w:val="left"/>
      <w:pPr>
        <w:tabs>
          <w:tab w:val="num" w:pos="432"/>
        </w:tabs>
        <w:ind w:left="432" w:hanging="432"/>
      </w:pPr>
      <w:rPr>
        <w:rFonts w:hint="default"/>
      </w:rPr>
    </w:lvl>
    <w:lvl w:ilvl="1">
      <w:start w:val="1"/>
      <w:numFmt w:val="decimal"/>
      <w:pStyle w:val="Titre2"/>
      <w:lvlText w:val="%1.%2"/>
      <w:lvlJc w:val="left"/>
      <w:pPr>
        <w:tabs>
          <w:tab w:val="num" w:pos="1286"/>
        </w:tabs>
        <w:ind w:left="1286" w:hanging="576"/>
      </w:pPr>
      <w:rPr>
        <w:rFonts w:ascii="Arial" w:hAnsi="Arial" w:cs="Arial" w:hint="default"/>
        <w:b/>
      </w:rPr>
    </w:lvl>
    <w:lvl w:ilvl="2">
      <w:start w:val="1"/>
      <w:numFmt w:val="decimal"/>
      <w:pStyle w:val="Titre3"/>
      <w:lvlText w:val="%1.%2.%3"/>
      <w:lvlJc w:val="left"/>
      <w:pPr>
        <w:tabs>
          <w:tab w:val="num" w:pos="720"/>
        </w:tabs>
        <w:ind w:left="720" w:hanging="720"/>
      </w:pPr>
    </w:lvl>
    <w:lvl w:ilvl="3">
      <w:start w:val="1"/>
      <w:numFmt w:val="lowerLetter"/>
      <w:pStyle w:val="Titre4"/>
      <w:lvlText w:val="%4)"/>
      <w:lvlJc w:val="left"/>
      <w:pPr>
        <w:tabs>
          <w:tab w:val="num" w:pos="360"/>
        </w:tabs>
        <w:ind w:left="360" w:hanging="360"/>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num w:numId="1" w16cid:durableId="1794905309">
    <w:abstractNumId w:val="17"/>
  </w:num>
  <w:num w:numId="2" w16cid:durableId="248777109">
    <w:abstractNumId w:val="4"/>
  </w:num>
  <w:num w:numId="3" w16cid:durableId="1343776422">
    <w:abstractNumId w:val="12"/>
  </w:num>
  <w:num w:numId="4" w16cid:durableId="691733317">
    <w:abstractNumId w:val="10"/>
  </w:num>
  <w:num w:numId="5" w16cid:durableId="810026714">
    <w:abstractNumId w:val="8"/>
  </w:num>
  <w:num w:numId="6" w16cid:durableId="317806241">
    <w:abstractNumId w:val="3"/>
  </w:num>
  <w:num w:numId="7" w16cid:durableId="834760016">
    <w:abstractNumId w:val="14"/>
  </w:num>
  <w:num w:numId="8" w16cid:durableId="1504664736">
    <w:abstractNumId w:val="6"/>
  </w:num>
  <w:num w:numId="9" w16cid:durableId="828327206">
    <w:abstractNumId w:val="2"/>
  </w:num>
  <w:num w:numId="10" w16cid:durableId="354813369">
    <w:abstractNumId w:val="5"/>
  </w:num>
  <w:num w:numId="11" w16cid:durableId="914894285">
    <w:abstractNumId w:val="17"/>
  </w:num>
  <w:num w:numId="12" w16cid:durableId="1079208843">
    <w:abstractNumId w:val="0"/>
  </w:num>
  <w:num w:numId="13" w16cid:durableId="1937206882">
    <w:abstractNumId w:val="15"/>
  </w:num>
  <w:num w:numId="14" w16cid:durableId="19711340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73952406">
    <w:abstractNumId w:val="11"/>
  </w:num>
  <w:num w:numId="16" w16cid:durableId="1035617685">
    <w:abstractNumId w:val="17"/>
  </w:num>
  <w:num w:numId="17" w16cid:durableId="903872851">
    <w:abstractNumId w:val="17"/>
  </w:num>
  <w:num w:numId="18" w16cid:durableId="2028751594">
    <w:abstractNumId w:val="17"/>
  </w:num>
  <w:num w:numId="19" w16cid:durableId="710568938">
    <w:abstractNumId w:val="17"/>
  </w:num>
  <w:num w:numId="20" w16cid:durableId="772014084">
    <w:abstractNumId w:val="17"/>
  </w:num>
  <w:num w:numId="21" w16cid:durableId="1500660875">
    <w:abstractNumId w:val="17"/>
  </w:num>
  <w:num w:numId="22" w16cid:durableId="1505126974">
    <w:abstractNumId w:val="17"/>
  </w:num>
  <w:num w:numId="23" w16cid:durableId="631986745">
    <w:abstractNumId w:val="17"/>
  </w:num>
  <w:num w:numId="24" w16cid:durableId="2031761359">
    <w:abstractNumId w:val="17"/>
  </w:num>
  <w:num w:numId="25" w16cid:durableId="1122118427">
    <w:abstractNumId w:val="17"/>
  </w:num>
  <w:num w:numId="26" w16cid:durableId="1910144384">
    <w:abstractNumId w:val="17"/>
  </w:num>
  <w:num w:numId="27" w16cid:durableId="1686251910">
    <w:abstractNumId w:val="7"/>
  </w:num>
  <w:num w:numId="28" w16cid:durableId="678241342">
    <w:abstractNumId w:val="17"/>
  </w:num>
  <w:num w:numId="29" w16cid:durableId="412243225">
    <w:abstractNumId w:val="9"/>
  </w:num>
  <w:num w:numId="30" w16cid:durableId="1461802442">
    <w:abstractNumId w:val="17"/>
  </w:num>
  <w:num w:numId="31" w16cid:durableId="2044402147">
    <w:abstractNumId w:val="17"/>
  </w:num>
  <w:num w:numId="32" w16cid:durableId="1318340139">
    <w:abstractNumId w:val="17"/>
  </w:num>
  <w:num w:numId="33" w16cid:durableId="876963873">
    <w:abstractNumId w:val="1"/>
    <w:lvlOverride w:ilvl="0">
      <w:lvl w:ilvl="0">
        <w:numFmt w:val="bullet"/>
        <w:lvlText w:val="•"/>
        <w:legacy w:legacy="1" w:legacySpace="0" w:legacyIndent="0"/>
        <w:lvlJc w:val="left"/>
        <w:pPr>
          <w:ind w:left="0" w:firstLine="0"/>
        </w:pPr>
        <w:rPr>
          <w:rFonts w:ascii="Helv" w:hAnsi="Helv" w:hint="default"/>
        </w:rPr>
      </w:lvl>
    </w:lvlOverride>
  </w:num>
  <w:num w:numId="34" w16cid:durableId="84619095">
    <w:abstractNumId w:val="17"/>
  </w:num>
  <w:num w:numId="35" w16cid:durableId="1280259784">
    <w:abstractNumId w:val="17"/>
  </w:num>
  <w:num w:numId="36" w16cid:durableId="1593005421">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de-DE" w:vendorID="64" w:dllVersion="6" w:nlCheck="1" w:checkStyle="1"/>
  <w:activeWritingStyle w:appName="MSWord" w:lang="en-US" w:vendorID="64" w:dllVersion="6" w:nlCheck="1" w:checkStyle="1"/>
  <w:activeWritingStyle w:appName="MSWord" w:lang="fr-CI" w:vendorID="64" w:dllVersion="6" w:nlCheck="1" w:checkStyle="1"/>
  <w:activeWritingStyle w:appName="MSWord" w:lang="fr-FR" w:vendorID="64" w:dllVersion="0" w:nlCheck="1" w:checkStyle="0"/>
  <w:activeWritingStyle w:appName="MSWord" w:lang="en-US" w:vendorID="64" w:dllVersion="0" w:nlCheck="1" w:checkStyle="0"/>
  <w:activeWritingStyle w:appName="MSWord" w:lang="de-DE" w:vendorID="64" w:dllVersion="0" w:nlCheck="1" w:checkStyle="0"/>
  <w:activeWritingStyle w:appName="MSWord" w:lang="fr-CI"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830"/>
    <w:rsid w:val="00000A5B"/>
    <w:rsid w:val="00005AB8"/>
    <w:rsid w:val="00007AA5"/>
    <w:rsid w:val="00011305"/>
    <w:rsid w:val="00013D11"/>
    <w:rsid w:val="00014061"/>
    <w:rsid w:val="00021A0C"/>
    <w:rsid w:val="00031537"/>
    <w:rsid w:val="000411F5"/>
    <w:rsid w:val="00041EF7"/>
    <w:rsid w:val="000465AD"/>
    <w:rsid w:val="000517B5"/>
    <w:rsid w:val="0005640B"/>
    <w:rsid w:val="00061E31"/>
    <w:rsid w:val="000628A4"/>
    <w:rsid w:val="00062E13"/>
    <w:rsid w:val="00066837"/>
    <w:rsid w:val="00070F75"/>
    <w:rsid w:val="00075CE1"/>
    <w:rsid w:val="000814BF"/>
    <w:rsid w:val="000A2780"/>
    <w:rsid w:val="000B00A3"/>
    <w:rsid w:val="000B478F"/>
    <w:rsid w:val="000B4B7D"/>
    <w:rsid w:val="000C7AA0"/>
    <w:rsid w:val="000D06B3"/>
    <w:rsid w:val="000E6629"/>
    <w:rsid w:val="000E7B44"/>
    <w:rsid w:val="000F3BAC"/>
    <w:rsid w:val="0010420B"/>
    <w:rsid w:val="00115FF8"/>
    <w:rsid w:val="00117B31"/>
    <w:rsid w:val="00127994"/>
    <w:rsid w:val="00130887"/>
    <w:rsid w:val="00146452"/>
    <w:rsid w:val="00146A08"/>
    <w:rsid w:val="00151107"/>
    <w:rsid w:val="00152095"/>
    <w:rsid w:val="00155A8C"/>
    <w:rsid w:val="00161CE6"/>
    <w:rsid w:val="0016248D"/>
    <w:rsid w:val="00162D07"/>
    <w:rsid w:val="00166048"/>
    <w:rsid w:val="00171A65"/>
    <w:rsid w:val="00182C77"/>
    <w:rsid w:val="00186C48"/>
    <w:rsid w:val="00187887"/>
    <w:rsid w:val="00194C90"/>
    <w:rsid w:val="00195D78"/>
    <w:rsid w:val="00197950"/>
    <w:rsid w:val="001A022C"/>
    <w:rsid w:val="001A52C8"/>
    <w:rsid w:val="001A5A18"/>
    <w:rsid w:val="001A5AAE"/>
    <w:rsid w:val="001B374F"/>
    <w:rsid w:val="001B4578"/>
    <w:rsid w:val="001B7D1D"/>
    <w:rsid w:val="001C3AAB"/>
    <w:rsid w:val="001C3B64"/>
    <w:rsid w:val="001C477C"/>
    <w:rsid w:val="001C6918"/>
    <w:rsid w:val="001D09A1"/>
    <w:rsid w:val="001D62ED"/>
    <w:rsid w:val="001E07B4"/>
    <w:rsid w:val="001E5791"/>
    <w:rsid w:val="001E7FE3"/>
    <w:rsid w:val="001F2475"/>
    <w:rsid w:val="001F38C7"/>
    <w:rsid w:val="0020676F"/>
    <w:rsid w:val="002112A9"/>
    <w:rsid w:val="0021330B"/>
    <w:rsid w:val="0021624D"/>
    <w:rsid w:val="0021794C"/>
    <w:rsid w:val="00223152"/>
    <w:rsid w:val="00226AC0"/>
    <w:rsid w:val="00227167"/>
    <w:rsid w:val="002300A8"/>
    <w:rsid w:val="00234B6C"/>
    <w:rsid w:val="00236011"/>
    <w:rsid w:val="00240958"/>
    <w:rsid w:val="002507DA"/>
    <w:rsid w:val="00253213"/>
    <w:rsid w:val="00253E41"/>
    <w:rsid w:val="00255304"/>
    <w:rsid w:val="00256DC3"/>
    <w:rsid w:val="00271BE2"/>
    <w:rsid w:val="00272037"/>
    <w:rsid w:val="00273D0D"/>
    <w:rsid w:val="00274939"/>
    <w:rsid w:val="00276E84"/>
    <w:rsid w:val="00280857"/>
    <w:rsid w:val="00280E18"/>
    <w:rsid w:val="002846D4"/>
    <w:rsid w:val="00295A68"/>
    <w:rsid w:val="002A0A99"/>
    <w:rsid w:val="002A5105"/>
    <w:rsid w:val="002A558E"/>
    <w:rsid w:val="002A5AD2"/>
    <w:rsid w:val="002A659C"/>
    <w:rsid w:val="002C30D4"/>
    <w:rsid w:val="002C5A94"/>
    <w:rsid w:val="002D4693"/>
    <w:rsid w:val="002D4977"/>
    <w:rsid w:val="002E1FFB"/>
    <w:rsid w:val="002E29AD"/>
    <w:rsid w:val="002F3834"/>
    <w:rsid w:val="002F69EF"/>
    <w:rsid w:val="003021FD"/>
    <w:rsid w:val="003073A6"/>
    <w:rsid w:val="00310112"/>
    <w:rsid w:val="00313349"/>
    <w:rsid w:val="00320BB3"/>
    <w:rsid w:val="0033164D"/>
    <w:rsid w:val="0033386A"/>
    <w:rsid w:val="00336F33"/>
    <w:rsid w:val="00337DC3"/>
    <w:rsid w:val="00345870"/>
    <w:rsid w:val="00347C53"/>
    <w:rsid w:val="0035316A"/>
    <w:rsid w:val="003545D4"/>
    <w:rsid w:val="003629F6"/>
    <w:rsid w:val="0036503B"/>
    <w:rsid w:val="00366D6C"/>
    <w:rsid w:val="0036734F"/>
    <w:rsid w:val="003751FF"/>
    <w:rsid w:val="003766B3"/>
    <w:rsid w:val="00384BF2"/>
    <w:rsid w:val="003869D5"/>
    <w:rsid w:val="003A0FBC"/>
    <w:rsid w:val="003A1A3B"/>
    <w:rsid w:val="003A1AAC"/>
    <w:rsid w:val="003A50BA"/>
    <w:rsid w:val="003A6CE7"/>
    <w:rsid w:val="003A710F"/>
    <w:rsid w:val="003C7E84"/>
    <w:rsid w:val="003D23AE"/>
    <w:rsid w:val="003E21B4"/>
    <w:rsid w:val="003E21BC"/>
    <w:rsid w:val="003E5EA1"/>
    <w:rsid w:val="003F1E60"/>
    <w:rsid w:val="003F4676"/>
    <w:rsid w:val="003F5689"/>
    <w:rsid w:val="003F6D31"/>
    <w:rsid w:val="00401F0D"/>
    <w:rsid w:val="004110CE"/>
    <w:rsid w:val="00422D4E"/>
    <w:rsid w:val="004308B8"/>
    <w:rsid w:val="004311BC"/>
    <w:rsid w:val="00444A70"/>
    <w:rsid w:val="0045011F"/>
    <w:rsid w:val="00451915"/>
    <w:rsid w:val="00452EF3"/>
    <w:rsid w:val="00456673"/>
    <w:rsid w:val="004629D4"/>
    <w:rsid w:val="00464E4F"/>
    <w:rsid w:val="00467D29"/>
    <w:rsid w:val="00470EF4"/>
    <w:rsid w:val="00471D84"/>
    <w:rsid w:val="00475896"/>
    <w:rsid w:val="0047758E"/>
    <w:rsid w:val="00480EB8"/>
    <w:rsid w:val="0048290D"/>
    <w:rsid w:val="004833CB"/>
    <w:rsid w:val="00490EA1"/>
    <w:rsid w:val="004948A0"/>
    <w:rsid w:val="00496322"/>
    <w:rsid w:val="00496DF5"/>
    <w:rsid w:val="0049739F"/>
    <w:rsid w:val="004A3C71"/>
    <w:rsid w:val="004A7877"/>
    <w:rsid w:val="004B0FEE"/>
    <w:rsid w:val="004B2527"/>
    <w:rsid w:val="004B2ECF"/>
    <w:rsid w:val="004B392A"/>
    <w:rsid w:val="004C1873"/>
    <w:rsid w:val="004C41A8"/>
    <w:rsid w:val="004C6A7A"/>
    <w:rsid w:val="004D0DC4"/>
    <w:rsid w:val="004D10F1"/>
    <w:rsid w:val="004D1452"/>
    <w:rsid w:val="004D1FE8"/>
    <w:rsid w:val="004D2A9D"/>
    <w:rsid w:val="004D2E25"/>
    <w:rsid w:val="004D35DB"/>
    <w:rsid w:val="004F0157"/>
    <w:rsid w:val="004F6957"/>
    <w:rsid w:val="004F72D4"/>
    <w:rsid w:val="004F7D8E"/>
    <w:rsid w:val="00500698"/>
    <w:rsid w:val="00502752"/>
    <w:rsid w:val="00503E9B"/>
    <w:rsid w:val="0050792F"/>
    <w:rsid w:val="005138F9"/>
    <w:rsid w:val="0051531D"/>
    <w:rsid w:val="0051766E"/>
    <w:rsid w:val="0052601A"/>
    <w:rsid w:val="005263CE"/>
    <w:rsid w:val="00526456"/>
    <w:rsid w:val="005275E8"/>
    <w:rsid w:val="0053047E"/>
    <w:rsid w:val="005406EB"/>
    <w:rsid w:val="0054429B"/>
    <w:rsid w:val="00545949"/>
    <w:rsid w:val="005520ED"/>
    <w:rsid w:val="00553F30"/>
    <w:rsid w:val="0056694F"/>
    <w:rsid w:val="005743EE"/>
    <w:rsid w:val="00584AF1"/>
    <w:rsid w:val="00587430"/>
    <w:rsid w:val="00594747"/>
    <w:rsid w:val="00594B8D"/>
    <w:rsid w:val="00596018"/>
    <w:rsid w:val="005A2E16"/>
    <w:rsid w:val="005A6C42"/>
    <w:rsid w:val="005B0FEE"/>
    <w:rsid w:val="005B15A3"/>
    <w:rsid w:val="005C12FF"/>
    <w:rsid w:val="005D27D3"/>
    <w:rsid w:val="005D5FF2"/>
    <w:rsid w:val="005E0D32"/>
    <w:rsid w:val="005E4750"/>
    <w:rsid w:val="005F710D"/>
    <w:rsid w:val="006012C1"/>
    <w:rsid w:val="00602B6D"/>
    <w:rsid w:val="0060535A"/>
    <w:rsid w:val="006076DA"/>
    <w:rsid w:val="006115EB"/>
    <w:rsid w:val="00624D49"/>
    <w:rsid w:val="00634C5B"/>
    <w:rsid w:val="00636598"/>
    <w:rsid w:val="00636DCB"/>
    <w:rsid w:val="00637004"/>
    <w:rsid w:val="006439B9"/>
    <w:rsid w:val="00644E33"/>
    <w:rsid w:val="006521F5"/>
    <w:rsid w:val="006537EB"/>
    <w:rsid w:val="00657E3F"/>
    <w:rsid w:val="00660EDF"/>
    <w:rsid w:val="0066277A"/>
    <w:rsid w:val="0067149D"/>
    <w:rsid w:val="0067180A"/>
    <w:rsid w:val="0067217D"/>
    <w:rsid w:val="00673E5C"/>
    <w:rsid w:val="00676098"/>
    <w:rsid w:val="0068150B"/>
    <w:rsid w:val="006823CF"/>
    <w:rsid w:val="00685F0D"/>
    <w:rsid w:val="00696607"/>
    <w:rsid w:val="00697417"/>
    <w:rsid w:val="006A1108"/>
    <w:rsid w:val="006A3965"/>
    <w:rsid w:val="006A3D33"/>
    <w:rsid w:val="006A6D03"/>
    <w:rsid w:val="006B10BC"/>
    <w:rsid w:val="006B58D7"/>
    <w:rsid w:val="006B7DBF"/>
    <w:rsid w:val="006C3398"/>
    <w:rsid w:val="006C760C"/>
    <w:rsid w:val="006D0F51"/>
    <w:rsid w:val="006D3B99"/>
    <w:rsid w:val="006E2EF3"/>
    <w:rsid w:val="006E4106"/>
    <w:rsid w:val="006F6D25"/>
    <w:rsid w:val="0070280B"/>
    <w:rsid w:val="00703139"/>
    <w:rsid w:val="0070534A"/>
    <w:rsid w:val="00705726"/>
    <w:rsid w:val="00706580"/>
    <w:rsid w:val="00707F2B"/>
    <w:rsid w:val="00723F7B"/>
    <w:rsid w:val="0073144D"/>
    <w:rsid w:val="0073151F"/>
    <w:rsid w:val="00733804"/>
    <w:rsid w:val="00736ECB"/>
    <w:rsid w:val="007512C9"/>
    <w:rsid w:val="00754F0E"/>
    <w:rsid w:val="00760ADF"/>
    <w:rsid w:val="007634B4"/>
    <w:rsid w:val="00765811"/>
    <w:rsid w:val="0076732B"/>
    <w:rsid w:val="0078165D"/>
    <w:rsid w:val="0078781D"/>
    <w:rsid w:val="007928D9"/>
    <w:rsid w:val="00793936"/>
    <w:rsid w:val="00794CA0"/>
    <w:rsid w:val="007A052C"/>
    <w:rsid w:val="007A120C"/>
    <w:rsid w:val="007A242D"/>
    <w:rsid w:val="007A64D9"/>
    <w:rsid w:val="007A69AB"/>
    <w:rsid w:val="007B5DA4"/>
    <w:rsid w:val="007C52CD"/>
    <w:rsid w:val="007C60C0"/>
    <w:rsid w:val="007D2368"/>
    <w:rsid w:val="007D345F"/>
    <w:rsid w:val="007D7411"/>
    <w:rsid w:val="007E2A10"/>
    <w:rsid w:val="007E4980"/>
    <w:rsid w:val="007E66A9"/>
    <w:rsid w:val="007E7AD3"/>
    <w:rsid w:val="00802FB5"/>
    <w:rsid w:val="0080724F"/>
    <w:rsid w:val="00816B18"/>
    <w:rsid w:val="008220FE"/>
    <w:rsid w:val="00822DBB"/>
    <w:rsid w:val="008257DB"/>
    <w:rsid w:val="00830923"/>
    <w:rsid w:val="0083733B"/>
    <w:rsid w:val="0086269F"/>
    <w:rsid w:val="00877DFD"/>
    <w:rsid w:val="00885E1B"/>
    <w:rsid w:val="008908B9"/>
    <w:rsid w:val="00894479"/>
    <w:rsid w:val="0089770A"/>
    <w:rsid w:val="008A76CF"/>
    <w:rsid w:val="008B1830"/>
    <w:rsid w:val="008B74D1"/>
    <w:rsid w:val="008C026B"/>
    <w:rsid w:val="008C298A"/>
    <w:rsid w:val="008C3417"/>
    <w:rsid w:val="008D65A9"/>
    <w:rsid w:val="008E245C"/>
    <w:rsid w:val="008E36F9"/>
    <w:rsid w:val="008E47D9"/>
    <w:rsid w:val="008E5CC5"/>
    <w:rsid w:val="008F2D00"/>
    <w:rsid w:val="0090363B"/>
    <w:rsid w:val="0091191D"/>
    <w:rsid w:val="009149A6"/>
    <w:rsid w:val="00916C73"/>
    <w:rsid w:val="009228A9"/>
    <w:rsid w:val="0092681B"/>
    <w:rsid w:val="009268AE"/>
    <w:rsid w:val="00931DC0"/>
    <w:rsid w:val="00933EBA"/>
    <w:rsid w:val="00935FBF"/>
    <w:rsid w:val="00942134"/>
    <w:rsid w:val="00962305"/>
    <w:rsid w:val="0097063E"/>
    <w:rsid w:val="00971356"/>
    <w:rsid w:val="009740BC"/>
    <w:rsid w:val="00984EDA"/>
    <w:rsid w:val="00995A16"/>
    <w:rsid w:val="00995BDA"/>
    <w:rsid w:val="0099790C"/>
    <w:rsid w:val="009A0925"/>
    <w:rsid w:val="009A6088"/>
    <w:rsid w:val="009B3202"/>
    <w:rsid w:val="009B4BE5"/>
    <w:rsid w:val="009B7252"/>
    <w:rsid w:val="009B7380"/>
    <w:rsid w:val="009C0BC3"/>
    <w:rsid w:val="009C508D"/>
    <w:rsid w:val="009D0F87"/>
    <w:rsid w:val="009D7DBE"/>
    <w:rsid w:val="009E1076"/>
    <w:rsid w:val="009E3DCE"/>
    <w:rsid w:val="009E3ED5"/>
    <w:rsid w:val="009F100D"/>
    <w:rsid w:val="009F12D4"/>
    <w:rsid w:val="009F4669"/>
    <w:rsid w:val="00A03A65"/>
    <w:rsid w:val="00A04A44"/>
    <w:rsid w:val="00A04ADF"/>
    <w:rsid w:val="00A156D4"/>
    <w:rsid w:val="00A15B76"/>
    <w:rsid w:val="00A24015"/>
    <w:rsid w:val="00A259A9"/>
    <w:rsid w:val="00A31AE0"/>
    <w:rsid w:val="00A35D17"/>
    <w:rsid w:val="00A37CE0"/>
    <w:rsid w:val="00A43543"/>
    <w:rsid w:val="00A51693"/>
    <w:rsid w:val="00A555DF"/>
    <w:rsid w:val="00A5684A"/>
    <w:rsid w:val="00A6266E"/>
    <w:rsid w:val="00A6476E"/>
    <w:rsid w:val="00A6484D"/>
    <w:rsid w:val="00A65D6C"/>
    <w:rsid w:val="00A73685"/>
    <w:rsid w:val="00A81B5C"/>
    <w:rsid w:val="00A8464E"/>
    <w:rsid w:val="00A847DE"/>
    <w:rsid w:val="00A8654E"/>
    <w:rsid w:val="00A870E3"/>
    <w:rsid w:val="00A94C86"/>
    <w:rsid w:val="00A9587C"/>
    <w:rsid w:val="00AA007B"/>
    <w:rsid w:val="00AA3809"/>
    <w:rsid w:val="00AA55A3"/>
    <w:rsid w:val="00AA666E"/>
    <w:rsid w:val="00AA706D"/>
    <w:rsid w:val="00AB3A50"/>
    <w:rsid w:val="00AB6F1E"/>
    <w:rsid w:val="00AC23EA"/>
    <w:rsid w:val="00AC5680"/>
    <w:rsid w:val="00AC707B"/>
    <w:rsid w:val="00AD322F"/>
    <w:rsid w:val="00AD3B7A"/>
    <w:rsid w:val="00AE2BC0"/>
    <w:rsid w:val="00AE632B"/>
    <w:rsid w:val="00B03B39"/>
    <w:rsid w:val="00B055F8"/>
    <w:rsid w:val="00B056D1"/>
    <w:rsid w:val="00B10A57"/>
    <w:rsid w:val="00B1276A"/>
    <w:rsid w:val="00B1289F"/>
    <w:rsid w:val="00B13BD5"/>
    <w:rsid w:val="00B14A5C"/>
    <w:rsid w:val="00B22B88"/>
    <w:rsid w:val="00B22D89"/>
    <w:rsid w:val="00B26CF3"/>
    <w:rsid w:val="00B40853"/>
    <w:rsid w:val="00B40DBA"/>
    <w:rsid w:val="00B44679"/>
    <w:rsid w:val="00B458B5"/>
    <w:rsid w:val="00B47260"/>
    <w:rsid w:val="00B62428"/>
    <w:rsid w:val="00B63044"/>
    <w:rsid w:val="00B648B1"/>
    <w:rsid w:val="00B77563"/>
    <w:rsid w:val="00B80ED4"/>
    <w:rsid w:val="00B81D46"/>
    <w:rsid w:val="00B83701"/>
    <w:rsid w:val="00B83888"/>
    <w:rsid w:val="00B86B69"/>
    <w:rsid w:val="00B9669D"/>
    <w:rsid w:val="00BA2B0F"/>
    <w:rsid w:val="00BA380E"/>
    <w:rsid w:val="00BA4D0C"/>
    <w:rsid w:val="00BA68EF"/>
    <w:rsid w:val="00BB519A"/>
    <w:rsid w:val="00BB5969"/>
    <w:rsid w:val="00BB70A7"/>
    <w:rsid w:val="00BC1F84"/>
    <w:rsid w:val="00BD4D0B"/>
    <w:rsid w:val="00BD7601"/>
    <w:rsid w:val="00BE0DA6"/>
    <w:rsid w:val="00BE63A6"/>
    <w:rsid w:val="00BF1D6E"/>
    <w:rsid w:val="00BF2855"/>
    <w:rsid w:val="00BF78D0"/>
    <w:rsid w:val="00C02751"/>
    <w:rsid w:val="00C10155"/>
    <w:rsid w:val="00C12A05"/>
    <w:rsid w:val="00C179BE"/>
    <w:rsid w:val="00C32321"/>
    <w:rsid w:val="00C42DE3"/>
    <w:rsid w:val="00C43B3C"/>
    <w:rsid w:val="00C61030"/>
    <w:rsid w:val="00C610A3"/>
    <w:rsid w:val="00C612F6"/>
    <w:rsid w:val="00C67D5C"/>
    <w:rsid w:val="00C81874"/>
    <w:rsid w:val="00C8755D"/>
    <w:rsid w:val="00C97A7D"/>
    <w:rsid w:val="00CA295A"/>
    <w:rsid w:val="00CA2B2A"/>
    <w:rsid w:val="00CB3E56"/>
    <w:rsid w:val="00CB6B89"/>
    <w:rsid w:val="00CD1679"/>
    <w:rsid w:val="00CD2384"/>
    <w:rsid w:val="00CE0638"/>
    <w:rsid w:val="00CE082A"/>
    <w:rsid w:val="00CF3058"/>
    <w:rsid w:val="00CF432D"/>
    <w:rsid w:val="00CF4406"/>
    <w:rsid w:val="00D1267F"/>
    <w:rsid w:val="00D13707"/>
    <w:rsid w:val="00D13CA1"/>
    <w:rsid w:val="00D22701"/>
    <w:rsid w:val="00D235BB"/>
    <w:rsid w:val="00D37D05"/>
    <w:rsid w:val="00D40EE3"/>
    <w:rsid w:val="00D410D5"/>
    <w:rsid w:val="00D4156A"/>
    <w:rsid w:val="00D4239B"/>
    <w:rsid w:val="00D44B7F"/>
    <w:rsid w:val="00D5054A"/>
    <w:rsid w:val="00D569BD"/>
    <w:rsid w:val="00D56BDD"/>
    <w:rsid w:val="00D612A5"/>
    <w:rsid w:val="00D67354"/>
    <w:rsid w:val="00D773EF"/>
    <w:rsid w:val="00D839FE"/>
    <w:rsid w:val="00D9277A"/>
    <w:rsid w:val="00D93CFF"/>
    <w:rsid w:val="00DB0B63"/>
    <w:rsid w:val="00DB2665"/>
    <w:rsid w:val="00DC20F4"/>
    <w:rsid w:val="00DC6D98"/>
    <w:rsid w:val="00DD13EB"/>
    <w:rsid w:val="00DD2703"/>
    <w:rsid w:val="00DD4896"/>
    <w:rsid w:val="00DD607E"/>
    <w:rsid w:val="00DD66BB"/>
    <w:rsid w:val="00DD6BF5"/>
    <w:rsid w:val="00DE34C7"/>
    <w:rsid w:val="00DE3E42"/>
    <w:rsid w:val="00DF036E"/>
    <w:rsid w:val="00DF1B22"/>
    <w:rsid w:val="00E056CA"/>
    <w:rsid w:val="00E11A81"/>
    <w:rsid w:val="00E12C7D"/>
    <w:rsid w:val="00E17253"/>
    <w:rsid w:val="00E204A6"/>
    <w:rsid w:val="00E23879"/>
    <w:rsid w:val="00E25B94"/>
    <w:rsid w:val="00E270FB"/>
    <w:rsid w:val="00E31D24"/>
    <w:rsid w:val="00E33A7A"/>
    <w:rsid w:val="00E41B99"/>
    <w:rsid w:val="00E43B3F"/>
    <w:rsid w:val="00E64D53"/>
    <w:rsid w:val="00E724CA"/>
    <w:rsid w:val="00E814C5"/>
    <w:rsid w:val="00EB003C"/>
    <w:rsid w:val="00EB0200"/>
    <w:rsid w:val="00EB49E3"/>
    <w:rsid w:val="00EC4665"/>
    <w:rsid w:val="00ED2CD8"/>
    <w:rsid w:val="00EE6E1C"/>
    <w:rsid w:val="00EF1702"/>
    <w:rsid w:val="00EF2C95"/>
    <w:rsid w:val="00F1200A"/>
    <w:rsid w:val="00F228D3"/>
    <w:rsid w:val="00F246F5"/>
    <w:rsid w:val="00F313E3"/>
    <w:rsid w:val="00F37CFE"/>
    <w:rsid w:val="00F4336D"/>
    <w:rsid w:val="00F46BFA"/>
    <w:rsid w:val="00F47DB6"/>
    <w:rsid w:val="00F51CBA"/>
    <w:rsid w:val="00F53903"/>
    <w:rsid w:val="00F54166"/>
    <w:rsid w:val="00F6369A"/>
    <w:rsid w:val="00F676E4"/>
    <w:rsid w:val="00F80B86"/>
    <w:rsid w:val="00F8339F"/>
    <w:rsid w:val="00F86241"/>
    <w:rsid w:val="00F95A58"/>
    <w:rsid w:val="00F97ED9"/>
    <w:rsid w:val="00FA0FD4"/>
    <w:rsid w:val="00FA5C22"/>
    <w:rsid w:val="00FB26DB"/>
    <w:rsid w:val="00FB6811"/>
    <w:rsid w:val="00FC61EB"/>
    <w:rsid w:val="00FC6DD0"/>
    <w:rsid w:val="00FC7809"/>
    <w:rsid w:val="00FD2A60"/>
    <w:rsid w:val="00FD4BF7"/>
    <w:rsid w:val="00FD59AC"/>
    <w:rsid w:val="00FE0E53"/>
    <w:rsid w:val="00FE16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539FD6"/>
  <w15:chartTrackingRefBased/>
  <w15:docId w15:val="{7CF901EE-E40F-454A-AA4A-F51340E8A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sz w:val="18"/>
    </w:rPr>
  </w:style>
  <w:style w:type="paragraph" w:styleId="Titre1">
    <w:name w:val="heading 1"/>
    <w:basedOn w:val="Normal"/>
    <w:next w:val="Normal"/>
    <w:qFormat/>
    <w:pPr>
      <w:keepNext/>
      <w:numPr>
        <w:numId w:val="1"/>
      </w:numPr>
      <w:spacing w:before="240" w:after="60"/>
      <w:outlineLvl w:val="0"/>
    </w:pPr>
    <w:rPr>
      <w:rFonts w:cs="Arial"/>
      <w:b/>
      <w:bCs/>
      <w:smallCaps/>
      <w:kern w:val="32"/>
      <w:sz w:val="22"/>
      <w:szCs w:val="24"/>
    </w:rPr>
  </w:style>
  <w:style w:type="paragraph" w:styleId="Titre2">
    <w:name w:val="heading 2"/>
    <w:aliases w:val="Titre de module,H2,Fonctionnalité,Titre 21,t2.T2,heading 2,Heading 2 Hidden,header 2,h2,Chapitre,Heading 2,Heading 21,Fonctionnalité1,Titre 211,t2.T21,Heading 22,Fonctionnalité2,Titre 212,t2.T22,Heading 23,Fonctionnalité3,Titre 213,t2.T23,tt,t2"/>
    <w:basedOn w:val="Normal"/>
    <w:next w:val="Normal"/>
    <w:qFormat/>
    <w:pPr>
      <w:keepNext/>
      <w:numPr>
        <w:ilvl w:val="1"/>
        <w:numId w:val="1"/>
      </w:numPr>
      <w:spacing w:after="60"/>
      <w:outlineLvl w:val="1"/>
    </w:pPr>
    <w:rPr>
      <w:rFonts w:cs="Arial"/>
      <w:b/>
      <w:bCs/>
      <w:szCs w:val="24"/>
    </w:rPr>
  </w:style>
  <w:style w:type="paragraph" w:styleId="Titre3">
    <w:name w:val="heading 3"/>
    <w:basedOn w:val="Normal"/>
    <w:next w:val="Normal"/>
    <w:qFormat/>
    <w:pPr>
      <w:keepNext/>
      <w:numPr>
        <w:ilvl w:val="2"/>
        <w:numId w:val="1"/>
      </w:numPr>
      <w:spacing w:before="60" w:after="60"/>
      <w:outlineLvl w:val="2"/>
    </w:pPr>
    <w:rPr>
      <w:rFonts w:cs="Arial"/>
      <w:u w:val="single"/>
    </w:rPr>
  </w:style>
  <w:style w:type="paragraph" w:styleId="Titre4">
    <w:name w:val="heading 4"/>
    <w:basedOn w:val="Normal"/>
    <w:next w:val="Normal"/>
    <w:qFormat/>
    <w:pPr>
      <w:keepNext/>
      <w:numPr>
        <w:ilvl w:val="3"/>
        <w:numId w:val="1"/>
      </w:numPr>
      <w:spacing w:before="60" w:after="60"/>
      <w:ind w:left="357" w:hanging="357"/>
      <w:outlineLvl w:val="3"/>
    </w:pPr>
  </w:style>
  <w:style w:type="paragraph" w:styleId="Titre5">
    <w:name w:val="heading 5"/>
    <w:basedOn w:val="Normal"/>
    <w:next w:val="Normal"/>
    <w:qFormat/>
    <w:pPr>
      <w:keepNext/>
      <w:numPr>
        <w:ilvl w:val="4"/>
        <w:numId w:val="1"/>
      </w:numPr>
      <w:jc w:val="center"/>
      <w:outlineLvl w:val="4"/>
    </w:pPr>
    <w:rPr>
      <w:b/>
      <w:bCs/>
      <w:sz w:val="36"/>
      <w:szCs w:val="36"/>
    </w:rPr>
  </w:style>
  <w:style w:type="paragraph" w:styleId="Titre6">
    <w:name w:val="heading 6"/>
    <w:basedOn w:val="Normal"/>
    <w:next w:val="Normal"/>
    <w:qFormat/>
    <w:pPr>
      <w:keepNext/>
      <w:numPr>
        <w:ilvl w:val="5"/>
        <w:numId w:val="1"/>
      </w:numPr>
      <w:jc w:val="center"/>
      <w:outlineLvl w:val="5"/>
    </w:pPr>
    <w:rPr>
      <w:b/>
      <w:bCs/>
      <w:sz w:val="40"/>
      <w:szCs w:val="40"/>
    </w:rPr>
  </w:style>
  <w:style w:type="paragraph" w:styleId="Titre7">
    <w:name w:val="heading 7"/>
    <w:basedOn w:val="Normal"/>
    <w:next w:val="Normal"/>
    <w:qFormat/>
    <w:pPr>
      <w:keepNext/>
      <w:numPr>
        <w:ilvl w:val="6"/>
        <w:numId w:val="1"/>
      </w:numPr>
      <w:outlineLvl w:val="6"/>
    </w:pPr>
    <w:rPr>
      <w:i/>
      <w:iCs/>
      <w:sz w:val="20"/>
    </w:rPr>
  </w:style>
  <w:style w:type="paragraph" w:styleId="Titre8">
    <w:name w:val="heading 8"/>
    <w:basedOn w:val="Normal"/>
    <w:next w:val="Normal"/>
    <w:qFormat/>
    <w:pPr>
      <w:keepNext/>
      <w:numPr>
        <w:ilvl w:val="7"/>
        <w:numId w:val="1"/>
      </w:numPr>
      <w:outlineLvl w:val="7"/>
    </w:pPr>
    <w:rPr>
      <w:b/>
      <w:bCs/>
    </w:rPr>
  </w:style>
  <w:style w:type="paragraph" w:styleId="Titre9">
    <w:name w:val="heading 9"/>
    <w:basedOn w:val="Normal"/>
    <w:next w:val="Normal"/>
    <w:qFormat/>
    <w:pPr>
      <w:keepNext/>
      <w:numPr>
        <w:ilvl w:val="8"/>
        <w:numId w:val="1"/>
      </w:numPr>
      <w:outlineLvl w:val="8"/>
    </w:pPr>
    <w:rPr>
      <w:b/>
      <w:b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customStyle="1" w:styleId="a">
    <w:basedOn w:val="Normal"/>
    <w:rsid w:val="000B4B7D"/>
    <w:pPr>
      <w:spacing w:after="160" w:line="240" w:lineRule="exact"/>
      <w:jc w:val="left"/>
    </w:pPr>
    <w:rPr>
      <w:rFonts w:ascii="Verdana" w:hAnsi="Verdana"/>
      <w:sz w:val="20"/>
      <w:lang w:val="en-US" w:eastAsia="en-US"/>
    </w:rPr>
  </w:style>
  <w:style w:type="paragraph" w:styleId="TM1">
    <w:name w:val="toc 1"/>
    <w:basedOn w:val="Normal"/>
    <w:next w:val="Normal"/>
    <w:autoRedefine/>
    <w:uiPriority w:val="39"/>
    <w:rsid w:val="00D22701"/>
    <w:pPr>
      <w:tabs>
        <w:tab w:val="left" w:pos="440"/>
        <w:tab w:val="left" w:pos="1100"/>
        <w:tab w:val="right" w:leader="dot" w:pos="10070"/>
      </w:tabs>
      <w:spacing w:after="240"/>
    </w:pPr>
    <w:rPr>
      <w:b/>
      <w:noProof/>
    </w:rPr>
  </w:style>
  <w:style w:type="paragraph" w:styleId="TM2">
    <w:name w:val="toc 2"/>
    <w:basedOn w:val="Normal"/>
    <w:next w:val="Normal"/>
    <w:autoRedefine/>
    <w:semiHidden/>
    <w:pPr>
      <w:ind w:left="220"/>
    </w:pPr>
  </w:style>
  <w:style w:type="paragraph" w:styleId="TM3">
    <w:name w:val="toc 3"/>
    <w:basedOn w:val="Normal"/>
    <w:next w:val="Normal"/>
    <w:autoRedefine/>
    <w:semiHidden/>
    <w:pPr>
      <w:ind w:left="440"/>
    </w:pPr>
    <w:rPr>
      <w:i/>
    </w:rPr>
  </w:style>
  <w:style w:type="paragraph" w:styleId="Lgende">
    <w:name w:val="caption"/>
    <w:basedOn w:val="Normal"/>
    <w:next w:val="Normal"/>
    <w:qFormat/>
    <w:rPr>
      <w:i/>
      <w:iCs/>
      <w:sz w:val="20"/>
    </w:rPr>
  </w:style>
  <w:style w:type="paragraph" w:styleId="Commentaire">
    <w:name w:val="annotation text"/>
    <w:basedOn w:val="Normal"/>
    <w:link w:val="CommentaireCar"/>
    <w:semiHidden/>
    <w:rPr>
      <w:rFonts w:ascii="Times" w:eastAsia="Times" w:hAnsi="Times" w:cs="Times"/>
      <w:sz w:val="20"/>
    </w:rPr>
  </w:style>
  <w:style w:type="paragraph" w:styleId="Textedebulles">
    <w:name w:val="Balloon Text"/>
    <w:basedOn w:val="Normal"/>
    <w:semiHidden/>
    <w:rPr>
      <w:rFonts w:ascii="Tahoma" w:hAnsi="Tahoma" w:cs="Tahoma"/>
      <w:sz w:val="16"/>
      <w:szCs w:val="16"/>
    </w:rPr>
  </w:style>
  <w:style w:type="character" w:styleId="Numrodepage">
    <w:name w:val="page number"/>
    <w:basedOn w:val="Policepardfaut"/>
  </w:style>
  <w:style w:type="paragraph" w:customStyle="1" w:styleId="Corpsdetitresimple">
    <w:name w:val="Corps de titre simple"/>
    <w:basedOn w:val="Normal"/>
    <w:pPr>
      <w:tabs>
        <w:tab w:val="left" w:pos="567"/>
      </w:tabs>
    </w:pPr>
    <w:rPr>
      <w:rFonts w:cs="Arial"/>
      <w:b/>
      <w:bCs/>
      <w:color w:val="000000"/>
      <w:sz w:val="20"/>
    </w:rPr>
  </w:style>
  <w:style w:type="paragraph" w:styleId="Corpsdetexte">
    <w:name w:val="Body Text"/>
    <w:basedOn w:val="Normal"/>
    <w:pPr>
      <w:jc w:val="center"/>
    </w:pPr>
    <w:rPr>
      <w:i/>
      <w:iCs/>
      <w:sz w:val="16"/>
      <w:szCs w:val="16"/>
    </w:rPr>
  </w:style>
  <w:style w:type="character" w:styleId="Lienhypertexte">
    <w:name w:val="Hyperlink"/>
    <w:uiPriority w:val="99"/>
    <w:rPr>
      <w:color w:val="0000FF"/>
      <w:u w:val="single"/>
    </w:rPr>
  </w:style>
  <w:style w:type="paragraph" w:styleId="Corpsdetexte2">
    <w:name w:val="Body Text 2"/>
    <w:basedOn w:val="Normal"/>
    <w:rPr>
      <w:color w:val="FF0000"/>
    </w:rPr>
  </w:style>
  <w:style w:type="paragraph" w:styleId="Corpsdetexte3">
    <w:name w:val="Body Text 3"/>
    <w:basedOn w:val="Normal"/>
    <w:rPr>
      <w:rFonts w:cs="Arial"/>
    </w:rPr>
  </w:style>
  <w:style w:type="paragraph" w:styleId="Retraitcorpsdetexte">
    <w:name w:val="Body Text Indent"/>
    <w:basedOn w:val="Normal"/>
    <w:pPr>
      <w:ind w:left="284" w:hanging="284"/>
    </w:pPr>
    <w:rPr>
      <w:rFonts w:cs="Arial"/>
      <w:szCs w:val="18"/>
    </w:rPr>
  </w:style>
  <w:style w:type="character" w:styleId="Accentuation">
    <w:name w:val="Emphasis"/>
    <w:qFormat/>
    <w:rsid w:val="000E6629"/>
    <w:rPr>
      <w:i/>
      <w:iCs/>
    </w:rPr>
  </w:style>
  <w:style w:type="character" w:styleId="Marquedecommentaire">
    <w:name w:val="annotation reference"/>
    <w:semiHidden/>
    <w:rsid w:val="00CA295A"/>
    <w:rPr>
      <w:sz w:val="16"/>
      <w:szCs w:val="16"/>
    </w:rPr>
  </w:style>
  <w:style w:type="paragraph" w:styleId="Objetducommentaire">
    <w:name w:val="annotation subject"/>
    <w:basedOn w:val="Commentaire"/>
    <w:next w:val="Commentaire"/>
    <w:semiHidden/>
    <w:rsid w:val="00CA295A"/>
    <w:rPr>
      <w:rFonts w:ascii="Arial" w:eastAsia="Times New Roman" w:hAnsi="Arial" w:cs="Times New Roman"/>
      <w:b/>
      <w:bCs/>
    </w:rPr>
  </w:style>
  <w:style w:type="character" w:styleId="Lienhypertextesuivivisit">
    <w:name w:val="FollowedHyperlink"/>
    <w:rsid w:val="005D27D3"/>
    <w:rPr>
      <w:color w:val="800080"/>
      <w:u w:val="single"/>
    </w:rPr>
  </w:style>
  <w:style w:type="character" w:customStyle="1" w:styleId="CommentaireCar">
    <w:name w:val="Commentaire Car"/>
    <w:link w:val="Commentaire"/>
    <w:semiHidden/>
    <w:rsid w:val="004308B8"/>
    <w:rPr>
      <w:rFonts w:ascii="Times" w:eastAsia="Times" w:hAnsi="Times" w:cs="Times"/>
    </w:rPr>
  </w:style>
  <w:style w:type="paragraph" w:customStyle="1" w:styleId="Style1">
    <w:name w:val="Style1"/>
    <w:basedOn w:val="Normal"/>
    <w:rsid w:val="004308B8"/>
    <w:pPr>
      <w:jc w:val="left"/>
    </w:pPr>
    <w:rPr>
      <w:rFonts w:cs="Arial"/>
      <w:sz w:val="24"/>
      <w:szCs w:val="24"/>
    </w:rPr>
  </w:style>
  <w:style w:type="paragraph" w:styleId="Retraitcorpsdetexte3">
    <w:name w:val="Body Text Indent 3"/>
    <w:basedOn w:val="Normal"/>
    <w:link w:val="Retraitcorpsdetexte3Car"/>
    <w:rsid w:val="000517B5"/>
    <w:pPr>
      <w:spacing w:after="120"/>
      <w:ind w:left="283"/>
    </w:pPr>
    <w:rPr>
      <w:sz w:val="16"/>
      <w:szCs w:val="16"/>
    </w:rPr>
  </w:style>
  <w:style w:type="character" w:customStyle="1" w:styleId="Retraitcorpsdetexte3Car">
    <w:name w:val="Retrait corps de texte 3 Car"/>
    <w:link w:val="Retraitcorpsdetexte3"/>
    <w:rsid w:val="000517B5"/>
    <w:rPr>
      <w:rFonts w:ascii="Arial" w:hAnsi="Arial"/>
      <w:sz w:val="16"/>
      <w:szCs w:val="16"/>
    </w:rPr>
  </w:style>
  <w:style w:type="character" w:customStyle="1" w:styleId="PieddepageCar">
    <w:name w:val="Pied de page Car"/>
    <w:link w:val="Pieddepage"/>
    <w:rsid w:val="000517B5"/>
    <w:rPr>
      <w:rFonts w:ascii="Arial" w:hAnsi="Arial"/>
      <w:sz w:val="18"/>
    </w:rPr>
  </w:style>
  <w:style w:type="paragraph" w:styleId="Listepuces">
    <w:name w:val="List Bullet"/>
    <w:basedOn w:val="Normal"/>
    <w:unhideWhenUsed/>
    <w:rsid w:val="000517B5"/>
    <w:pPr>
      <w:numPr>
        <w:numId w:val="12"/>
      </w:numPr>
      <w:contextualSpacing/>
      <w:jc w:val="left"/>
    </w:pPr>
    <w:rPr>
      <w:rFonts w:ascii="Times New Roman" w:hAnsi="Times New Roman"/>
      <w:sz w:val="24"/>
      <w:szCs w:val="24"/>
    </w:rPr>
  </w:style>
  <w:style w:type="paragraph" w:styleId="Retraitcorpsdetexte2">
    <w:name w:val="Body Text Indent 2"/>
    <w:basedOn w:val="Normal"/>
    <w:link w:val="Retraitcorpsdetexte2Car"/>
    <w:rsid w:val="004110CE"/>
    <w:pPr>
      <w:spacing w:after="120" w:line="480" w:lineRule="auto"/>
      <w:ind w:left="283"/>
    </w:pPr>
  </w:style>
  <w:style w:type="character" w:customStyle="1" w:styleId="Retraitcorpsdetexte2Car">
    <w:name w:val="Retrait corps de texte 2 Car"/>
    <w:link w:val="Retraitcorpsdetexte2"/>
    <w:rsid w:val="004110CE"/>
    <w:rPr>
      <w:rFonts w:ascii="Arial" w:hAnsi="Arial"/>
      <w:sz w:val="18"/>
    </w:rPr>
  </w:style>
  <w:style w:type="paragraph" w:customStyle="1" w:styleId="article">
    <w:name w:val="article"/>
    <w:basedOn w:val="Normal"/>
    <w:rsid w:val="004110CE"/>
    <w:pPr>
      <w:numPr>
        <w:numId w:val="14"/>
      </w:numPr>
      <w:jc w:val="left"/>
    </w:pPr>
    <w:rPr>
      <w:rFonts w:ascii="New York" w:hAnsi="New York"/>
      <w:sz w:val="24"/>
      <w:szCs w:val="24"/>
    </w:rPr>
  </w:style>
  <w:style w:type="paragraph" w:styleId="Rvision">
    <w:name w:val="Revision"/>
    <w:hidden/>
    <w:uiPriority w:val="99"/>
    <w:semiHidden/>
    <w:rsid w:val="00685F0D"/>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69902">
      <w:bodyDiv w:val="1"/>
      <w:marLeft w:val="0"/>
      <w:marRight w:val="0"/>
      <w:marTop w:val="0"/>
      <w:marBottom w:val="0"/>
      <w:divBdr>
        <w:top w:val="none" w:sz="0" w:space="0" w:color="auto"/>
        <w:left w:val="none" w:sz="0" w:space="0" w:color="auto"/>
        <w:bottom w:val="none" w:sz="0" w:space="0" w:color="auto"/>
        <w:right w:val="none" w:sz="0" w:space="0" w:color="auto"/>
      </w:divBdr>
    </w:div>
    <w:div w:id="115951920">
      <w:bodyDiv w:val="1"/>
      <w:marLeft w:val="0"/>
      <w:marRight w:val="0"/>
      <w:marTop w:val="0"/>
      <w:marBottom w:val="0"/>
      <w:divBdr>
        <w:top w:val="none" w:sz="0" w:space="0" w:color="auto"/>
        <w:left w:val="none" w:sz="0" w:space="0" w:color="auto"/>
        <w:bottom w:val="none" w:sz="0" w:space="0" w:color="auto"/>
        <w:right w:val="none" w:sz="0" w:space="0" w:color="auto"/>
      </w:divBdr>
    </w:div>
    <w:div w:id="162866329">
      <w:bodyDiv w:val="1"/>
      <w:marLeft w:val="0"/>
      <w:marRight w:val="0"/>
      <w:marTop w:val="0"/>
      <w:marBottom w:val="0"/>
      <w:divBdr>
        <w:top w:val="none" w:sz="0" w:space="0" w:color="auto"/>
        <w:left w:val="none" w:sz="0" w:space="0" w:color="auto"/>
        <w:bottom w:val="none" w:sz="0" w:space="0" w:color="auto"/>
        <w:right w:val="none" w:sz="0" w:space="0" w:color="auto"/>
      </w:divBdr>
    </w:div>
    <w:div w:id="241841496">
      <w:bodyDiv w:val="1"/>
      <w:marLeft w:val="0"/>
      <w:marRight w:val="0"/>
      <w:marTop w:val="0"/>
      <w:marBottom w:val="0"/>
      <w:divBdr>
        <w:top w:val="none" w:sz="0" w:space="0" w:color="auto"/>
        <w:left w:val="none" w:sz="0" w:space="0" w:color="auto"/>
        <w:bottom w:val="none" w:sz="0" w:space="0" w:color="auto"/>
        <w:right w:val="none" w:sz="0" w:space="0" w:color="auto"/>
      </w:divBdr>
    </w:div>
    <w:div w:id="458764589">
      <w:bodyDiv w:val="1"/>
      <w:marLeft w:val="0"/>
      <w:marRight w:val="0"/>
      <w:marTop w:val="0"/>
      <w:marBottom w:val="0"/>
      <w:divBdr>
        <w:top w:val="none" w:sz="0" w:space="0" w:color="auto"/>
        <w:left w:val="none" w:sz="0" w:space="0" w:color="auto"/>
        <w:bottom w:val="none" w:sz="0" w:space="0" w:color="auto"/>
        <w:right w:val="none" w:sz="0" w:space="0" w:color="auto"/>
      </w:divBdr>
    </w:div>
    <w:div w:id="709107062">
      <w:bodyDiv w:val="1"/>
      <w:marLeft w:val="0"/>
      <w:marRight w:val="0"/>
      <w:marTop w:val="0"/>
      <w:marBottom w:val="0"/>
      <w:divBdr>
        <w:top w:val="none" w:sz="0" w:space="0" w:color="auto"/>
        <w:left w:val="none" w:sz="0" w:space="0" w:color="auto"/>
        <w:bottom w:val="none" w:sz="0" w:space="0" w:color="auto"/>
        <w:right w:val="none" w:sz="0" w:space="0" w:color="auto"/>
      </w:divBdr>
    </w:div>
    <w:div w:id="796146559">
      <w:bodyDiv w:val="1"/>
      <w:marLeft w:val="0"/>
      <w:marRight w:val="0"/>
      <w:marTop w:val="0"/>
      <w:marBottom w:val="0"/>
      <w:divBdr>
        <w:top w:val="none" w:sz="0" w:space="0" w:color="auto"/>
        <w:left w:val="none" w:sz="0" w:space="0" w:color="auto"/>
        <w:bottom w:val="none" w:sz="0" w:space="0" w:color="auto"/>
        <w:right w:val="none" w:sz="0" w:space="0" w:color="auto"/>
      </w:divBdr>
    </w:div>
    <w:div w:id="1282417719">
      <w:bodyDiv w:val="1"/>
      <w:marLeft w:val="0"/>
      <w:marRight w:val="0"/>
      <w:marTop w:val="0"/>
      <w:marBottom w:val="0"/>
      <w:divBdr>
        <w:top w:val="none" w:sz="0" w:space="0" w:color="auto"/>
        <w:left w:val="none" w:sz="0" w:space="0" w:color="auto"/>
        <w:bottom w:val="none" w:sz="0" w:space="0" w:color="auto"/>
        <w:right w:val="none" w:sz="0" w:space="0" w:color="auto"/>
      </w:divBdr>
    </w:div>
    <w:div w:id="1305312285">
      <w:bodyDiv w:val="1"/>
      <w:marLeft w:val="0"/>
      <w:marRight w:val="0"/>
      <w:marTop w:val="0"/>
      <w:marBottom w:val="0"/>
      <w:divBdr>
        <w:top w:val="none" w:sz="0" w:space="0" w:color="auto"/>
        <w:left w:val="none" w:sz="0" w:space="0" w:color="auto"/>
        <w:bottom w:val="none" w:sz="0" w:space="0" w:color="auto"/>
        <w:right w:val="none" w:sz="0" w:space="0" w:color="auto"/>
      </w:divBdr>
    </w:div>
    <w:div w:id="1331525477">
      <w:bodyDiv w:val="1"/>
      <w:marLeft w:val="0"/>
      <w:marRight w:val="0"/>
      <w:marTop w:val="0"/>
      <w:marBottom w:val="0"/>
      <w:divBdr>
        <w:top w:val="none" w:sz="0" w:space="0" w:color="auto"/>
        <w:left w:val="none" w:sz="0" w:space="0" w:color="auto"/>
        <w:bottom w:val="none" w:sz="0" w:space="0" w:color="auto"/>
        <w:right w:val="none" w:sz="0" w:space="0" w:color="auto"/>
      </w:divBdr>
    </w:div>
    <w:div w:id="1347558329">
      <w:bodyDiv w:val="1"/>
      <w:marLeft w:val="0"/>
      <w:marRight w:val="0"/>
      <w:marTop w:val="0"/>
      <w:marBottom w:val="0"/>
      <w:divBdr>
        <w:top w:val="none" w:sz="0" w:space="0" w:color="auto"/>
        <w:left w:val="none" w:sz="0" w:space="0" w:color="auto"/>
        <w:bottom w:val="none" w:sz="0" w:space="0" w:color="auto"/>
        <w:right w:val="none" w:sz="0" w:space="0" w:color="auto"/>
      </w:divBdr>
    </w:div>
    <w:div w:id="1363555753">
      <w:bodyDiv w:val="1"/>
      <w:marLeft w:val="0"/>
      <w:marRight w:val="0"/>
      <w:marTop w:val="0"/>
      <w:marBottom w:val="0"/>
      <w:divBdr>
        <w:top w:val="none" w:sz="0" w:space="0" w:color="auto"/>
        <w:left w:val="none" w:sz="0" w:space="0" w:color="auto"/>
        <w:bottom w:val="none" w:sz="0" w:space="0" w:color="auto"/>
        <w:right w:val="none" w:sz="0" w:space="0" w:color="auto"/>
      </w:divBdr>
    </w:div>
    <w:div w:id="1556508020">
      <w:bodyDiv w:val="1"/>
      <w:marLeft w:val="0"/>
      <w:marRight w:val="0"/>
      <w:marTop w:val="0"/>
      <w:marBottom w:val="0"/>
      <w:divBdr>
        <w:top w:val="none" w:sz="0" w:space="0" w:color="auto"/>
        <w:left w:val="none" w:sz="0" w:space="0" w:color="auto"/>
        <w:bottom w:val="none" w:sz="0" w:space="0" w:color="auto"/>
        <w:right w:val="none" w:sz="0" w:space="0" w:color="auto"/>
      </w:divBdr>
    </w:div>
    <w:div w:id="1828789052">
      <w:bodyDiv w:val="1"/>
      <w:marLeft w:val="0"/>
      <w:marRight w:val="0"/>
      <w:marTop w:val="0"/>
      <w:marBottom w:val="0"/>
      <w:divBdr>
        <w:top w:val="none" w:sz="0" w:space="0" w:color="auto"/>
        <w:left w:val="none" w:sz="0" w:space="0" w:color="auto"/>
        <w:bottom w:val="none" w:sz="0" w:space="0" w:color="auto"/>
        <w:right w:val="none" w:sz="0" w:space="0" w:color="auto"/>
      </w:divBdr>
    </w:div>
    <w:div w:id="1836257821">
      <w:bodyDiv w:val="1"/>
      <w:marLeft w:val="0"/>
      <w:marRight w:val="0"/>
      <w:marTop w:val="0"/>
      <w:marBottom w:val="0"/>
      <w:divBdr>
        <w:top w:val="none" w:sz="0" w:space="0" w:color="auto"/>
        <w:left w:val="none" w:sz="0" w:space="0" w:color="auto"/>
        <w:bottom w:val="none" w:sz="0" w:space="0" w:color="auto"/>
        <w:right w:val="none" w:sz="0" w:space="0" w:color="auto"/>
      </w:divBdr>
    </w:div>
    <w:div w:id="1889756435">
      <w:bodyDiv w:val="1"/>
      <w:marLeft w:val="0"/>
      <w:marRight w:val="0"/>
      <w:marTop w:val="0"/>
      <w:marBottom w:val="0"/>
      <w:divBdr>
        <w:top w:val="none" w:sz="0" w:space="0" w:color="auto"/>
        <w:left w:val="none" w:sz="0" w:space="0" w:color="auto"/>
        <w:bottom w:val="none" w:sz="0" w:space="0" w:color="auto"/>
        <w:right w:val="none" w:sz="0" w:space="0" w:color="auto"/>
      </w:divBdr>
    </w:div>
    <w:div w:id="1898391124">
      <w:bodyDiv w:val="1"/>
      <w:marLeft w:val="0"/>
      <w:marRight w:val="0"/>
      <w:marTop w:val="0"/>
      <w:marBottom w:val="0"/>
      <w:divBdr>
        <w:top w:val="none" w:sz="0" w:space="0" w:color="auto"/>
        <w:left w:val="none" w:sz="0" w:space="0" w:color="auto"/>
        <w:bottom w:val="none" w:sz="0" w:space="0" w:color="auto"/>
        <w:right w:val="none" w:sz="0" w:space="0" w:color="auto"/>
      </w:divBdr>
    </w:div>
    <w:div w:id="2026593972">
      <w:bodyDiv w:val="1"/>
      <w:marLeft w:val="0"/>
      <w:marRight w:val="0"/>
      <w:marTop w:val="0"/>
      <w:marBottom w:val="0"/>
      <w:divBdr>
        <w:top w:val="none" w:sz="0" w:space="0" w:color="auto"/>
        <w:left w:val="none" w:sz="0" w:space="0" w:color="auto"/>
        <w:bottom w:val="none" w:sz="0" w:space="0" w:color="auto"/>
        <w:right w:val="none" w:sz="0" w:space="0" w:color="auto"/>
      </w:divBdr>
    </w:div>
    <w:div w:id="2064715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2BCAE-AC3C-4D13-A292-A1450E315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731</Words>
  <Characters>4022</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Maintenance</vt:lpstr>
    </vt:vector>
  </TitlesOfParts>
  <Company>IFP Energies Nouvelles</Company>
  <LinksUpToDate>false</LinksUpToDate>
  <CharactersWithSpaces>4744</CharactersWithSpaces>
  <SharedDoc>false</SharedDoc>
  <HLinks>
    <vt:vector size="138" baseType="variant">
      <vt:variant>
        <vt:i4>2752532</vt:i4>
      </vt:variant>
      <vt:variant>
        <vt:i4>135</vt:i4>
      </vt:variant>
      <vt:variant>
        <vt:i4>0</vt:i4>
      </vt:variant>
      <vt:variant>
        <vt:i4>5</vt:i4>
      </vt:variant>
      <vt:variant>
        <vt:lpwstr>https://www.ifpenergiesnouvelles.fr/sites/ifpen.fr/files/inline-images/IFPEN/VF_Code-de-conduite-anticorruption-IFPEN.pdf</vt:lpwstr>
      </vt:variant>
      <vt:variant>
        <vt:lpwstr/>
      </vt:variant>
      <vt:variant>
        <vt:i4>5177466</vt:i4>
      </vt:variant>
      <vt:variant>
        <vt:i4>129</vt:i4>
      </vt:variant>
      <vt:variant>
        <vt:i4>0</vt:i4>
      </vt:variant>
      <vt:variant>
        <vt:i4>5</vt:i4>
      </vt:variant>
      <vt:variant>
        <vt:lpwstr>mailto:FACTURES_FRSS_IFPEN@ifpen.fr</vt:lpwstr>
      </vt:variant>
      <vt:variant>
        <vt:lpwstr/>
      </vt:variant>
      <vt:variant>
        <vt:i4>1900600</vt:i4>
      </vt:variant>
      <vt:variant>
        <vt:i4>122</vt:i4>
      </vt:variant>
      <vt:variant>
        <vt:i4>0</vt:i4>
      </vt:variant>
      <vt:variant>
        <vt:i4>5</vt:i4>
      </vt:variant>
      <vt:variant>
        <vt:lpwstr/>
      </vt:variant>
      <vt:variant>
        <vt:lpwstr>_Toc532993638</vt:lpwstr>
      </vt:variant>
      <vt:variant>
        <vt:i4>1900600</vt:i4>
      </vt:variant>
      <vt:variant>
        <vt:i4>116</vt:i4>
      </vt:variant>
      <vt:variant>
        <vt:i4>0</vt:i4>
      </vt:variant>
      <vt:variant>
        <vt:i4>5</vt:i4>
      </vt:variant>
      <vt:variant>
        <vt:lpwstr/>
      </vt:variant>
      <vt:variant>
        <vt:lpwstr>_Toc532993637</vt:lpwstr>
      </vt:variant>
      <vt:variant>
        <vt:i4>1900600</vt:i4>
      </vt:variant>
      <vt:variant>
        <vt:i4>110</vt:i4>
      </vt:variant>
      <vt:variant>
        <vt:i4>0</vt:i4>
      </vt:variant>
      <vt:variant>
        <vt:i4>5</vt:i4>
      </vt:variant>
      <vt:variant>
        <vt:lpwstr/>
      </vt:variant>
      <vt:variant>
        <vt:lpwstr>_Toc532993636</vt:lpwstr>
      </vt:variant>
      <vt:variant>
        <vt:i4>1900600</vt:i4>
      </vt:variant>
      <vt:variant>
        <vt:i4>104</vt:i4>
      </vt:variant>
      <vt:variant>
        <vt:i4>0</vt:i4>
      </vt:variant>
      <vt:variant>
        <vt:i4>5</vt:i4>
      </vt:variant>
      <vt:variant>
        <vt:lpwstr/>
      </vt:variant>
      <vt:variant>
        <vt:lpwstr>_Toc532993635</vt:lpwstr>
      </vt:variant>
      <vt:variant>
        <vt:i4>1900600</vt:i4>
      </vt:variant>
      <vt:variant>
        <vt:i4>98</vt:i4>
      </vt:variant>
      <vt:variant>
        <vt:i4>0</vt:i4>
      </vt:variant>
      <vt:variant>
        <vt:i4>5</vt:i4>
      </vt:variant>
      <vt:variant>
        <vt:lpwstr/>
      </vt:variant>
      <vt:variant>
        <vt:lpwstr>_Toc532993634</vt:lpwstr>
      </vt:variant>
      <vt:variant>
        <vt:i4>1900600</vt:i4>
      </vt:variant>
      <vt:variant>
        <vt:i4>92</vt:i4>
      </vt:variant>
      <vt:variant>
        <vt:i4>0</vt:i4>
      </vt:variant>
      <vt:variant>
        <vt:i4>5</vt:i4>
      </vt:variant>
      <vt:variant>
        <vt:lpwstr/>
      </vt:variant>
      <vt:variant>
        <vt:lpwstr>_Toc532993633</vt:lpwstr>
      </vt:variant>
      <vt:variant>
        <vt:i4>1900600</vt:i4>
      </vt:variant>
      <vt:variant>
        <vt:i4>86</vt:i4>
      </vt:variant>
      <vt:variant>
        <vt:i4>0</vt:i4>
      </vt:variant>
      <vt:variant>
        <vt:i4>5</vt:i4>
      </vt:variant>
      <vt:variant>
        <vt:lpwstr/>
      </vt:variant>
      <vt:variant>
        <vt:lpwstr>_Toc532993632</vt:lpwstr>
      </vt:variant>
      <vt:variant>
        <vt:i4>1900600</vt:i4>
      </vt:variant>
      <vt:variant>
        <vt:i4>80</vt:i4>
      </vt:variant>
      <vt:variant>
        <vt:i4>0</vt:i4>
      </vt:variant>
      <vt:variant>
        <vt:i4>5</vt:i4>
      </vt:variant>
      <vt:variant>
        <vt:lpwstr/>
      </vt:variant>
      <vt:variant>
        <vt:lpwstr>_Toc532993631</vt:lpwstr>
      </vt:variant>
      <vt:variant>
        <vt:i4>1900600</vt:i4>
      </vt:variant>
      <vt:variant>
        <vt:i4>74</vt:i4>
      </vt:variant>
      <vt:variant>
        <vt:i4>0</vt:i4>
      </vt:variant>
      <vt:variant>
        <vt:i4>5</vt:i4>
      </vt:variant>
      <vt:variant>
        <vt:lpwstr/>
      </vt:variant>
      <vt:variant>
        <vt:lpwstr>_Toc532993630</vt:lpwstr>
      </vt:variant>
      <vt:variant>
        <vt:i4>1835064</vt:i4>
      </vt:variant>
      <vt:variant>
        <vt:i4>68</vt:i4>
      </vt:variant>
      <vt:variant>
        <vt:i4>0</vt:i4>
      </vt:variant>
      <vt:variant>
        <vt:i4>5</vt:i4>
      </vt:variant>
      <vt:variant>
        <vt:lpwstr/>
      </vt:variant>
      <vt:variant>
        <vt:lpwstr>_Toc532993629</vt:lpwstr>
      </vt:variant>
      <vt:variant>
        <vt:i4>1835064</vt:i4>
      </vt:variant>
      <vt:variant>
        <vt:i4>62</vt:i4>
      </vt:variant>
      <vt:variant>
        <vt:i4>0</vt:i4>
      </vt:variant>
      <vt:variant>
        <vt:i4>5</vt:i4>
      </vt:variant>
      <vt:variant>
        <vt:lpwstr/>
      </vt:variant>
      <vt:variant>
        <vt:lpwstr>_Toc532993628</vt:lpwstr>
      </vt:variant>
      <vt:variant>
        <vt:i4>1835064</vt:i4>
      </vt:variant>
      <vt:variant>
        <vt:i4>56</vt:i4>
      </vt:variant>
      <vt:variant>
        <vt:i4>0</vt:i4>
      </vt:variant>
      <vt:variant>
        <vt:i4>5</vt:i4>
      </vt:variant>
      <vt:variant>
        <vt:lpwstr/>
      </vt:variant>
      <vt:variant>
        <vt:lpwstr>_Toc532993627</vt:lpwstr>
      </vt:variant>
      <vt:variant>
        <vt:i4>1835064</vt:i4>
      </vt:variant>
      <vt:variant>
        <vt:i4>50</vt:i4>
      </vt:variant>
      <vt:variant>
        <vt:i4>0</vt:i4>
      </vt:variant>
      <vt:variant>
        <vt:i4>5</vt:i4>
      </vt:variant>
      <vt:variant>
        <vt:lpwstr/>
      </vt:variant>
      <vt:variant>
        <vt:lpwstr>_Toc532993626</vt:lpwstr>
      </vt:variant>
      <vt:variant>
        <vt:i4>1835064</vt:i4>
      </vt:variant>
      <vt:variant>
        <vt:i4>44</vt:i4>
      </vt:variant>
      <vt:variant>
        <vt:i4>0</vt:i4>
      </vt:variant>
      <vt:variant>
        <vt:i4>5</vt:i4>
      </vt:variant>
      <vt:variant>
        <vt:lpwstr/>
      </vt:variant>
      <vt:variant>
        <vt:lpwstr>_Toc532993625</vt:lpwstr>
      </vt:variant>
      <vt:variant>
        <vt:i4>1835064</vt:i4>
      </vt:variant>
      <vt:variant>
        <vt:i4>38</vt:i4>
      </vt:variant>
      <vt:variant>
        <vt:i4>0</vt:i4>
      </vt:variant>
      <vt:variant>
        <vt:i4>5</vt:i4>
      </vt:variant>
      <vt:variant>
        <vt:lpwstr/>
      </vt:variant>
      <vt:variant>
        <vt:lpwstr>_Toc532993624</vt:lpwstr>
      </vt:variant>
      <vt:variant>
        <vt:i4>1835064</vt:i4>
      </vt:variant>
      <vt:variant>
        <vt:i4>32</vt:i4>
      </vt:variant>
      <vt:variant>
        <vt:i4>0</vt:i4>
      </vt:variant>
      <vt:variant>
        <vt:i4>5</vt:i4>
      </vt:variant>
      <vt:variant>
        <vt:lpwstr/>
      </vt:variant>
      <vt:variant>
        <vt:lpwstr>_Toc532993623</vt:lpwstr>
      </vt:variant>
      <vt:variant>
        <vt:i4>1835064</vt:i4>
      </vt:variant>
      <vt:variant>
        <vt:i4>26</vt:i4>
      </vt:variant>
      <vt:variant>
        <vt:i4>0</vt:i4>
      </vt:variant>
      <vt:variant>
        <vt:i4>5</vt:i4>
      </vt:variant>
      <vt:variant>
        <vt:lpwstr/>
      </vt:variant>
      <vt:variant>
        <vt:lpwstr>_Toc532993622</vt:lpwstr>
      </vt:variant>
      <vt:variant>
        <vt:i4>1835064</vt:i4>
      </vt:variant>
      <vt:variant>
        <vt:i4>20</vt:i4>
      </vt:variant>
      <vt:variant>
        <vt:i4>0</vt:i4>
      </vt:variant>
      <vt:variant>
        <vt:i4>5</vt:i4>
      </vt:variant>
      <vt:variant>
        <vt:lpwstr/>
      </vt:variant>
      <vt:variant>
        <vt:lpwstr>_Toc532993621</vt:lpwstr>
      </vt:variant>
      <vt:variant>
        <vt:i4>1835064</vt:i4>
      </vt:variant>
      <vt:variant>
        <vt:i4>14</vt:i4>
      </vt:variant>
      <vt:variant>
        <vt:i4>0</vt:i4>
      </vt:variant>
      <vt:variant>
        <vt:i4>5</vt:i4>
      </vt:variant>
      <vt:variant>
        <vt:lpwstr/>
      </vt:variant>
      <vt:variant>
        <vt:lpwstr>_Toc532993620</vt:lpwstr>
      </vt:variant>
      <vt:variant>
        <vt:i4>2031672</vt:i4>
      </vt:variant>
      <vt:variant>
        <vt:i4>8</vt:i4>
      </vt:variant>
      <vt:variant>
        <vt:i4>0</vt:i4>
      </vt:variant>
      <vt:variant>
        <vt:i4>5</vt:i4>
      </vt:variant>
      <vt:variant>
        <vt:lpwstr/>
      </vt:variant>
      <vt:variant>
        <vt:lpwstr>_Toc532993619</vt:lpwstr>
      </vt:variant>
      <vt:variant>
        <vt:i4>2031672</vt:i4>
      </vt:variant>
      <vt:variant>
        <vt:i4>2</vt:i4>
      </vt:variant>
      <vt:variant>
        <vt:i4>0</vt:i4>
      </vt:variant>
      <vt:variant>
        <vt:i4>5</vt:i4>
      </vt:variant>
      <vt:variant>
        <vt:lpwstr/>
      </vt:variant>
      <vt:variant>
        <vt:lpwstr>_Toc532993618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Maintenance</dc:title>
  <dc:subject/>
  <dc:creator>IFPEN</dc:creator>
  <cp:keywords/>
  <cp:lastModifiedBy>MEZZAI Camellia</cp:lastModifiedBy>
  <cp:revision>4</cp:revision>
  <cp:lastPrinted>2019-01-08T15:17:00Z</cp:lastPrinted>
  <dcterms:created xsi:type="dcterms:W3CDTF">2025-03-07T14:55:00Z</dcterms:created>
  <dcterms:modified xsi:type="dcterms:W3CDTF">2025-03-10T14:21:00Z</dcterms:modified>
</cp:coreProperties>
</file>