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C62D1" w:rsidRDefault="00E42FF3" w:rsidP="005C62D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EFE5F85" w14:textId="0E258E3C" w:rsidR="00B52136" w:rsidRPr="00B52136" w:rsidRDefault="00B52136" w:rsidP="00B52136">
      <w:pPr>
        <w:jc w:val="center"/>
        <w:rPr>
          <w:rFonts w:ascii="Arial Narrow" w:hAnsi="Arial Narrow"/>
          <w:sz w:val="28"/>
          <w:szCs w:val="28"/>
        </w:rPr>
      </w:pPr>
      <w:r w:rsidRPr="00B52136">
        <w:rPr>
          <w:rFonts w:ascii="Arial Narrow" w:hAnsi="Arial Narrow"/>
          <w:sz w:val="28"/>
          <w:szCs w:val="28"/>
        </w:rPr>
        <w:t xml:space="preserve">Accord-cadre de prestations de location, hébergement, développement et de </w:t>
      </w:r>
      <w:proofErr w:type="gramStart"/>
      <w:r w:rsidRPr="00B52136">
        <w:rPr>
          <w:rFonts w:ascii="Arial Narrow" w:hAnsi="Arial Narrow"/>
          <w:sz w:val="28"/>
          <w:szCs w:val="28"/>
        </w:rPr>
        <w:t>maintenance</w:t>
      </w:r>
      <w:proofErr w:type="gramEnd"/>
      <w:r w:rsidRPr="00B52136">
        <w:rPr>
          <w:rFonts w:ascii="Arial Narrow" w:hAnsi="Arial Narrow"/>
          <w:sz w:val="28"/>
          <w:szCs w:val="28"/>
        </w:rPr>
        <w:t xml:space="preserve"> des livres d’or numériques de l'</w:t>
      </w:r>
      <w:r w:rsidR="00C331EE">
        <w:rPr>
          <w:rFonts w:ascii="Arial Narrow" w:hAnsi="Arial Narrow"/>
          <w:sz w:val="28"/>
          <w:szCs w:val="28"/>
        </w:rPr>
        <w:t>EPMO-VGE</w:t>
      </w:r>
    </w:p>
    <w:p w14:paraId="511F355C" w14:textId="77777777" w:rsidR="004228D5" w:rsidRPr="00461754" w:rsidRDefault="004228D5" w:rsidP="004228D5">
      <w:pPr>
        <w:jc w:val="center"/>
        <w:rPr>
          <w:b/>
          <w:bCs/>
          <w:sz w:val="28"/>
          <w:szCs w:val="28"/>
        </w:rPr>
      </w:pPr>
    </w:p>
    <w:p w14:paraId="67FA4948" w14:textId="2A14888E" w:rsidR="00963FB8" w:rsidRPr="00546FE0" w:rsidRDefault="00963FB8" w:rsidP="00963FB8">
      <w:pPr>
        <w:jc w:val="center"/>
        <w:rPr>
          <w:rFonts w:ascii="Arial Narrow" w:hAnsi="Arial Narrow"/>
          <w:sz w:val="28"/>
          <w:szCs w:val="28"/>
        </w:rPr>
      </w:pPr>
    </w:p>
    <w:p w14:paraId="2199401F" w14:textId="51BA0262" w:rsidR="00E42FF3" w:rsidRPr="00546FE0" w:rsidRDefault="00E42FF3"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75C212CD"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11F11E5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63FB8">
                  <w:rPr>
                    <w:rFonts w:ascii="Arial Narrow" w:hAnsi="Arial Narrow"/>
                    <w:sz w:val="22"/>
                    <w:szCs w:val="22"/>
                  </w:rPr>
                  <w:t>Services</w:t>
                </w:r>
              </w:sdtContent>
            </w:sdt>
            <w:r w:rsidR="003E2C9E">
              <w:rPr>
                <w:rFonts w:ascii="Arial Narrow" w:hAnsi="Arial Narrow"/>
                <w:sz w:val="22"/>
                <w:szCs w:val="22"/>
              </w:rPr>
              <w:t xml:space="preserve"> n°</w:t>
            </w:r>
            <w:r w:rsidR="00B52136">
              <w:rPr>
                <w:rFonts w:ascii="Arial Narrow" w:hAnsi="Arial Narrow"/>
                <w:b/>
                <w:sz w:val="22"/>
                <w:szCs w:val="22"/>
              </w:rPr>
              <w:t>2024-670</w:t>
            </w:r>
          </w:p>
          <w:p w14:paraId="4CA1EB62" w14:textId="3B7C9D5C"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963FB8">
              <w:rPr>
                <w:rFonts w:ascii="Arial Narrow" w:hAnsi="Arial Narrow"/>
              </w:rPr>
              <w:t xml:space="preserve"> - TIC</w:t>
            </w:r>
          </w:p>
          <w:p w14:paraId="7ACFE896" w14:textId="6C40F61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r w:rsidR="00606F0B">
              <w:rPr>
                <w:rFonts w:ascii="Arial Narrow" w:hAnsi="Arial Narrow"/>
              </w:rPr>
              <w:t>- Procédure adaptée ouverte en application des dispositions des articles L. 2123-1 et R. 2123-1 à R. 2123-7 du code de la commande publique</w:t>
            </w:r>
          </w:p>
          <w:p w14:paraId="151AC878" w14:textId="295434A6" w:rsidR="00E42FF3" w:rsidRPr="00A72B8E" w:rsidRDefault="00E42FF3" w:rsidP="00A72B8E">
            <w:pPr>
              <w:spacing w:after="120"/>
              <w:rPr>
                <w:rFonts w:ascii="Arial Narrow" w:hAnsi="Arial Narrow"/>
              </w:rPr>
            </w:pPr>
            <w:r w:rsidRPr="00A72B8E">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63FB8" w:rsidRPr="00A72B8E">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5FA9735" w:rsidR="000D0217" w:rsidRPr="0047410E" w:rsidRDefault="000D0217" w:rsidP="00C331EE">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Présentation de l’EPMO</w:t>
      </w:r>
      <w:r w:rsidR="008A29F1">
        <w:rPr>
          <w:rFonts w:ascii="Arial Narrow" w:hAnsi="Arial Narrow"/>
          <w:b/>
        </w:rPr>
        <w:t>-VGE</w:t>
      </w:r>
      <w:r w:rsidRPr="00546FE0">
        <w:rPr>
          <w:rFonts w:ascii="Arial Narrow" w:hAnsi="Arial Narrow"/>
          <w:b/>
        </w:rPr>
        <w:t xml:space="preserve"> et ses missions</w:t>
      </w:r>
    </w:p>
    <w:p w14:paraId="03EA32FF" w14:textId="058C7347" w:rsidR="00102F05" w:rsidRPr="00B4297A" w:rsidRDefault="00102F05" w:rsidP="00102F05">
      <w:pPr>
        <w:pStyle w:val="En-tte"/>
        <w:tabs>
          <w:tab w:val="clear" w:pos="4536"/>
          <w:tab w:val="clear" w:pos="9072"/>
        </w:tabs>
        <w:spacing w:after="120" w:line="360" w:lineRule="auto"/>
        <w:jc w:val="both"/>
        <w:rPr>
          <w:rFonts w:ascii="Arial Narrow" w:hAnsi="Arial Narrow"/>
        </w:rPr>
      </w:pPr>
      <w:r w:rsidRPr="00B4297A">
        <w:rPr>
          <w:rFonts w:ascii="Arial Narrow" w:hAnsi="Arial Narrow"/>
        </w:rPr>
        <w:t>L’Etablissement public du musée d’Orsay et d</w:t>
      </w:r>
      <w:r w:rsidR="003E7448">
        <w:rPr>
          <w:rFonts w:ascii="Arial Narrow" w:hAnsi="Arial Narrow"/>
        </w:rPr>
        <w:t>u musée de l’Orangerie</w:t>
      </w:r>
      <w:r>
        <w:rPr>
          <w:rFonts w:ascii="Arial Narrow" w:hAnsi="Arial Narrow"/>
        </w:rPr>
        <w:t>– Valéry Giscard d’Estaing</w:t>
      </w:r>
      <w:r w:rsidR="003E7448">
        <w:rPr>
          <w:rFonts w:ascii="Arial Narrow" w:hAnsi="Arial Narrow"/>
        </w:rPr>
        <w:t xml:space="preserve"> (EPMO-VGE</w:t>
      </w:r>
      <w:r w:rsidR="003E7448" w:rsidRPr="00B4297A">
        <w:rPr>
          <w:rFonts w:ascii="Arial Narrow" w:hAnsi="Arial Narrow"/>
        </w:rPr>
        <w:t>)</w:t>
      </w:r>
      <w:r>
        <w:rPr>
          <w:rFonts w:ascii="Arial Narrow" w:hAnsi="Arial Narrow"/>
        </w:rPr>
        <w:t xml:space="preserve">, </w:t>
      </w:r>
      <w:r w:rsidRPr="00B4297A">
        <w:rPr>
          <w:rFonts w:ascii="Arial Narrow" w:hAnsi="Arial Narrow"/>
        </w:rPr>
        <w:t>établissement public national à caractère administratif</w:t>
      </w:r>
      <w:r>
        <w:rPr>
          <w:rFonts w:ascii="Arial Narrow" w:hAnsi="Arial Narrow"/>
        </w:rPr>
        <w:t xml:space="preserve">, a été créé par un </w:t>
      </w:r>
      <w:r w:rsidRPr="00B4297A">
        <w:rPr>
          <w:rFonts w:ascii="Arial Narrow" w:hAnsi="Arial Narrow"/>
        </w:rPr>
        <w:t>décret n°</w:t>
      </w:r>
      <w:r>
        <w:rPr>
          <w:rFonts w:ascii="Arial Narrow" w:hAnsi="Arial Narrow"/>
        </w:rPr>
        <w:t> </w:t>
      </w:r>
      <w:r w:rsidRPr="00B4297A">
        <w:rPr>
          <w:rFonts w:ascii="Arial Narrow" w:hAnsi="Arial Narrow"/>
        </w:rPr>
        <w:t>2003</w:t>
      </w:r>
      <w:r>
        <w:rPr>
          <w:rFonts w:ascii="Arial Narrow" w:hAnsi="Arial Narrow"/>
        </w:rPr>
        <w:noBreakHyphen/>
      </w:r>
      <w:r w:rsidRPr="00B4297A">
        <w:rPr>
          <w:rFonts w:ascii="Arial Narrow" w:hAnsi="Arial Narrow"/>
        </w:rPr>
        <w:t>1300 du 26 décembre 2003</w:t>
      </w:r>
      <w:r>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décret n° 2010-558 du 27 mai 2010</w:t>
      </w:r>
      <w:r>
        <w:rPr>
          <w:rFonts w:ascii="Arial Narrow" w:hAnsi="Arial Narrow"/>
        </w:rPr>
        <w:t>)</w:t>
      </w:r>
      <w:r w:rsidRPr="00B4297A">
        <w:rPr>
          <w:rFonts w:ascii="Arial Narrow" w:hAnsi="Arial Narrow"/>
        </w:rPr>
        <w:t xml:space="preserve">. </w:t>
      </w:r>
    </w:p>
    <w:p w14:paraId="45F0F6F5" w14:textId="1960CE0A" w:rsidR="000D0217" w:rsidRPr="00546FE0" w:rsidRDefault="00963FB8" w:rsidP="00CE7BBA">
      <w:pPr>
        <w:pStyle w:val="En-tte"/>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483EEED8" w14:textId="763B4891" w:rsidR="000D0217" w:rsidRPr="0047410E" w:rsidRDefault="000D0217" w:rsidP="00C331EE">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Présentation du marché</w:t>
      </w:r>
    </w:p>
    <w:p w14:paraId="1F34E90B" w14:textId="4565C1CB" w:rsidR="00B52136" w:rsidRPr="00B52136" w:rsidRDefault="00B52136" w:rsidP="00B52136">
      <w:pPr>
        <w:pStyle w:val="En-tte"/>
        <w:tabs>
          <w:tab w:val="clear" w:pos="4536"/>
          <w:tab w:val="clear" w:pos="9072"/>
        </w:tabs>
        <w:spacing w:after="120" w:line="360" w:lineRule="auto"/>
        <w:jc w:val="both"/>
        <w:rPr>
          <w:rFonts w:ascii="Arial Narrow" w:hAnsi="Arial Narrow"/>
        </w:rPr>
      </w:pPr>
      <w:r w:rsidRPr="00B52136">
        <w:rPr>
          <w:rFonts w:ascii="Arial Narrow" w:hAnsi="Arial Narrow"/>
        </w:rPr>
        <w:t>Le présent accord-cadre a pour objet des prestations de location, hébergement, développement et de maintenance des livres d’or numériques de l'EPMO-VGE</w:t>
      </w:r>
    </w:p>
    <w:p w14:paraId="70BB8C77" w14:textId="3FA4FD32"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C331EE">
      <w:pPr>
        <w:pStyle w:val="En-tte"/>
        <w:numPr>
          <w:ilvl w:val="0"/>
          <w:numId w:val="14"/>
        </w:numPr>
        <w:tabs>
          <w:tab w:val="clear" w:pos="4536"/>
          <w:tab w:val="clear" w:pos="9072"/>
        </w:tabs>
        <w:spacing w:after="240" w:line="360" w:lineRule="auto"/>
        <w:jc w:val="both"/>
        <w:rPr>
          <w:rFonts w:ascii="Arial Narrow" w:hAnsi="Arial Narrow"/>
          <w:b/>
        </w:rPr>
      </w:pPr>
      <w:r w:rsidRPr="00546FE0">
        <w:rPr>
          <w:rFonts w:ascii="Arial Narrow" w:hAnsi="Arial Narrow"/>
          <w:b/>
        </w:rPr>
        <w:t>Prestations relevant de la part forfaitaire</w:t>
      </w:r>
    </w:p>
    <w:p w14:paraId="00ABF82C" w14:textId="11AFAAE4" w:rsidR="0006022E" w:rsidRPr="005F6A76" w:rsidRDefault="0006022E" w:rsidP="0006022E">
      <w:pPr>
        <w:pStyle w:val="En-tte"/>
        <w:tabs>
          <w:tab w:val="clear" w:pos="4536"/>
          <w:tab w:val="clear" w:pos="9072"/>
        </w:tabs>
        <w:spacing w:after="120" w:line="360" w:lineRule="auto"/>
        <w:jc w:val="both"/>
        <w:rPr>
          <w:rFonts w:ascii="Arial Narrow" w:hAnsi="Arial Narrow"/>
          <w:highlight w:val="yellow"/>
        </w:rPr>
      </w:pPr>
      <w:r w:rsidRPr="00546FE0">
        <w:rPr>
          <w:rFonts w:ascii="Arial Narrow" w:hAnsi="Arial Narrow"/>
        </w:rPr>
        <w:t>La part forfaitaire de l’accord</w:t>
      </w:r>
      <w:r w:rsidR="00963FB8">
        <w:rPr>
          <w:rFonts w:ascii="Arial Narrow" w:hAnsi="Arial Narrow"/>
        </w:rPr>
        <w:t xml:space="preserve">-cadre comprend </w:t>
      </w:r>
      <w:r w:rsidR="00E031CA">
        <w:rPr>
          <w:rFonts w:ascii="Arial Narrow" w:hAnsi="Arial Narrow"/>
        </w:rPr>
        <w:t xml:space="preserve">notamment </w:t>
      </w:r>
      <w:r w:rsidR="00963FB8">
        <w:rPr>
          <w:rFonts w:ascii="Arial Narrow" w:hAnsi="Arial Narrow"/>
        </w:rPr>
        <w:t>les prestations</w:t>
      </w:r>
      <w:r w:rsidR="00606F0B">
        <w:rPr>
          <w:rFonts w:ascii="Arial Narrow" w:hAnsi="Arial Narrow"/>
        </w:rPr>
        <w:t xml:space="preserve"> de</w:t>
      </w:r>
      <w:r w:rsidR="00963FB8">
        <w:rPr>
          <w:rFonts w:ascii="Arial Narrow" w:hAnsi="Arial Narrow"/>
        </w:rPr>
        <w:t xml:space="preserve"> </w:t>
      </w:r>
      <w:r w:rsidR="005F6A76">
        <w:rPr>
          <w:rFonts w:ascii="Arial Narrow" w:hAnsi="Arial Narrow"/>
        </w:rPr>
        <w:t xml:space="preserve">location de </w:t>
      </w:r>
      <w:r w:rsidR="00E031CA">
        <w:rPr>
          <w:rFonts w:ascii="Arial Narrow" w:hAnsi="Arial Narrow"/>
        </w:rPr>
        <w:t xml:space="preserve">3 bornes </w:t>
      </w:r>
      <w:r w:rsidR="00606F0B">
        <w:rPr>
          <w:rFonts w:ascii="Arial Narrow" w:hAnsi="Arial Narrow"/>
        </w:rPr>
        <w:t>(</w:t>
      </w:r>
      <w:r w:rsidR="009A7BA3">
        <w:rPr>
          <w:rFonts w:ascii="Arial Narrow" w:hAnsi="Arial Narrow"/>
        </w:rPr>
        <w:t>tablettes numériques, supports,</w:t>
      </w:r>
      <w:r w:rsidR="00606F0B">
        <w:rPr>
          <w:rFonts w:ascii="Arial Narrow" w:hAnsi="Arial Narrow"/>
        </w:rPr>
        <w:t xml:space="preserve"> pieds</w:t>
      </w:r>
      <w:r w:rsidR="009A7BA3">
        <w:rPr>
          <w:rFonts w:ascii="Arial Narrow" w:hAnsi="Arial Narrow"/>
        </w:rPr>
        <w:t xml:space="preserve"> et systèmes de sécurisation</w:t>
      </w:r>
      <w:r w:rsidR="00606F0B">
        <w:rPr>
          <w:rFonts w:ascii="Arial Narrow" w:hAnsi="Arial Narrow"/>
        </w:rPr>
        <w:t>)</w:t>
      </w:r>
      <w:r w:rsidR="00E031CA">
        <w:rPr>
          <w:rFonts w:ascii="Arial Narrow" w:hAnsi="Arial Narrow"/>
        </w:rPr>
        <w:t xml:space="preserve"> ainsi </w:t>
      </w:r>
      <w:r w:rsidR="005F6A76" w:rsidRPr="00E2309B">
        <w:rPr>
          <w:rFonts w:ascii="Arial Narrow" w:hAnsi="Arial Narrow"/>
        </w:rPr>
        <w:t>que leur hébergement,</w:t>
      </w:r>
      <w:r w:rsidR="00606F0B" w:rsidRPr="00E2309B">
        <w:rPr>
          <w:rFonts w:ascii="Arial Narrow" w:hAnsi="Arial Narrow"/>
        </w:rPr>
        <w:t xml:space="preserve"> leur développement,</w:t>
      </w:r>
      <w:r w:rsidR="005F6A76" w:rsidRPr="00E2309B">
        <w:rPr>
          <w:rFonts w:ascii="Arial Narrow" w:hAnsi="Arial Narrow"/>
        </w:rPr>
        <w:t xml:space="preserve"> leur</w:t>
      </w:r>
      <w:r w:rsidR="00E031CA" w:rsidRPr="00E2309B">
        <w:rPr>
          <w:rFonts w:ascii="Arial Narrow" w:hAnsi="Arial Narrow"/>
        </w:rPr>
        <w:t xml:space="preserve"> maintenance</w:t>
      </w:r>
      <w:r w:rsidR="005F6A76" w:rsidRPr="00E2309B">
        <w:rPr>
          <w:rFonts w:ascii="Arial Narrow" w:hAnsi="Arial Narrow"/>
        </w:rPr>
        <w:t xml:space="preserve">, </w:t>
      </w:r>
      <w:r w:rsidR="009A7BA3" w:rsidRPr="00E2309B">
        <w:rPr>
          <w:rFonts w:ascii="Arial Narrow" w:hAnsi="Arial Narrow"/>
        </w:rPr>
        <w:t xml:space="preserve">la </w:t>
      </w:r>
      <w:r w:rsidR="005F6A76" w:rsidRPr="00E2309B">
        <w:rPr>
          <w:rFonts w:ascii="Arial Narrow" w:hAnsi="Arial Narrow"/>
        </w:rPr>
        <w:t>mise à jour</w:t>
      </w:r>
      <w:r w:rsidR="00E031CA" w:rsidRPr="00E2309B">
        <w:rPr>
          <w:rFonts w:ascii="Arial Narrow" w:hAnsi="Arial Narrow"/>
        </w:rPr>
        <w:t xml:space="preserve"> et la reprise de données te</w:t>
      </w:r>
      <w:r w:rsidR="00E47EDA">
        <w:rPr>
          <w:rFonts w:ascii="Arial Narrow" w:hAnsi="Arial Narrow"/>
        </w:rPr>
        <w:t>lles</w:t>
      </w:r>
      <w:r w:rsidR="00E031CA" w:rsidRPr="00E2309B">
        <w:rPr>
          <w:rFonts w:ascii="Arial Narrow" w:hAnsi="Arial Narrow"/>
        </w:rPr>
        <w:t xml:space="preserve"> que décrites au CCTP</w:t>
      </w:r>
      <w:r w:rsidR="009A7BA3" w:rsidRPr="00E2309B">
        <w:rPr>
          <w:rFonts w:ascii="Arial Narrow" w:hAnsi="Arial Narrow"/>
        </w:rPr>
        <w:t>.</w:t>
      </w:r>
    </w:p>
    <w:p w14:paraId="50286D9C" w14:textId="77777777" w:rsidR="00F16CC6" w:rsidRPr="00546FE0" w:rsidRDefault="00F16CC6"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C331EE">
      <w:pPr>
        <w:pStyle w:val="En-tte"/>
        <w:numPr>
          <w:ilvl w:val="0"/>
          <w:numId w:val="14"/>
        </w:numPr>
        <w:tabs>
          <w:tab w:val="clear" w:pos="4536"/>
          <w:tab w:val="clear" w:pos="9072"/>
        </w:tabs>
        <w:spacing w:after="240" w:line="360" w:lineRule="auto"/>
        <w:jc w:val="both"/>
        <w:rPr>
          <w:rFonts w:ascii="Arial Narrow" w:hAnsi="Arial Narrow"/>
          <w:b/>
        </w:rPr>
      </w:pPr>
      <w:r w:rsidRPr="00546FE0">
        <w:rPr>
          <w:rFonts w:ascii="Arial Narrow" w:hAnsi="Arial Narrow"/>
          <w:b/>
        </w:rPr>
        <w:t>Prestations relevant de la part à commandes</w:t>
      </w:r>
    </w:p>
    <w:p w14:paraId="08A54EC0" w14:textId="09440BFB" w:rsidR="00257918" w:rsidRDefault="009B0CDB" w:rsidP="00257918">
      <w:pPr>
        <w:pStyle w:val="En-tte"/>
        <w:tabs>
          <w:tab w:val="clear" w:pos="4536"/>
          <w:tab w:val="clear" w:pos="9072"/>
        </w:tabs>
        <w:spacing w:after="240" w:line="360" w:lineRule="auto"/>
        <w:jc w:val="both"/>
        <w:rPr>
          <w:rFonts w:ascii="Arial Narrow" w:hAnsi="Arial Narrow"/>
        </w:rPr>
      </w:pPr>
      <w:r w:rsidRPr="009B0CDB">
        <w:rPr>
          <w:rFonts w:ascii="Arial Narrow" w:hAnsi="Arial Narrow"/>
        </w:rPr>
        <w:t xml:space="preserve">Les bons de commande pourront porter notamment sur les demandes </w:t>
      </w:r>
      <w:r w:rsidR="00606F0B" w:rsidRPr="00606F0B">
        <w:rPr>
          <w:rFonts w:ascii="Arial Narrow" w:hAnsi="Arial Narrow"/>
        </w:rPr>
        <w:t xml:space="preserve">de location, d’hébergement, </w:t>
      </w:r>
      <w:r w:rsidR="009A7BA3">
        <w:rPr>
          <w:rFonts w:ascii="Arial Narrow" w:hAnsi="Arial Narrow"/>
        </w:rPr>
        <w:t>de développements spécifiques, d’analyse et de synthèse des données,</w:t>
      </w:r>
      <w:r w:rsidR="00606F0B" w:rsidRPr="00606F0B">
        <w:rPr>
          <w:rFonts w:ascii="Arial Narrow" w:hAnsi="Arial Narrow"/>
        </w:rPr>
        <w:t xml:space="preserve"> de maintenance de livre d’or, matériel et application</w:t>
      </w:r>
      <w:r w:rsidR="008B1E4C">
        <w:rPr>
          <w:rFonts w:ascii="Arial Narrow" w:hAnsi="Arial Narrow"/>
        </w:rPr>
        <w:t>s</w:t>
      </w:r>
      <w:r w:rsidR="00606F0B" w:rsidRPr="00606F0B">
        <w:rPr>
          <w:rFonts w:ascii="Arial Narrow" w:hAnsi="Arial Narrow"/>
        </w:rPr>
        <w:t xml:space="preserve"> supplémentaires, </w:t>
      </w:r>
      <w:r w:rsidR="00534AA8">
        <w:rPr>
          <w:rFonts w:ascii="Arial Narrow" w:hAnsi="Arial Narrow"/>
        </w:rPr>
        <w:t xml:space="preserve">des développements spécifiques </w:t>
      </w:r>
      <w:r w:rsidR="00606F0B" w:rsidRPr="00606F0B">
        <w:rPr>
          <w:rFonts w:ascii="Arial Narrow" w:hAnsi="Arial Narrow"/>
        </w:rPr>
        <w:t>pour les événements ponctuels et/ou récurrents de l’EPMO-VGE.</w:t>
      </w:r>
    </w:p>
    <w:p w14:paraId="6F289F78" w14:textId="40768D1F" w:rsidR="00B37CC7" w:rsidRDefault="00B37CC7" w:rsidP="00257918">
      <w:pPr>
        <w:pStyle w:val="En-tte"/>
        <w:tabs>
          <w:tab w:val="clear" w:pos="4536"/>
          <w:tab w:val="clear" w:pos="9072"/>
        </w:tabs>
        <w:spacing w:after="240" w:line="360" w:lineRule="auto"/>
        <w:jc w:val="both"/>
        <w:rPr>
          <w:rFonts w:ascii="Arial Narrow" w:hAnsi="Arial Narrow"/>
        </w:rPr>
      </w:pPr>
      <w:r>
        <w:rPr>
          <w:rFonts w:ascii="Arial Narrow" w:hAnsi="Arial Narrow"/>
        </w:rPr>
        <w:t>Les prestations sont identifiées</w:t>
      </w:r>
      <w:r w:rsidR="00606F0B">
        <w:rPr>
          <w:rFonts w:ascii="Arial Narrow" w:hAnsi="Arial Narrow"/>
        </w:rPr>
        <w:t xml:space="preserve"> et décrites</w:t>
      </w:r>
      <w:r>
        <w:rPr>
          <w:rFonts w:ascii="Arial Narrow" w:hAnsi="Arial Narrow"/>
        </w:rPr>
        <w:t xml:space="preserve"> au CCTP et au BPU.</w:t>
      </w:r>
    </w:p>
    <w:p w14:paraId="6148BAF1" w14:textId="77777777" w:rsidR="00B37CC7" w:rsidRPr="00546FE0" w:rsidRDefault="00B37CC7"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AFF69F0"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L’</w:t>
      </w:r>
      <w:r w:rsidR="00C331EE">
        <w:rPr>
          <w:rFonts w:ascii="Arial Narrow" w:hAnsi="Arial Narrow"/>
        </w:rPr>
        <w:t>EPMO-</w:t>
      </w:r>
      <w:r w:rsidR="008B28A9" w:rsidDel="008B28A9">
        <w:rPr>
          <w:rFonts w:ascii="Arial Narrow" w:hAnsi="Arial Narrow"/>
        </w:rPr>
        <w:t xml:space="preserve"> </w:t>
      </w:r>
      <w:r w:rsidR="00C331EE">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210464E" w:rsidR="00D9355E" w:rsidRPr="00546FE0" w:rsidRDefault="00D9355E" w:rsidP="00C331EE">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r w:rsidR="00D04A90">
        <w:rPr>
          <w:rFonts w:ascii="Arial Narrow" w:hAnsi="Arial Narrow"/>
          <w:b/>
        </w:rPr>
        <w:t>-VGE</w:t>
      </w:r>
    </w:p>
    <w:p w14:paraId="4E64DA80" w14:textId="6AC89648" w:rsidR="00D9355E" w:rsidRDefault="00D9355E" w:rsidP="00D9355E">
      <w:pPr>
        <w:pStyle w:val="En-tte"/>
        <w:spacing w:after="120" w:line="360" w:lineRule="auto"/>
        <w:jc w:val="both"/>
        <w:rPr>
          <w:rFonts w:ascii="Arial Narrow" w:hAnsi="Arial Narrow"/>
        </w:rPr>
      </w:pPr>
      <w:r w:rsidRPr="00A01D98">
        <w:rPr>
          <w:rFonts w:ascii="Arial Narrow" w:hAnsi="Arial Narrow"/>
        </w:rPr>
        <w:t xml:space="preserve">Le suivi des prestations est assuré par </w:t>
      </w:r>
      <w:r w:rsidR="00606F0B">
        <w:rPr>
          <w:rFonts w:ascii="Arial Narrow" w:hAnsi="Arial Narrow"/>
        </w:rPr>
        <w:t xml:space="preserve">le Service Marketing de </w:t>
      </w:r>
      <w:r w:rsidR="00AF71D0">
        <w:rPr>
          <w:rFonts w:ascii="Arial Narrow" w:hAnsi="Arial Narrow"/>
        </w:rPr>
        <w:t xml:space="preserve">la Direction du </w:t>
      </w:r>
      <w:r w:rsidR="00E031CA">
        <w:rPr>
          <w:rFonts w:ascii="Arial Narrow" w:hAnsi="Arial Narrow"/>
        </w:rPr>
        <w:t>développement et des relations internationales (</w:t>
      </w:r>
      <w:r w:rsidR="00606F0B">
        <w:rPr>
          <w:rFonts w:ascii="Arial Narrow" w:hAnsi="Arial Narrow"/>
        </w:rPr>
        <w:t>DEVRI</w:t>
      </w:r>
      <w:r w:rsidR="00E031CA">
        <w:rPr>
          <w:rFonts w:ascii="Arial Narrow" w:hAnsi="Arial Narrow"/>
        </w:rPr>
        <w:t>)</w:t>
      </w:r>
      <w:r w:rsidRPr="00A01D98">
        <w:rPr>
          <w:rFonts w:ascii="Arial Narrow" w:hAnsi="Arial Narrow"/>
        </w:rPr>
        <w:t xml:space="preserve">, </w:t>
      </w:r>
      <w:r w:rsidR="00376A8E" w:rsidRPr="00A01D98">
        <w:rPr>
          <w:rFonts w:ascii="Arial Narrow" w:hAnsi="Arial Narrow"/>
        </w:rPr>
        <w:t xml:space="preserve">ou </w:t>
      </w:r>
      <w:r w:rsidRPr="00A01D98">
        <w:rPr>
          <w:rFonts w:ascii="Arial Narrow" w:hAnsi="Arial Narrow"/>
        </w:rPr>
        <w:t>son représentant dûment habilité à cet effet en la personne</w:t>
      </w:r>
      <w:r w:rsidR="004F029A">
        <w:rPr>
          <w:rFonts w:ascii="Arial Narrow" w:hAnsi="Arial Narrow"/>
        </w:rPr>
        <w:t xml:space="preserve"> </w:t>
      </w:r>
      <w:r w:rsidR="00E031CA">
        <w:rPr>
          <w:rFonts w:ascii="Arial Narrow" w:hAnsi="Arial Narrow"/>
        </w:rPr>
        <w:t xml:space="preserve">Thomas </w:t>
      </w:r>
      <w:proofErr w:type="spellStart"/>
      <w:r w:rsidR="00E031CA">
        <w:rPr>
          <w:rFonts w:ascii="Arial Narrow" w:hAnsi="Arial Narrow"/>
        </w:rPr>
        <w:t>Porreca</w:t>
      </w:r>
      <w:proofErr w:type="spellEnd"/>
      <w:r w:rsidR="002A5B2C" w:rsidRPr="00A01D98">
        <w:rPr>
          <w:rFonts w:ascii="Arial Narrow" w:hAnsi="Arial Narrow"/>
        </w:rPr>
        <w:t xml:space="preserve">, </w:t>
      </w:r>
      <w:r w:rsidR="00606F0B">
        <w:rPr>
          <w:rFonts w:ascii="Arial Narrow" w:hAnsi="Arial Narrow"/>
        </w:rPr>
        <w:t>Chef de service</w:t>
      </w:r>
      <w:r w:rsidR="004F029A">
        <w:rPr>
          <w:rFonts w:ascii="Arial Narrow" w:hAnsi="Arial Narrow"/>
        </w:rPr>
        <w:t>.</w:t>
      </w:r>
    </w:p>
    <w:p w14:paraId="0E1F2FC7" w14:textId="77777777" w:rsidR="00D9355E" w:rsidRPr="00546FE0" w:rsidRDefault="00D9355E" w:rsidP="00C331EE">
      <w:pPr>
        <w:pStyle w:val="En-tte"/>
        <w:numPr>
          <w:ilvl w:val="0"/>
          <w:numId w:val="4"/>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697CC91E"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r w:rsidR="00D04A90">
        <w:rPr>
          <w:rFonts w:ascii="Arial Narrow" w:hAnsi="Arial Narrow"/>
        </w:rPr>
        <w:t>-VGE</w:t>
      </w:r>
      <w:r w:rsidR="00376A8E" w:rsidRPr="00546FE0">
        <w:rPr>
          <w:rFonts w:ascii="Arial Narrow" w:hAnsi="Arial Narrow"/>
        </w:rPr>
        <w:t>.</w:t>
      </w:r>
    </w:p>
    <w:p w14:paraId="778C4399" w14:textId="7DB8825C"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00D04A90">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04A90">
        <w:rPr>
          <w:rFonts w:ascii="Arial Narrow" w:hAnsi="Arial Narrow"/>
        </w:rPr>
        <w:t>-VGE</w:t>
      </w:r>
      <w:r w:rsidR="00DC2FA3" w:rsidRPr="00546FE0">
        <w:rPr>
          <w:rFonts w:ascii="Arial Narrow" w:hAnsi="Arial Narrow"/>
        </w:rPr>
        <w:t xml:space="preserve"> dans les plus brefs délais.</w:t>
      </w:r>
    </w:p>
    <w:p w14:paraId="70D6CBCC" w14:textId="77777777" w:rsidR="00B37CC7" w:rsidRPr="00546FE0" w:rsidRDefault="00B37CC7" w:rsidP="00DC2FA3">
      <w:pPr>
        <w:pStyle w:val="En-tte"/>
        <w:spacing w:after="120" w:line="360" w:lineRule="auto"/>
        <w:jc w:val="both"/>
        <w:rPr>
          <w:rFonts w:ascii="Arial Narrow" w:hAnsi="Arial Narrow"/>
        </w:rPr>
      </w:pPr>
    </w:p>
    <w:p w14:paraId="5E51A1A9" w14:textId="0E5A8510" w:rsidR="00EE4645" w:rsidRPr="00571DE4" w:rsidRDefault="00EE4645" w:rsidP="00C331EE">
      <w:pPr>
        <w:pStyle w:val="En-tte"/>
        <w:numPr>
          <w:ilvl w:val="0"/>
          <w:numId w:val="4"/>
        </w:numPr>
        <w:tabs>
          <w:tab w:val="clear" w:pos="4536"/>
          <w:tab w:val="clear" w:pos="9072"/>
        </w:tabs>
        <w:spacing w:after="240" w:line="360" w:lineRule="auto"/>
        <w:ind w:hanging="720"/>
        <w:jc w:val="both"/>
        <w:rPr>
          <w:rFonts w:ascii="Arial Narrow" w:hAnsi="Arial Narrow"/>
          <w:b/>
        </w:rPr>
      </w:pPr>
      <w:r w:rsidRPr="00571DE4">
        <w:rPr>
          <w:rFonts w:ascii="Arial Narrow" w:hAnsi="Arial Narrow"/>
          <w:b/>
        </w:rPr>
        <w:t xml:space="preserve">Qualification de l’équipe affectée au </w:t>
      </w:r>
      <w:r w:rsidR="00CF6085" w:rsidRPr="00571DE4">
        <w:rPr>
          <w:rFonts w:ascii="Arial Narrow" w:hAnsi="Arial Narrow"/>
          <w:b/>
        </w:rPr>
        <w:t>prestations</w:t>
      </w:r>
    </w:p>
    <w:p w14:paraId="76FE7B81" w14:textId="06B90EAC" w:rsidR="00102F05" w:rsidRPr="00102F05" w:rsidRDefault="00102F05" w:rsidP="00102F05">
      <w:pPr>
        <w:pStyle w:val="En-tte"/>
        <w:spacing w:after="120" w:line="360" w:lineRule="auto"/>
        <w:jc w:val="both"/>
        <w:rPr>
          <w:rFonts w:ascii="Arial Narrow" w:hAnsi="Arial Narrow"/>
        </w:rPr>
      </w:pPr>
      <w:r w:rsidRPr="00102F05">
        <w:rPr>
          <w:rFonts w:ascii="Arial Narrow" w:hAnsi="Arial Narrow"/>
        </w:rPr>
        <w:t>Le Titulaire s’engage à affecter à l’exécution de l’accord-cadre les personnes ayant les compétences et les qualifications requises pour l’exécution du présent marché selo</w:t>
      </w:r>
      <w:r w:rsidR="00C031DE">
        <w:rPr>
          <w:rFonts w:ascii="Arial Narrow" w:hAnsi="Arial Narrow"/>
        </w:rPr>
        <w:t>n les profils requis dans le CCT</w:t>
      </w:r>
      <w:r w:rsidRPr="00102F05">
        <w:rPr>
          <w:rFonts w:ascii="Arial Narrow" w:hAnsi="Arial Narrow"/>
        </w:rPr>
        <w:t>P et présentés dans le cadre de mémoire technique.</w:t>
      </w:r>
    </w:p>
    <w:p w14:paraId="1BD4EE57" w14:textId="5DB11BB0" w:rsidR="00102F05" w:rsidRPr="00102F05" w:rsidRDefault="00102F05" w:rsidP="00102F05">
      <w:pPr>
        <w:pStyle w:val="En-tte"/>
        <w:spacing w:after="120" w:line="360" w:lineRule="auto"/>
        <w:jc w:val="both"/>
        <w:rPr>
          <w:rFonts w:ascii="Arial Narrow" w:hAnsi="Arial Narrow"/>
        </w:rPr>
      </w:pPr>
      <w:r w:rsidRPr="00102F05">
        <w:rPr>
          <w:rFonts w:ascii="Arial Narrow" w:hAnsi="Arial Narrow"/>
        </w:rPr>
        <w:t>Le Titulaire garantit à l’EPMO</w:t>
      </w:r>
      <w:r w:rsidR="00E925B3">
        <w:rPr>
          <w:rFonts w:ascii="Arial Narrow" w:hAnsi="Arial Narrow"/>
        </w:rPr>
        <w:t>-VGE</w:t>
      </w:r>
      <w:r w:rsidRPr="00102F05">
        <w:rPr>
          <w:rFonts w:ascii="Arial Narrow" w:hAnsi="Arial Narrow"/>
        </w:rPr>
        <w:t xml:space="preserve"> une continuité dans la prestation fournie.</w:t>
      </w:r>
    </w:p>
    <w:p w14:paraId="52C8376D" w14:textId="55B5445B" w:rsidR="00102F05" w:rsidRPr="00102F05" w:rsidRDefault="00102F05" w:rsidP="00102F05">
      <w:pPr>
        <w:pStyle w:val="En-tte"/>
        <w:spacing w:after="120" w:line="360" w:lineRule="auto"/>
        <w:jc w:val="both"/>
        <w:rPr>
          <w:rFonts w:ascii="Arial Narrow" w:hAnsi="Arial Narrow"/>
        </w:rPr>
      </w:pPr>
      <w:r w:rsidRPr="00102F05">
        <w:rPr>
          <w:rFonts w:ascii="Arial Narrow" w:hAnsi="Arial Narrow"/>
        </w:rPr>
        <w:t>A ce titre, par dérogation à l’article 3.4.3 du CCAG Tic, en cas d’absence prolongée ou de départ définitif de d’un de ses interlocuteurs, le Titulaire doit en aviser, sitôt qu’il en a la connaissance, l’EPMO</w:t>
      </w:r>
      <w:r w:rsidR="00512AE6">
        <w:rPr>
          <w:rFonts w:ascii="Arial Narrow" w:hAnsi="Arial Narrow"/>
        </w:rPr>
        <w:t>-VGE</w:t>
      </w:r>
      <w:r w:rsidRPr="00102F05">
        <w:rPr>
          <w:rFonts w:ascii="Arial Narrow" w:hAnsi="Arial Narrow"/>
        </w:rPr>
        <w:t xml:space="preserve"> et prendre toutes les dispositions nécessaires pour que la bonne exécution des prestations ne s'en trouve pas compromise.</w:t>
      </w:r>
    </w:p>
    <w:p w14:paraId="660336CC" w14:textId="339A4FB4" w:rsidR="00102F05" w:rsidRPr="00102F05" w:rsidRDefault="00102F05" w:rsidP="00102F05">
      <w:pPr>
        <w:pStyle w:val="En-tte"/>
        <w:spacing w:after="120" w:line="360" w:lineRule="auto"/>
        <w:jc w:val="both"/>
        <w:rPr>
          <w:rFonts w:ascii="Arial Narrow" w:hAnsi="Arial Narrow"/>
        </w:rPr>
      </w:pPr>
      <w:r w:rsidRPr="00102F05">
        <w:rPr>
          <w:rFonts w:ascii="Arial Narrow" w:hAnsi="Arial Narrow"/>
        </w:rPr>
        <w:t>Le Titulaire s’engage à ce que le remplaçant ait un profil comparable. Il en communiquera le nom et le profil au représentant de l’EPMO</w:t>
      </w:r>
      <w:r w:rsidR="00512AE6">
        <w:rPr>
          <w:rFonts w:ascii="Arial Narrow" w:hAnsi="Arial Narrow"/>
        </w:rPr>
        <w:t>-VGE</w:t>
      </w:r>
      <w:r w:rsidRPr="00102F05">
        <w:rPr>
          <w:rFonts w:ascii="Arial Narrow" w:hAnsi="Arial Narrow"/>
        </w:rPr>
        <w:t xml:space="preserve"> tel que mentionné à l’article 4.1, ce dernier se réservant le droit de récuser le remplaçant proposé. A défaut de réponse dans un délai de 5 (cinq) jours ouvrés à compter de la réception de la communication mentionnée à l'alinéa précédent, l’accord du représentant de l’EPMO</w:t>
      </w:r>
      <w:r w:rsidR="00512AE6">
        <w:rPr>
          <w:rFonts w:ascii="Arial Narrow" w:hAnsi="Arial Narrow"/>
        </w:rPr>
        <w:t>-VGE</w:t>
      </w:r>
      <w:r w:rsidRPr="00102F05">
        <w:rPr>
          <w:rFonts w:ascii="Arial Narrow" w:hAnsi="Arial Narrow"/>
        </w:rPr>
        <w:t xml:space="preserve"> est acquis au Titulaire. Le refus de l’EPMO</w:t>
      </w:r>
      <w:r w:rsidR="00512AE6">
        <w:rPr>
          <w:rFonts w:ascii="Arial Narrow" w:hAnsi="Arial Narrow"/>
        </w:rPr>
        <w:t>-VGE</w:t>
      </w:r>
      <w:r w:rsidRPr="00102F05">
        <w:rPr>
          <w:rFonts w:ascii="Arial Narrow" w:hAnsi="Arial Narrow"/>
        </w:rPr>
        <w:t>, avant l’expiration de ce délai doit être motivé et notifié au Titulaire. Dans ce cas, le Titulaire dispose de 5 (cinq) jours ouvrés à compter de cette notification pour proposer, dans les mêmes conditions, un autre remplaçant au représentant de l’EPMO</w:t>
      </w:r>
      <w:r w:rsidR="00512AE6">
        <w:rPr>
          <w:rFonts w:ascii="Arial Narrow" w:hAnsi="Arial Narrow"/>
        </w:rPr>
        <w:t>-VGE</w:t>
      </w:r>
      <w:r w:rsidRPr="00102F05">
        <w:rPr>
          <w:rFonts w:ascii="Arial Narrow" w:hAnsi="Arial Narrow"/>
        </w:rPr>
        <w:t>, lequel peut accepter ou refuser cette proposition de remplaçant dans les mêmes conditions que celles précédemment.</w:t>
      </w:r>
    </w:p>
    <w:p w14:paraId="2978CF7C" w14:textId="77777777" w:rsidR="00102F05" w:rsidRPr="00102F05" w:rsidRDefault="00102F05" w:rsidP="00102F05">
      <w:pPr>
        <w:pStyle w:val="En-tte"/>
        <w:spacing w:after="120" w:line="360" w:lineRule="auto"/>
        <w:jc w:val="both"/>
        <w:rPr>
          <w:rFonts w:ascii="Arial Narrow" w:hAnsi="Arial Narrow"/>
          <w:color w:val="000000" w:themeColor="text1"/>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C331EE">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BAAE196" w14:textId="0C401D52" w:rsidR="005D555E" w:rsidRDefault="005D555E" w:rsidP="007639B4">
      <w:pPr>
        <w:pStyle w:val="En-tte"/>
        <w:spacing w:after="120" w:line="360" w:lineRule="auto"/>
        <w:jc w:val="both"/>
        <w:rPr>
          <w:rFonts w:ascii="Arial Narrow" w:hAnsi="Arial Narrow"/>
        </w:rPr>
      </w:pPr>
      <w:r w:rsidRPr="00546FE0">
        <w:rPr>
          <w:rFonts w:ascii="Arial Narrow" w:hAnsi="Arial Narrow"/>
        </w:rPr>
        <w:t xml:space="preserve">Il est précisé que la notification de l’accord-cadre vaut </w:t>
      </w:r>
      <w:r w:rsidR="00CC60EE">
        <w:rPr>
          <w:rFonts w:ascii="Arial Narrow" w:hAnsi="Arial Narrow"/>
        </w:rPr>
        <w:t>notification</w:t>
      </w:r>
      <w:r w:rsidRPr="00546FE0">
        <w:rPr>
          <w:rFonts w:ascii="Arial Narrow" w:hAnsi="Arial Narrow"/>
        </w:rPr>
        <w:t xml:space="preserve"> du montant forfaitaire mentionné à </w:t>
      </w:r>
      <w:r w:rsidRPr="002B5099">
        <w:rPr>
          <w:rFonts w:ascii="Arial Narrow" w:hAnsi="Arial Narrow"/>
        </w:rPr>
        <w:t>l’article 5.1 de l’acte d’engagement.</w:t>
      </w:r>
    </w:p>
    <w:p w14:paraId="57D5F4A6" w14:textId="77777777" w:rsidR="00CC60EE" w:rsidRPr="00546FE0" w:rsidRDefault="00CC60EE" w:rsidP="007639B4">
      <w:pPr>
        <w:pStyle w:val="En-tte"/>
        <w:spacing w:after="120" w:line="360" w:lineRule="auto"/>
        <w:jc w:val="both"/>
        <w:rPr>
          <w:rFonts w:ascii="Arial Narrow" w:hAnsi="Arial Narrow"/>
        </w:rPr>
      </w:pPr>
    </w:p>
    <w:p w14:paraId="159D2304" w14:textId="77777777" w:rsidR="005D555E" w:rsidRPr="00546FE0" w:rsidRDefault="005D555E" w:rsidP="00C331EE">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31614463"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w:t>
      </w:r>
      <w:r w:rsidR="00512AE6">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Le taux et le montant de TVA applicable</w:t>
      </w:r>
    </w:p>
    <w:p w14:paraId="65608D12" w14:textId="77C31404" w:rsidR="00E077FA" w:rsidRPr="002B5099" w:rsidRDefault="005D555E" w:rsidP="0074396A">
      <w:pPr>
        <w:pStyle w:val="En-tte"/>
        <w:numPr>
          <w:ilvl w:val="0"/>
          <w:numId w:val="32"/>
        </w:numPr>
        <w:spacing w:after="120" w:line="360" w:lineRule="auto"/>
        <w:rPr>
          <w:rFonts w:ascii="Arial Narrow" w:hAnsi="Arial Narrow"/>
        </w:rPr>
      </w:pPr>
      <w:r w:rsidRPr="00546FE0">
        <w:rPr>
          <w:rFonts w:ascii="Arial Narrow" w:hAnsi="Arial Narrow"/>
        </w:rPr>
        <w:t xml:space="preserve">Le montant total TTC </w:t>
      </w:r>
    </w:p>
    <w:p w14:paraId="24F1A385" w14:textId="7063D7CA" w:rsidR="005D555E" w:rsidRPr="00546FE0" w:rsidRDefault="005D555E" w:rsidP="00D72FEE">
      <w:pPr>
        <w:pStyle w:val="En-tte"/>
        <w:spacing w:after="120" w:line="360" w:lineRule="auto"/>
        <w:jc w:val="both"/>
        <w:rPr>
          <w:rFonts w:ascii="Arial Narrow" w:hAnsi="Arial Narrow"/>
        </w:rPr>
      </w:pPr>
      <w:r w:rsidRPr="005703E8">
        <w:rPr>
          <w:rFonts w:ascii="Arial Narrow" w:hAnsi="Arial Narrow"/>
        </w:rPr>
        <w:t>Le délai d’exécution des prestations est fixé dans chaque bon de commande.</w:t>
      </w:r>
      <w:r w:rsidRPr="00546FE0">
        <w:rPr>
          <w:rFonts w:ascii="Arial Narrow" w:hAnsi="Arial Narrow"/>
        </w:rPr>
        <w:t xml:space="preserve"> </w:t>
      </w:r>
    </w:p>
    <w:p w14:paraId="651AE959" w14:textId="2B0B1A7B"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097F528" w:rsidR="005D555E" w:rsidRPr="002F642F" w:rsidRDefault="005D555E" w:rsidP="00BA0856">
      <w:pPr>
        <w:pStyle w:val="En-tte"/>
        <w:spacing w:after="120" w:line="360" w:lineRule="auto"/>
        <w:jc w:val="both"/>
        <w:rPr>
          <w:rFonts w:ascii="Arial Narrow" w:hAnsi="Arial Narrow"/>
          <w:i/>
        </w:rPr>
      </w:pPr>
    </w:p>
    <w:p w14:paraId="73D907A6" w14:textId="3FF14296" w:rsidR="00CD7A5E" w:rsidRPr="00546FE0" w:rsidRDefault="00CD7A5E" w:rsidP="00CD7A5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ADMISSION DES PRESTATIONS</w:t>
      </w:r>
    </w:p>
    <w:p w14:paraId="2E4BA49B" w14:textId="07A5F3EF" w:rsidR="00B37CC7" w:rsidRDefault="00A806F0" w:rsidP="009B0CDB">
      <w:pPr>
        <w:pStyle w:val="En-tte"/>
        <w:spacing w:after="120" w:line="360" w:lineRule="auto"/>
        <w:jc w:val="both"/>
        <w:rPr>
          <w:rFonts w:ascii="Arial Narrow" w:hAnsi="Arial Narrow"/>
        </w:rPr>
      </w:pPr>
      <w:r w:rsidRPr="009B0CDB">
        <w:rPr>
          <w:rFonts w:ascii="Arial Narrow" w:hAnsi="Arial Narrow"/>
        </w:rPr>
        <w:t>Par dérogation aux articles 29 à 34 du CCAG TIC, les opérations de vérification</w:t>
      </w:r>
      <w:r w:rsidR="005F1C23">
        <w:rPr>
          <w:rFonts w:ascii="Arial Narrow" w:hAnsi="Arial Narrow"/>
        </w:rPr>
        <w:t xml:space="preserve"> </w:t>
      </w:r>
      <w:r w:rsidRPr="00AF1A58">
        <w:rPr>
          <w:rFonts w:ascii="Arial Narrow" w:hAnsi="Arial Narrow"/>
        </w:rPr>
        <w:t>seront réalisées dans les conditions suivantes</w:t>
      </w:r>
      <w:r w:rsidR="00B37CC7">
        <w:rPr>
          <w:rFonts w:ascii="Arial Narrow" w:hAnsi="Arial Narrow"/>
        </w:rPr>
        <w:t>.</w:t>
      </w:r>
    </w:p>
    <w:p w14:paraId="7756E68A" w14:textId="77777777" w:rsidR="00B37CC7" w:rsidRDefault="00B37CC7">
      <w:pPr>
        <w:rPr>
          <w:rFonts w:ascii="Arial Narrow" w:hAnsi="Arial Narrow"/>
        </w:rPr>
      </w:pPr>
      <w:r>
        <w:rPr>
          <w:rFonts w:ascii="Arial Narrow" w:hAnsi="Arial Narrow"/>
        </w:rPr>
        <w:br w:type="page"/>
      </w:r>
    </w:p>
    <w:p w14:paraId="029628F1" w14:textId="77777777" w:rsidR="00A806F0" w:rsidRPr="00AF1A58" w:rsidRDefault="00A806F0" w:rsidP="009B0CDB">
      <w:pPr>
        <w:pStyle w:val="En-tte"/>
        <w:spacing w:after="120" w:line="360" w:lineRule="auto"/>
        <w:jc w:val="both"/>
        <w:rPr>
          <w:rFonts w:ascii="Arial Narrow" w:hAnsi="Arial Narrow"/>
        </w:rPr>
      </w:pPr>
    </w:p>
    <w:p w14:paraId="6F2DEC70" w14:textId="3F0A812B" w:rsidR="00CD7A5E" w:rsidRDefault="00A806F0" w:rsidP="00C331EE">
      <w:pPr>
        <w:pStyle w:val="En-tte"/>
        <w:numPr>
          <w:ilvl w:val="0"/>
          <w:numId w:val="15"/>
        </w:numPr>
        <w:tabs>
          <w:tab w:val="clear" w:pos="4536"/>
          <w:tab w:val="clear" w:pos="9072"/>
        </w:tabs>
        <w:spacing w:after="240" w:line="360" w:lineRule="auto"/>
        <w:jc w:val="both"/>
        <w:rPr>
          <w:rFonts w:ascii="Arial Narrow" w:hAnsi="Arial Narrow"/>
          <w:b/>
        </w:rPr>
      </w:pPr>
      <w:r w:rsidRPr="00AF1A58">
        <w:rPr>
          <w:rFonts w:ascii="Arial Narrow" w:hAnsi="Arial Narrow"/>
          <w:b/>
        </w:rPr>
        <w:t>Pour les prestations</w:t>
      </w:r>
      <w:r w:rsidR="009B0CDB" w:rsidRPr="00AF1A58">
        <w:rPr>
          <w:rFonts w:ascii="Arial Narrow" w:hAnsi="Arial Narrow"/>
          <w:b/>
        </w:rPr>
        <w:t xml:space="preserve"> </w:t>
      </w:r>
      <w:r w:rsidR="009F2586">
        <w:rPr>
          <w:rFonts w:ascii="Arial Narrow" w:hAnsi="Arial Narrow"/>
          <w:b/>
        </w:rPr>
        <w:t xml:space="preserve">réalisées au forfait : </w:t>
      </w:r>
      <w:r w:rsidR="00496157">
        <w:rPr>
          <w:rFonts w:ascii="Arial Narrow" w:hAnsi="Arial Narrow"/>
          <w:b/>
        </w:rPr>
        <w:t xml:space="preserve">Phase </w:t>
      </w:r>
      <w:r w:rsidR="00606F0B">
        <w:rPr>
          <w:rFonts w:ascii="Arial Narrow" w:hAnsi="Arial Narrow"/>
          <w:b/>
        </w:rPr>
        <w:t xml:space="preserve">de transition – Cadrage et mise en place du service </w:t>
      </w:r>
      <w:r w:rsidR="00496157">
        <w:rPr>
          <w:rFonts w:ascii="Arial Narrow" w:hAnsi="Arial Narrow"/>
          <w:b/>
        </w:rPr>
        <w:t xml:space="preserve"> </w:t>
      </w:r>
      <w:r w:rsidR="00CD7A5E">
        <w:rPr>
          <w:rFonts w:ascii="Arial Narrow" w:hAnsi="Arial Narrow"/>
          <w:b/>
        </w:rPr>
        <w:t xml:space="preserve"> </w:t>
      </w:r>
    </w:p>
    <w:p w14:paraId="070C0ADD" w14:textId="4E200D6B" w:rsidR="00A806F0" w:rsidRPr="00984886" w:rsidRDefault="00606F0B" w:rsidP="00A806F0">
      <w:pPr>
        <w:spacing w:after="120" w:line="360" w:lineRule="auto"/>
        <w:jc w:val="both"/>
        <w:rPr>
          <w:rFonts w:ascii="Arial Narrow" w:hAnsi="Arial Narrow"/>
          <w:bCs/>
          <w:lang w:eastAsia="fr-FR"/>
        </w:rPr>
      </w:pPr>
      <w:r w:rsidRPr="00984886">
        <w:rPr>
          <w:rFonts w:ascii="Arial Narrow" w:hAnsi="Arial Narrow"/>
        </w:rPr>
        <w:t>Le développement des applications et des interfaces visiteurs et EPMO-VGE, l’intégration des questionnaires rédigés par l’</w:t>
      </w:r>
      <w:r w:rsidR="00C331EE" w:rsidRPr="00984886">
        <w:rPr>
          <w:rFonts w:ascii="Arial Narrow" w:hAnsi="Arial Narrow"/>
        </w:rPr>
        <w:t>EPMO-VGE</w:t>
      </w:r>
      <w:r w:rsidRPr="00984886">
        <w:rPr>
          <w:rFonts w:ascii="Arial Narrow" w:hAnsi="Arial Narrow"/>
        </w:rPr>
        <w:t xml:space="preserve"> et la livraison des 3 bornes permanentes</w:t>
      </w:r>
      <w:r w:rsidR="005C0356" w:rsidRPr="00984886">
        <w:rPr>
          <w:rFonts w:ascii="Arial Narrow" w:hAnsi="Arial Narrow"/>
        </w:rPr>
        <w:t xml:space="preserve"> </w:t>
      </w:r>
      <w:r w:rsidR="00A806F0" w:rsidRPr="00984886">
        <w:rPr>
          <w:rFonts w:ascii="Arial Narrow" w:hAnsi="Arial Narrow"/>
        </w:rPr>
        <w:t>se</w:t>
      </w:r>
      <w:r w:rsidR="009B0CDB" w:rsidRPr="00984886">
        <w:rPr>
          <w:rFonts w:ascii="Arial Narrow" w:hAnsi="Arial Narrow"/>
        </w:rPr>
        <w:t>r</w:t>
      </w:r>
      <w:r w:rsidR="00A806F0" w:rsidRPr="00984886">
        <w:rPr>
          <w:rFonts w:ascii="Arial Narrow" w:hAnsi="Arial Narrow"/>
        </w:rPr>
        <w:t>a effectuée par le titulaire à une date fixée d'un commun accord</w:t>
      </w:r>
      <w:r w:rsidR="00A1514A" w:rsidRPr="00984886">
        <w:rPr>
          <w:rFonts w:ascii="Arial Narrow" w:hAnsi="Arial Narrow"/>
        </w:rPr>
        <w:t xml:space="preserve"> avec l’EPMO</w:t>
      </w:r>
      <w:r w:rsidR="00FD46E2">
        <w:rPr>
          <w:rFonts w:ascii="Arial Narrow" w:hAnsi="Arial Narrow"/>
        </w:rPr>
        <w:t>-VGE</w:t>
      </w:r>
      <w:r w:rsidR="00A806F0" w:rsidRPr="00984886">
        <w:rPr>
          <w:rFonts w:ascii="Arial Narrow" w:hAnsi="Arial Narrow"/>
        </w:rPr>
        <w:t>, sous sa responsabilité et sans s</w:t>
      </w:r>
      <w:r w:rsidR="00CD7A5E" w:rsidRPr="00984886">
        <w:rPr>
          <w:rFonts w:ascii="Arial Narrow" w:hAnsi="Arial Narrow"/>
        </w:rPr>
        <w:t xml:space="preserve">upplément de prix, au </w:t>
      </w:r>
      <w:r w:rsidR="00A806F0" w:rsidRPr="00984886">
        <w:rPr>
          <w:rFonts w:ascii="Arial Narrow" w:hAnsi="Arial Narrow"/>
          <w:bCs/>
          <w:lang w:eastAsia="fr-FR"/>
        </w:rPr>
        <w:t xml:space="preserve">plus </w:t>
      </w:r>
      <w:r w:rsidR="00A806F0" w:rsidRPr="00984886">
        <w:rPr>
          <w:rFonts w:ascii="Arial Narrow" w:hAnsi="Arial Narrow"/>
          <w:b/>
          <w:bCs/>
          <w:lang w:eastAsia="fr-FR"/>
        </w:rPr>
        <w:t xml:space="preserve">tard </w:t>
      </w:r>
      <w:r w:rsidRPr="00984886">
        <w:rPr>
          <w:rFonts w:ascii="Arial Narrow" w:hAnsi="Arial Narrow"/>
          <w:b/>
          <w:bCs/>
          <w:lang w:eastAsia="fr-FR"/>
        </w:rPr>
        <w:t xml:space="preserve">1 </w:t>
      </w:r>
      <w:r w:rsidR="00A806F0" w:rsidRPr="00984886">
        <w:rPr>
          <w:rFonts w:ascii="Arial Narrow" w:hAnsi="Arial Narrow"/>
          <w:b/>
        </w:rPr>
        <w:t>mois</w:t>
      </w:r>
      <w:r w:rsidR="00A806F0" w:rsidRPr="00984886">
        <w:rPr>
          <w:rFonts w:ascii="Arial Narrow" w:hAnsi="Arial Narrow"/>
        </w:rPr>
        <w:t xml:space="preserve"> maximum </w:t>
      </w:r>
      <w:r w:rsidR="008B1E4C">
        <w:rPr>
          <w:rFonts w:ascii="Arial Narrow" w:hAnsi="Arial Narrow"/>
        </w:rPr>
        <w:t>(soit vingt (20) jours ouvrés</w:t>
      </w:r>
      <w:r w:rsidRPr="00984886">
        <w:rPr>
          <w:rFonts w:ascii="Arial Narrow" w:hAnsi="Arial Narrow"/>
        </w:rPr>
        <w:t xml:space="preserve"> </w:t>
      </w:r>
      <w:r w:rsidR="00A806F0" w:rsidRPr="00984886">
        <w:rPr>
          <w:rFonts w:ascii="Arial Narrow" w:hAnsi="Arial Narrow"/>
        </w:rPr>
        <w:t>à compter de la notification du marché.</w:t>
      </w:r>
    </w:p>
    <w:p w14:paraId="7409836B" w14:textId="59FB5967" w:rsidR="00A806F0" w:rsidRPr="00984886" w:rsidRDefault="00A806F0" w:rsidP="00A806F0">
      <w:pPr>
        <w:spacing w:after="120" w:line="360" w:lineRule="auto"/>
        <w:jc w:val="both"/>
        <w:rPr>
          <w:rFonts w:ascii="Arial Narrow" w:hAnsi="Arial Narrow"/>
        </w:rPr>
      </w:pPr>
      <w:r w:rsidRPr="00984886">
        <w:rPr>
          <w:rFonts w:ascii="Arial Narrow" w:hAnsi="Arial Narrow"/>
        </w:rPr>
        <w:t>L'installation et la mise en ordre de marche seront notifiées par le titulaire à l’EPMO</w:t>
      </w:r>
      <w:r w:rsidR="001A25EB">
        <w:rPr>
          <w:rFonts w:ascii="Arial Narrow" w:hAnsi="Arial Narrow"/>
        </w:rPr>
        <w:t>-VGE</w:t>
      </w:r>
      <w:r w:rsidRPr="00984886">
        <w:rPr>
          <w:rFonts w:ascii="Arial Narrow" w:hAnsi="Arial Narrow"/>
        </w:rPr>
        <w:t>, qui en accusera réception.</w:t>
      </w:r>
    </w:p>
    <w:p w14:paraId="594E0384" w14:textId="747C4FF3" w:rsidR="0087279A" w:rsidRPr="00984886" w:rsidRDefault="00A806F0" w:rsidP="007D6A4D">
      <w:pPr>
        <w:spacing w:after="120" w:line="360" w:lineRule="auto"/>
        <w:jc w:val="both"/>
        <w:rPr>
          <w:rFonts w:ascii="Arial Narrow" w:hAnsi="Arial Narrow"/>
        </w:rPr>
      </w:pPr>
      <w:r w:rsidRPr="00984886">
        <w:rPr>
          <w:rFonts w:ascii="Arial Narrow" w:hAnsi="Arial Narrow"/>
        </w:rPr>
        <w:t>La vérification d'aptitude</w:t>
      </w:r>
      <w:r w:rsidR="005C0356" w:rsidRPr="00984886">
        <w:rPr>
          <w:rFonts w:ascii="Arial Narrow" w:hAnsi="Arial Narrow"/>
        </w:rPr>
        <w:t xml:space="preserve"> des tablettes</w:t>
      </w:r>
      <w:r w:rsidRPr="00984886">
        <w:rPr>
          <w:rFonts w:ascii="Arial Narrow" w:hAnsi="Arial Narrow"/>
        </w:rPr>
        <w:t xml:space="preserve"> a pour objet de constater</w:t>
      </w:r>
      <w:r w:rsidR="00A66643" w:rsidRPr="00984886">
        <w:rPr>
          <w:rFonts w:ascii="Arial Narrow" w:hAnsi="Arial Narrow"/>
        </w:rPr>
        <w:t xml:space="preserve"> </w:t>
      </w:r>
      <w:r w:rsidRPr="00984886">
        <w:rPr>
          <w:rFonts w:ascii="Arial Narrow" w:hAnsi="Arial Narrow"/>
        </w:rPr>
        <w:t xml:space="preserve">que </w:t>
      </w:r>
      <w:r w:rsidR="007D6A4D" w:rsidRPr="00984886">
        <w:rPr>
          <w:rFonts w:ascii="Arial Narrow" w:hAnsi="Arial Narrow"/>
        </w:rPr>
        <w:t>l</w:t>
      </w:r>
      <w:r w:rsidRPr="00984886">
        <w:rPr>
          <w:rFonts w:ascii="Arial Narrow" w:hAnsi="Arial Narrow"/>
        </w:rPr>
        <w:t>es caractéristiqu</w:t>
      </w:r>
      <w:r w:rsidR="00A7387D" w:rsidRPr="00984886">
        <w:rPr>
          <w:rFonts w:ascii="Arial Narrow" w:hAnsi="Arial Narrow"/>
        </w:rPr>
        <w:t>es techniques et fonctionnelles</w:t>
      </w:r>
      <w:r w:rsidR="0087279A" w:rsidRPr="00984886">
        <w:rPr>
          <w:rFonts w:ascii="Arial Narrow" w:hAnsi="Arial Narrow"/>
        </w:rPr>
        <w:t xml:space="preserve"> </w:t>
      </w:r>
      <w:r w:rsidR="005C0356" w:rsidRPr="00984886">
        <w:rPr>
          <w:rFonts w:ascii="Arial Narrow" w:hAnsi="Arial Narrow"/>
        </w:rPr>
        <w:t xml:space="preserve">des tablettes </w:t>
      </w:r>
      <w:r w:rsidR="00576C39" w:rsidRPr="00984886">
        <w:rPr>
          <w:rFonts w:ascii="Arial Narrow" w:hAnsi="Arial Narrow"/>
        </w:rPr>
        <w:t xml:space="preserve">sont </w:t>
      </w:r>
      <w:r w:rsidRPr="00984886">
        <w:rPr>
          <w:rFonts w:ascii="Arial Narrow" w:hAnsi="Arial Narrow"/>
        </w:rPr>
        <w:t xml:space="preserve">aptes à remplir les fonctions précisées </w:t>
      </w:r>
      <w:r w:rsidR="00D97F6E" w:rsidRPr="00984886">
        <w:rPr>
          <w:rFonts w:ascii="Arial Narrow" w:hAnsi="Arial Narrow"/>
        </w:rPr>
        <w:t xml:space="preserve">dans </w:t>
      </w:r>
      <w:r w:rsidRPr="00984886">
        <w:rPr>
          <w:rFonts w:ascii="Arial Narrow" w:hAnsi="Arial Narrow"/>
        </w:rPr>
        <w:t xml:space="preserve">le marché </w:t>
      </w:r>
      <w:r w:rsidR="00D97F6E" w:rsidRPr="00984886">
        <w:rPr>
          <w:rFonts w:ascii="Arial Narrow" w:hAnsi="Arial Narrow"/>
        </w:rPr>
        <w:t>ainsi que dans</w:t>
      </w:r>
      <w:r w:rsidRPr="00984886">
        <w:rPr>
          <w:rFonts w:ascii="Arial Narrow" w:hAnsi="Arial Narrow"/>
        </w:rPr>
        <w:t xml:space="preserve"> la documentation du titulaire.</w:t>
      </w:r>
      <w:r w:rsidR="0087279A" w:rsidRPr="00984886">
        <w:rPr>
          <w:rFonts w:ascii="Arial Narrow" w:hAnsi="Arial Narrow"/>
        </w:rPr>
        <w:t xml:space="preserve"> </w:t>
      </w:r>
    </w:p>
    <w:p w14:paraId="231583E9" w14:textId="68421890" w:rsidR="00A806F0" w:rsidRPr="00984886" w:rsidRDefault="00A806F0" w:rsidP="00A806F0">
      <w:pPr>
        <w:spacing w:after="120" w:line="360" w:lineRule="auto"/>
        <w:jc w:val="both"/>
        <w:rPr>
          <w:rFonts w:ascii="Arial Narrow" w:hAnsi="Arial Narrow"/>
        </w:rPr>
      </w:pPr>
      <w:r w:rsidRPr="00984886">
        <w:rPr>
          <w:rFonts w:ascii="Arial Narrow" w:hAnsi="Arial Narrow"/>
        </w:rPr>
        <w:t>Les essais et tests seront effectués selon un programme défini d'un commun accord entre le titulaire et l’EPMO</w:t>
      </w:r>
      <w:r w:rsidR="001A25EB">
        <w:rPr>
          <w:rFonts w:ascii="Arial Narrow" w:hAnsi="Arial Narrow"/>
        </w:rPr>
        <w:t>-VGE</w:t>
      </w:r>
      <w:r w:rsidRPr="00984886">
        <w:rPr>
          <w:rFonts w:ascii="Arial Narrow" w:hAnsi="Arial Narrow"/>
        </w:rPr>
        <w:t>.</w:t>
      </w:r>
    </w:p>
    <w:p w14:paraId="0B72442F" w14:textId="4A2C3CC8" w:rsidR="00A806F0" w:rsidRPr="00984886" w:rsidRDefault="00A806F0" w:rsidP="00A806F0">
      <w:pPr>
        <w:pStyle w:val="PARAGA0"/>
        <w:tabs>
          <w:tab w:val="left" w:pos="1720"/>
        </w:tabs>
        <w:spacing w:after="120" w:line="360" w:lineRule="auto"/>
        <w:ind w:right="256"/>
        <w:rPr>
          <w:rFonts w:ascii="Arial Narrow" w:hAnsi="Arial Narrow"/>
          <w:sz w:val="22"/>
          <w:szCs w:val="22"/>
        </w:rPr>
      </w:pPr>
      <w:r w:rsidRPr="00984886">
        <w:rPr>
          <w:rFonts w:ascii="Arial Narrow" w:hAnsi="Arial Narrow"/>
          <w:sz w:val="22"/>
          <w:szCs w:val="22"/>
        </w:rPr>
        <w:t xml:space="preserve">Le délai imparti </w:t>
      </w:r>
      <w:r w:rsidR="00102F05" w:rsidRPr="00984886">
        <w:rPr>
          <w:rFonts w:ascii="Arial Narrow" w:hAnsi="Arial Narrow"/>
          <w:sz w:val="22"/>
          <w:szCs w:val="22"/>
        </w:rPr>
        <w:t>l’EPMO</w:t>
      </w:r>
      <w:r w:rsidR="00723BD0">
        <w:rPr>
          <w:rFonts w:ascii="Arial Narrow" w:hAnsi="Arial Narrow"/>
          <w:sz w:val="22"/>
          <w:szCs w:val="22"/>
        </w:rPr>
        <w:t>-VGE</w:t>
      </w:r>
      <w:r w:rsidRPr="00984886">
        <w:rPr>
          <w:rFonts w:ascii="Arial Narrow" w:hAnsi="Arial Narrow"/>
          <w:sz w:val="22"/>
          <w:szCs w:val="22"/>
        </w:rPr>
        <w:t xml:space="preserve"> </w:t>
      </w:r>
      <w:r w:rsidRPr="00984886">
        <w:rPr>
          <w:rFonts w:ascii="Arial Narrow" w:eastAsiaTheme="minorHAnsi" w:hAnsi="Arial Narrow" w:cstheme="minorBidi"/>
          <w:sz w:val="22"/>
          <w:szCs w:val="22"/>
          <w:lang w:eastAsia="en-US"/>
        </w:rPr>
        <w:t>p</w:t>
      </w:r>
      <w:r w:rsidR="00102F05" w:rsidRPr="00984886">
        <w:rPr>
          <w:rFonts w:ascii="Arial Narrow" w:eastAsiaTheme="minorHAnsi" w:hAnsi="Arial Narrow" w:cstheme="minorBidi"/>
          <w:sz w:val="22"/>
          <w:szCs w:val="22"/>
          <w:lang w:eastAsia="en-US"/>
        </w:rPr>
        <w:t>our procéder aux vérifications</w:t>
      </w:r>
      <w:r w:rsidRPr="00984886">
        <w:rPr>
          <w:rFonts w:ascii="Arial Narrow" w:eastAsiaTheme="minorHAnsi" w:hAnsi="Arial Narrow" w:cstheme="minorBidi"/>
          <w:sz w:val="22"/>
          <w:szCs w:val="22"/>
          <w:lang w:eastAsia="en-US"/>
        </w:rPr>
        <w:t xml:space="preserve"> est de </w:t>
      </w:r>
      <w:r w:rsidR="009A7BA3" w:rsidRPr="00984886">
        <w:rPr>
          <w:rFonts w:ascii="Arial Narrow" w:eastAsiaTheme="minorHAnsi" w:hAnsi="Arial Narrow" w:cstheme="minorBidi"/>
          <w:sz w:val="22"/>
          <w:szCs w:val="22"/>
          <w:lang w:eastAsia="en-US"/>
        </w:rPr>
        <w:t xml:space="preserve">7 </w:t>
      </w:r>
      <w:r w:rsidR="00496157" w:rsidRPr="00984886">
        <w:rPr>
          <w:rFonts w:ascii="Arial Narrow" w:eastAsiaTheme="minorHAnsi" w:hAnsi="Arial Narrow" w:cstheme="minorBidi"/>
          <w:sz w:val="22"/>
          <w:szCs w:val="22"/>
          <w:lang w:eastAsia="en-US"/>
        </w:rPr>
        <w:t>jours</w:t>
      </w:r>
      <w:r w:rsidRPr="00984886">
        <w:rPr>
          <w:rFonts w:ascii="Arial Narrow" w:eastAsiaTheme="minorHAnsi" w:hAnsi="Arial Narrow" w:cstheme="minorBidi"/>
          <w:sz w:val="22"/>
          <w:szCs w:val="22"/>
          <w:lang w:eastAsia="en-US"/>
        </w:rPr>
        <w:t xml:space="preserve"> maximum à compter de l’accusé de réception de la notification de la mise en ordre de</w:t>
      </w:r>
      <w:r w:rsidRPr="00984886">
        <w:rPr>
          <w:rFonts w:ascii="Arial Narrow" w:hAnsi="Arial Narrow"/>
          <w:sz w:val="22"/>
          <w:szCs w:val="22"/>
        </w:rPr>
        <w:t xml:space="preserve"> marche.</w:t>
      </w:r>
    </w:p>
    <w:p w14:paraId="39AE7DF1" w14:textId="581BAB40" w:rsidR="00A806F0" w:rsidRPr="00984886" w:rsidRDefault="00A806F0" w:rsidP="00A806F0">
      <w:pPr>
        <w:pStyle w:val="PARAGA0"/>
        <w:tabs>
          <w:tab w:val="left" w:pos="1720"/>
        </w:tabs>
        <w:spacing w:after="120" w:line="360" w:lineRule="auto"/>
        <w:ind w:right="256"/>
        <w:rPr>
          <w:rFonts w:ascii="Arial Narrow" w:hAnsi="Arial Narrow" w:cs="Arial"/>
          <w:sz w:val="22"/>
          <w:szCs w:val="22"/>
        </w:rPr>
      </w:pPr>
      <w:r w:rsidRPr="00984886">
        <w:rPr>
          <w:rFonts w:ascii="Arial Narrow" w:hAnsi="Arial Narrow"/>
          <w:sz w:val="22"/>
          <w:szCs w:val="22"/>
        </w:rPr>
        <w:t xml:space="preserve">A l'issue </w:t>
      </w:r>
      <w:r w:rsidR="002346F2" w:rsidRPr="00984886">
        <w:rPr>
          <w:rFonts w:ascii="Arial Narrow" w:hAnsi="Arial Narrow"/>
          <w:sz w:val="22"/>
          <w:szCs w:val="22"/>
        </w:rPr>
        <w:t>de ce délai de vérification</w:t>
      </w:r>
      <w:r w:rsidR="00AB074F" w:rsidRPr="00984886">
        <w:rPr>
          <w:rFonts w:ascii="Arial Narrow" w:hAnsi="Arial Narrow"/>
          <w:sz w:val="22"/>
          <w:szCs w:val="22"/>
        </w:rPr>
        <w:t xml:space="preserve"> l’EPMO</w:t>
      </w:r>
      <w:r w:rsidR="00723BD0">
        <w:rPr>
          <w:rFonts w:ascii="Arial Narrow" w:hAnsi="Arial Narrow"/>
          <w:sz w:val="22"/>
          <w:szCs w:val="22"/>
        </w:rPr>
        <w:t>-VGE</w:t>
      </w:r>
      <w:r w:rsidRPr="00984886">
        <w:rPr>
          <w:rFonts w:ascii="Arial Narrow" w:hAnsi="Arial Narrow"/>
          <w:sz w:val="22"/>
          <w:szCs w:val="22"/>
        </w:rPr>
        <w:t xml:space="preserve"> dispose de 15 jours calendaires pour prononcer sa décision.</w:t>
      </w:r>
    </w:p>
    <w:p w14:paraId="1C6075F7" w14:textId="07A1778E" w:rsidR="00A806F0" w:rsidRPr="00984886" w:rsidRDefault="00A806F0" w:rsidP="00A806F0">
      <w:pPr>
        <w:spacing w:after="120" w:line="360" w:lineRule="auto"/>
        <w:jc w:val="both"/>
        <w:rPr>
          <w:rFonts w:ascii="Arial Narrow" w:hAnsi="Arial Narrow"/>
        </w:rPr>
      </w:pPr>
      <w:r w:rsidRPr="00984886">
        <w:rPr>
          <w:rFonts w:ascii="Arial Narrow" w:hAnsi="Arial Narrow"/>
        </w:rPr>
        <w:t>L’EPMO</w:t>
      </w:r>
      <w:r w:rsidR="00723BD0">
        <w:rPr>
          <w:rFonts w:ascii="Arial Narrow" w:hAnsi="Arial Narrow"/>
        </w:rPr>
        <w:t>-VGE</w:t>
      </w:r>
      <w:r w:rsidRPr="00984886">
        <w:rPr>
          <w:rFonts w:ascii="Arial Narrow" w:hAnsi="Arial Narrow"/>
        </w:rPr>
        <w:t xml:space="preserve"> prend alors une décision de validation, réfaction d’ajournement ou de rejet. La décision de validation, peut prendre la forme d’un simple courriel ou d’un service fait, mentionné sur la demande de paiement. En cas d’ajournement ou de rejet, </w:t>
      </w:r>
      <w:r w:rsidR="00102F05" w:rsidRPr="00984886">
        <w:rPr>
          <w:rFonts w:ascii="Arial Narrow" w:hAnsi="Arial Narrow"/>
        </w:rPr>
        <w:t>l’</w:t>
      </w:r>
      <w:r w:rsidR="008F588B" w:rsidRPr="00984886">
        <w:rPr>
          <w:rFonts w:ascii="Arial Narrow" w:hAnsi="Arial Narrow"/>
        </w:rPr>
        <w:t>EPMO</w:t>
      </w:r>
      <w:r w:rsidR="00723BD0">
        <w:rPr>
          <w:rFonts w:ascii="Arial Narrow" w:hAnsi="Arial Narrow"/>
        </w:rPr>
        <w:t>-VGE</w:t>
      </w:r>
      <w:r w:rsidRPr="00984886">
        <w:rPr>
          <w:rFonts w:ascii="Arial Narrow" w:hAnsi="Arial Narrow"/>
        </w:rPr>
        <w:t xml:space="preserve"> fixe un nouveau délai pour la présentation en vérification.</w:t>
      </w:r>
    </w:p>
    <w:p w14:paraId="3B9A3F40" w14:textId="77777777" w:rsidR="00A806F0" w:rsidRPr="00496157" w:rsidRDefault="00A806F0" w:rsidP="00A806F0">
      <w:pPr>
        <w:spacing w:after="120" w:line="360" w:lineRule="auto"/>
        <w:jc w:val="both"/>
        <w:rPr>
          <w:rFonts w:ascii="Arial Narrow" w:hAnsi="Arial Narrow"/>
        </w:rPr>
      </w:pPr>
      <w:r w:rsidRPr="00984886">
        <w:rPr>
          <w:rFonts w:ascii="Arial Narrow" w:hAnsi="Arial Narrow"/>
        </w:rPr>
        <w:t xml:space="preserve">En l’absence de décision à l’issue du délai </w:t>
      </w:r>
      <w:r w:rsidRPr="00984886">
        <w:rPr>
          <w:rFonts w:ascii="Arial Narrow" w:hAnsi="Arial Narrow"/>
          <w:b/>
        </w:rPr>
        <w:t>de 15 jours calendaires</w:t>
      </w:r>
      <w:r w:rsidRPr="00984886">
        <w:rPr>
          <w:rFonts w:ascii="Arial Narrow" w:hAnsi="Arial Narrow"/>
        </w:rPr>
        <w:t>, la vérification d’aptitude est réputée prononcée.</w:t>
      </w:r>
    </w:p>
    <w:p w14:paraId="0FA73B19" w14:textId="58E1FA57" w:rsidR="00A806F0" w:rsidRPr="00274046" w:rsidRDefault="00A806F0" w:rsidP="00274046">
      <w:pPr>
        <w:spacing w:after="120" w:line="360" w:lineRule="auto"/>
        <w:rPr>
          <w:rFonts w:ascii="Arial Narrow" w:hAnsi="Arial Narrow"/>
          <w:b/>
          <w:bCs/>
          <w:lang w:eastAsia="fr-FR"/>
        </w:rPr>
      </w:pPr>
    </w:p>
    <w:p w14:paraId="677F3EB8" w14:textId="7BE16F77" w:rsidR="00DA3C1E" w:rsidRPr="00DA3C1E" w:rsidRDefault="00DA3C1E" w:rsidP="00C331EE">
      <w:pPr>
        <w:pStyle w:val="En-tte"/>
        <w:numPr>
          <w:ilvl w:val="0"/>
          <w:numId w:val="15"/>
        </w:numPr>
        <w:tabs>
          <w:tab w:val="clear" w:pos="4536"/>
          <w:tab w:val="clear" w:pos="9072"/>
        </w:tabs>
        <w:spacing w:after="240" w:line="360" w:lineRule="auto"/>
        <w:jc w:val="both"/>
        <w:rPr>
          <w:rFonts w:ascii="Arial Narrow" w:hAnsi="Arial Narrow"/>
          <w:b/>
        </w:rPr>
      </w:pPr>
      <w:r w:rsidRPr="00DA3C1E">
        <w:rPr>
          <w:rFonts w:ascii="Arial Narrow" w:hAnsi="Arial Narrow"/>
          <w:b/>
        </w:rPr>
        <w:t xml:space="preserve">Pour les prestations </w:t>
      </w:r>
      <w:r w:rsidRPr="00AF1A58">
        <w:rPr>
          <w:rFonts w:ascii="Arial Narrow" w:hAnsi="Arial Narrow"/>
          <w:b/>
        </w:rPr>
        <w:t>réalisées au forfait</w:t>
      </w:r>
      <w:r w:rsidR="00792F93" w:rsidRPr="00AF1A58">
        <w:rPr>
          <w:rFonts w:ascii="Arial Narrow" w:hAnsi="Arial Narrow"/>
          <w:b/>
        </w:rPr>
        <w:t xml:space="preserve"> - </w:t>
      </w:r>
      <w:r w:rsidR="009A7BA3">
        <w:rPr>
          <w:rFonts w:ascii="Arial Narrow" w:hAnsi="Arial Narrow"/>
          <w:b/>
        </w:rPr>
        <w:t xml:space="preserve">Phase d’exploitation </w:t>
      </w:r>
      <w:r w:rsidR="00496157">
        <w:rPr>
          <w:rFonts w:ascii="Arial Narrow" w:hAnsi="Arial Narrow"/>
          <w:b/>
        </w:rPr>
        <w:t xml:space="preserve">comprenant la location des bornes, </w:t>
      </w:r>
      <w:r w:rsidR="00A1514A">
        <w:rPr>
          <w:rFonts w:ascii="Arial Narrow" w:hAnsi="Arial Narrow"/>
          <w:b/>
        </w:rPr>
        <w:t>les licences logicielles</w:t>
      </w:r>
      <w:r w:rsidR="00496157">
        <w:rPr>
          <w:rFonts w:ascii="Arial Narrow" w:hAnsi="Arial Narrow"/>
          <w:b/>
        </w:rPr>
        <w:t xml:space="preserve">, les </w:t>
      </w:r>
      <w:proofErr w:type="spellStart"/>
      <w:r w:rsidR="00496157">
        <w:rPr>
          <w:rFonts w:ascii="Arial Narrow" w:hAnsi="Arial Narrow"/>
          <w:b/>
        </w:rPr>
        <w:t>reporting</w:t>
      </w:r>
      <w:r w:rsidR="009A7BA3">
        <w:rPr>
          <w:rFonts w:ascii="Arial Narrow" w:hAnsi="Arial Narrow"/>
          <w:b/>
        </w:rPr>
        <w:t>s</w:t>
      </w:r>
      <w:proofErr w:type="spellEnd"/>
      <w:r w:rsidR="00496157">
        <w:rPr>
          <w:rFonts w:ascii="Arial Narrow" w:hAnsi="Arial Narrow"/>
          <w:b/>
        </w:rPr>
        <w:t>, et la maintenance</w:t>
      </w:r>
    </w:p>
    <w:p w14:paraId="70A29D30" w14:textId="0C7D8C5C" w:rsidR="00DA3C1E" w:rsidRPr="00DA3C1E" w:rsidRDefault="00DA3C1E" w:rsidP="00DA3C1E">
      <w:pPr>
        <w:pStyle w:val="En-tte"/>
        <w:spacing w:after="120" w:line="360" w:lineRule="auto"/>
        <w:jc w:val="both"/>
        <w:rPr>
          <w:rFonts w:ascii="Arial Narrow" w:hAnsi="Arial Narrow"/>
        </w:rPr>
      </w:pPr>
      <w:r w:rsidRPr="00DA3C1E">
        <w:rPr>
          <w:rFonts w:ascii="Arial Narrow" w:hAnsi="Arial Narrow"/>
        </w:rPr>
        <w:t xml:space="preserve">Les prestations seront vérifiées au fur </w:t>
      </w:r>
      <w:r w:rsidR="00C623D2">
        <w:rPr>
          <w:rFonts w:ascii="Arial Narrow" w:hAnsi="Arial Narrow"/>
        </w:rPr>
        <w:t>et à mesure de leur exécution. L</w:t>
      </w:r>
      <w:r w:rsidRPr="00DA3C1E">
        <w:rPr>
          <w:rFonts w:ascii="Arial Narrow" w:hAnsi="Arial Narrow"/>
        </w:rPr>
        <w:t>’</w:t>
      </w:r>
      <w:r w:rsidR="00C331EE">
        <w:rPr>
          <w:rFonts w:ascii="Arial Narrow" w:hAnsi="Arial Narrow"/>
        </w:rPr>
        <w:t>EPMO-</w:t>
      </w:r>
      <w:r w:rsidR="008B28A9">
        <w:rPr>
          <w:rFonts w:ascii="Arial Narrow" w:hAnsi="Arial Narrow"/>
        </w:rPr>
        <w:t>VGE</w:t>
      </w:r>
      <w:r w:rsidRPr="00DA3C1E">
        <w:rPr>
          <w:rFonts w:ascii="Arial Narrow" w:hAnsi="Arial Narrow"/>
        </w:rPr>
        <w:t xml:space="preserve"> suivra les incidents survenus et leur délai de résolution.</w:t>
      </w:r>
    </w:p>
    <w:p w14:paraId="1162F6D0" w14:textId="26BD535A" w:rsidR="00DA3C1E" w:rsidRDefault="00DA3C1E" w:rsidP="00CE7BBA">
      <w:pPr>
        <w:pStyle w:val="En-tte"/>
        <w:spacing w:after="120" w:line="360" w:lineRule="auto"/>
        <w:jc w:val="both"/>
        <w:rPr>
          <w:rFonts w:ascii="Arial Narrow" w:hAnsi="Arial Narrow"/>
        </w:rPr>
      </w:pPr>
      <w:r w:rsidRPr="00DA3C1E">
        <w:rPr>
          <w:rFonts w:ascii="Arial Narrow" w:hAnsi="Arial Narrow"/>
        </w:rPr>
        <w:t xml:space="preserve">Par dérogation à l’article 34 du CCAG-TIC, le service fait, mentionné sur la demande de paiement, vaut </w:t>
      </w:r>
      <w:r w:rsidR="004F029A">
        <w:rPr>
          <w:rFonts w:ascii="Arial Narrow" w:hAnsi="Arial Narrow"/>
        </w:rPr>
        <w:t>admission</w:t>
      </w:r>
      <w:r w:rsidR="00606F0B">
        <w:rPr>
          <w:rFonts w:ascii="Arial Narrow" w:hAnsi="Arial Narrow"/>
        </w:rPr>
        <w:t xml:space="preserve"> des prestations</w:t>
      </w:r>
      <w:r w:rsidRPr="00DA3C1E">
        <w:rPr>
          <w:rFonts w:ascii="Arial Narrow" w:hAnsi="Arial Narrow"/>
        </w:rPr>
        <w:t xml:space="preserve">. </w:t>
      </w:r>
    </w:p>
    <w:p w14:paraId="08A11D0C" w14:textId="017D4553" w:rsidR="00897949" w:rsidRDefault="00897949">
      <w:pPr>
        <w:rPr>
          <w:rFonts w:ascii="Arial Narrow" w:hAnsi="Arial Narrow"/>
        </w:rPr>
      </w:pPr>
      <w:r>
        <w:rPr>
          <w:rFonts w:ascii="Arial Narrow" w:hAnsi="Arial Narrow"/>
        </w:rPr>
        <w:br w:type="page"/>
      </w:r>
    </w:p>
    <w:p w14:paraId="3DD92E8F" w14:textId="77777777" w:rsidR="00E2495A" w:rsidRPr="00CE7BBA" w:rsidRDefault="00E2495A" w:rsidP="00CE7BBA">
      <w:pPr>
        <w:pStyle w:val="En-tte"/>
        <w:spacing w:after="120" w:line="360" w:lineRule="auto"/>
        <w:jc w:val="both"/>
        <w:rPr>
          <w:rFonts w:ascii="Arial Narrow" w:hAnsi="Arial Narrow"/>
        </w:rPr>
      </w:pPr>
    </w:p>
    <w:p w14:paraId="1CA33313" w14:textId="2032B90F" w:rsidR="00DA3C1E" w:rsidRPr="00DA3C1E" w:rsidRDefault="00DA3C1E" w:rsidP="00C331EE">
      <w:pPr>
        <w:pStyle w:val="En-tte"/>
        <w:numPr>
          <w:ilvl w:val="0"/>
          <w:numId w:val="15"/>
        </w:numPr>
        <w:tabs>
          <w:tab w:val="clear" w:pos="4536"/>
          <w:tab w:val="clear" w:pos="9072"/>
        </w:tabs>
        <w:spacing w:after="240" w:line="360" w:lineRule="auto"/>
        <w:jc w:val="both"/>
        <w:rPr>
          <w:rFonts w:ascii="Arial Narrow" w:hAnsi="Arial Narrow"/>
          <w:b/>
        </w:rPr>
      </w:pPr>
      <w:r w:rsidRPr="00DA3C1E">
        <w:rPr>
          <w:rFonts w:ascii="Arial Narrow" w:hAnsi="Arial Narrow"/>
          <w:b/>
        </w:rPr>
        <w:t>Opérations de vérification des prestations réalisées au titre de la part à commande</w:t>
      </w:r>
    </w:p>
    <w:p w14:paraId="18E9877A" w14:textId="2FA476F8" w:rsidR="00DA3C1E" w:rsidRPr="00A1514A" w:rsidRDefault="00DA3C1E" w:rsidP="00A1514A">
      <w:pPr>
        <w:pStyle w:val="En-tte"/>
        <w:spacing w:after="120" w:line="360" w:lineRule="auto"/>
        <w:jc w:val="both"/>
        <w:rPr>
          <w:rFonts w:ascii="Arial Narrow" w:hAnsi="Arial Narrow"/>
        </w:rPr>
      </w:pPr>
      <w:r w:rsidRPr="00496157">
        <w:rPr>
          <w:rFonts w:ascii="Arial Narrow" w:hAnsi="Arial Narrow"/>
        </w:rPr>
        <w:t>Par dérogation à l’article 29 à 34 du CCAG-TIC, les prestations seront vérifiées, pour chaque bon de commande, une fois réalisée la livraison</w:t>
      </w:r>
      <w:r w:rsidR="008F588B" w:rsidRPr="00496157">
        <w:rPr>
          <w:rFonts w:ascii="Arial Narrow" w:hAnsi="Arial Narrow"/>
        </w:rPr>
        <w:t xml:space="preserve"> complète</w:t>
      </w:r>
      <w:r w:rsidRPr="00496157">
        <w:rPr>
          <w:rFonts w:ascii="Arial Narrow" w:hAnsi="Arial Narrow"/>
        </w:rPr>
        <w:t xml:space="preserve"> des prestations du bon de commande.</w:t>
      </w:r>
    </w:p>
    <w:p w14:paraId="51FF0153" w14:textId="77777777" w:rsidR="00DA3C1E" w:rsidRPr="00DA3C1E" w:rsidRDefault="00DA3C1E" w:rsidP="00DA3C1E">
      <w:pPr>
        <w:pStyle w:val="En-tte"/>
        <w:spacing w:after="120" w:line="360" w:lineRule="auto"/>
        <w:jc w:val="both"/>
        <w:rPr>
          <w:rFonts w:ascii="Arial Narrow" w:hAnsi="Arial Narrow"/>
        </w:rPr>
      </w:pPr>
      <w:r w:rsidRPr="00DA3C1E">
        <w:rPr>
          <w:rFonts w:ascii="Arial Narrow" w:hAnsi="Arial Narrow"/>
        </w:rPr>
        <w:t>Cette vérification consiste en une vérification qualitative et quantitative simple. Par dérogation au CCAG- TIC, la réception de ces prestations prend la forme d’un simple courriel ou d’un service fait, mentionné sur la demande de paiement.</w:t>
      </w:r>
    </w:p>
    <w:p w14:paraId="7E1D8A5B" w14:textId="372ABDA7" w:rsidR="00A806F0" w:rsidRPr="00546FE0" w:rsidRDefault="00A806F0"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0BF5655B" w14:textId="7DC6203B" w:rsidR="00BA0856" w:rsidRPr="00546FE0" w:rsidRDefault="00BA0856" w:rsidP="00BA0856">
      <w:pPr>
        <w:pStyle w:val="En-tte"/>
        <w:tabs>
          <w:tab w:val="clear" w:pos="4536"/>
          <w:tab w:val="clear" w:pos="9072"/>
        </w:tabs>
        <w:spacing w:after="120" w:line="360" w:lineRule="auto"/>
        <w:jc w:val="both"/>
        <w:rPr>
          <w:rFonts w:ascii="Arial Narrow" w:hAnsi="Arial Narrow"/>
        </w:rPr>
      </w:pPr>
      <w:r w:rsidRPr="00581D45">
        <w:rPr>
          <w:rFonts w:ascii="Arial Narrow" w:hAnsi="Arial Narrow"/>
        </w:rPr>
        <w:t xml:space="preserve">Il est fait application du chapitre </w:t>
      </w:r>
      <w:r w:rsidR="00581D45" w:rsidRPr="00581D45">
        <w:rPr>
          <w:rFonts w:ascii="Arial Narrow" w:hAnsi="Arial Narrow"/>
        </w:rPr>
        <w:t>7</w:t>
      </w:r>
      <w:r w:rsidRPr="00581D45">
        <w:rPr>
          <w:rFonts w:ascii="Arial Narrow" w:hAnsi="Arial Narrow"/>
        </w:rPr>
        <w:t xml:space="preserve"> du CCAG-TIC</w:t>
      </w:r>
      <w:r w:rsidR="00FF3921">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728D2D10" w14:textId="633FADF2" w:rsidR="005C700D" w:rsidRDefault="005C700D" w:rsidP="005C700D">
      <w:pPr>
        <w:pStyle w:val="En-tte"/>
        <w:tabs>
          <w:tab w:val="clear" w:pos="4536"/>
          <w:tab w:val="clear" w:pos="9072"/>
        </w:tabs>
        <w:spacing w:after="120" w:line="360" w:lineRule="auto"/>
        <w:jc w:val="both"/>
        <w:rPr>
          <w:rFonts w:ascii="Arial Narrow" w:hAnsi="Arial Narrow"/>
        </w:rPr>
      </w:pPr>
      <w:r w:rsidRPr="00112993">
        <w:rPr>
          <w:rFonts w:ascii="Arial Narrow" w:hAnsi="Arial Narrow"/>
        </w:rPr>
        <w:t>Il est fait application des articles 5.1 et 5.2 du CCAG-TIC</w:t>
      </w:r>
    </w:p>
    <w:p w14:paraId="1D0109A3" w14:textId="77777777" w:rsidR="00D83290" w:rsidRPr="00546FE0" w:rsidRDefault="00D83290" w:rsidP="005C700D">
      <w:pPr>
        <w:pStyle w:val="En-tte"/>
        <w:tabs>
          <w:tab w:val="clear" w:pos="4536"/>
          <w:tab w:val="clear" w:pos="9072"/>
        </w:tabs>
        <w:spacing w:after="120" w:line="360" w:lineRule="auto"/>
        <w:jc w:val="both"/>
        <w:rPr>
          <w:rFonts w:ascii="Arial Narrow" w:hAnsi="Arial Narrow"/>
        </w:rPr>
      </w:pPr>
    </w:p>
    <w:p w14:paraId="0F06A26D" w14:textId="524731B2" w:rsidR="00BC60CF" w:rsidRPr="00546FE0" w:rsidRDefault="00BC60CF" w:rsidP="00BC60CF">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SECURITE </w:t>
      </w:r>
    </w:p>
    <w:p w14:paraId="10B59A22" w14:textId="4CB249C0" w:rsidR="00B15C27" w:rsidRPr="00BC60CF" w:rsidRDefault="00BC60CF" w:rsidP="00BC60CF">
      <w:pPr>
        <w:pStyle w:val="En-tte"/>
        <w:tabs>
          <w:tab w:val="clear" w:pos="4536"/>
          <w:tab w:val="clear" w:pos="9072"/>
        </w:tabs>
        <w:spacing w:after="120" w:line="360" w:lineRule="auto"/>
        <w:jc w:val="both"/>
        <w:rPr>
          <w:rFonts w:ascii="Arial Narrow" w:hAnsi="Arial Narrow"/>
        </w:rPr>
      </w:pPr>
      <w:r w:rsidRPr="000F0446">
        <w:rPr>
          <w:rFonts w:ascii="Arial Narrow" w:hAnsi="Arial Narrow"/>
        </w:rPr>
        <w:t>En com</w:t>
      </w:r>
      <w:r w:rsidR="00123812">
        <w:rPr>
          <w:rFonts w:ascii="Arial Narrow" w:hAnsi="Arial Narrow"/>
        </w:rPr>
        <w:t>plément de l’article 40 du CCAG-</w:t>
      </w:r>
      <w:r w:rsidRPr="000F0446">
        <w:rPr>
          <w:rFonts w:ascii="Arial Narrow" w:hAnsi="Arial Narrow"/>
        </w:rPr>
        <w:t>TIC et du CCTP</w:t>
      </w:r>
      <w:r w:rsidR="000F0446">
        <w:rPr>
          <w:rFonts w:ascii="Arial Narrow" w:hAnsi="Arial Narrow"/>
        </w:rPr>
        <w:t>.</w:t>
      </w:r>
    </w:p>
    <w:p w14:paraId="602AB299" w14:textId="77777777" w:rsidR="00BC60CF" w:rsidRDefault="00BC60CF" w:rsidP="00BC60CF"/>
    <w:p w14:paraId="2AFE3530" w14:textId="077F391F" w:rsidR="00BC60CF" w:rsidRPr="00BC60CF" w:rsidRDefault="00BC60CF" w:rsidP="00C331EE">
      <w:pPr>
        <w:pStyle w:val="En-tte"/>
        <w:numPr>
          <w:ilvl w:val="1"/>
          <w:numId w:val="13"/>
        </w:numPr>
        <w:tabs>
          <w:tab w:val="clear" w:pos="4536"/>
          <w:tab w:val="clear" w:pos="9072"/>
        </w:tabs>
        <w:spacing w:after="240" w:line="360" w:lineRule="auto"/>
        <w:ind w:left="426"/>
        <w:jc w:val="both"/>
        <w:rPr>
          <w:rFonts w:ascii="Arial Narrow" w:hAnsi="Arial Narrow"/>
          <w:b/>
        </w:rPr>
      </w:pPr>
      <w:r w:rsidRPr="00BC60CF">
        <w:rPr>
          <w:rFonts w:ascii="Arial Narrow" w:hAnsi="Arial Narrow"/>
          <w:b/>
        </w:rPr>
        <w:t>Informations sur les vulnérabilités et le</w:t>
      </w:r>
      <w:r w:rsidR="005534CD">
        <w:rPr>
          <w:rFonts w:ascii="Arial Narrow" w:hAnsi="Arial Narrow"/>
          <w:b/>
        </w:rPr>
        <w:t>s incidents de sécurité détecté</w:t>
      </w:r>
      <w:r w:rsidRPr="00BC60CF">
        <w:rPr>
          <w:rFonts w:ascii="Arial Narrow" w:hAnsi="Arial Narrow"/>
          <w:b/>
        </w:rPr>
        <w:t>s sur le système d’information du titulaire</w:t>
      </w:r>
    </w:p>
    <w:p w14:paraId="166680B6" w14:textId="27375698" w:rsidR="00BC60CF" w:rsidRPr="00BC60CF"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Pour les prestations fournies dans le cadre du marché, le titulaire met à disposition un dispositif d’information dédié à la sécurité informatique (notamment flux RSS/ATOM, liste de diffusion par courriel ou autre). Ce dispositif vise à tenir l’acheteur informé des événements et changements impactant la sécurité, notamment liés à la connaissance d’une vulnérabilité affectant le système (annonce de correctif, attaque en cours, violation de données à caractère personnel si le traitement de données est sous-traité au titulaire), et des mesures correctives ou conservatoires à appliquer.</w:t>
      </w:r>
    </w:p>
    <w:p w14:paraId="61B4D440" w14:textId="2E6C0666" w:rsidR="00BC60CF" w:rsidRPr="00BC60CF" w:rsidRDefault="00BC60CF" w:rsidP="00C331EE">
      <w:pPr>
        <w:pStyle w:val="En-tte"/>
        <w:numPr>
          <w:ilvl w:val="1"/>
          <w:numId w:val="13"/>
        </w:numPr>
        <w:tabs>
          <w:tab w:val="clear" w:pos="4536"/>
          <w:tab w:val="clear" w:pos="9072"/>
        </w:tabs>
        <w:spacing w:after="240" w:line="360" w:lineRule="auto"/>
        <w:ind w:left="284"/>
        <w:jc w:val="both"/>
        <w:rPr>
          <w:rFonts w:ascii="Arial Narrow" w:hAnsi="Arial Narrow"/>
          <w:b/>
        </w:rPr>
      </w:pPr>
      <w:r>
        <w:rPr>
          <w:rFonts w:ascii="Arial Narrow" w:hAnsi="Arial Narrow"/>
          <w:b/>
        </w:rPr>
        <w:t>D</w:t>
      </w:r>
      <w:r w:rsidRPr="00BC60CF">
        <w:rPr>
          <w:rFonts w:ascii="Arial Narrow" w:hAnsi="Arial Narrow"/>
          <w:b/>
        </w:rPr>
        <w:t>evoir de conseil</w:t>
      </w:r>
    </w:p>
    <w:p w14:paraId="2F94CA51" w14:textId="4D2BBF17" w:rsidR="00BC60CF" w:rsidRDefault="00BC60CF" w:rsidP="00415C0D">
      <w:pPr>
        <w:pStyle w:val="En-tte"/>
        <w:tabs>
          <w:tab w:val="clear" w:pos="4536"/>
          <w:tab w:val="clear" w:pos="9072"/>
        </w:tabs>
        <w:spacing w:after="120" w:line="360" w:lineRule="auto"/>
        <w:jc w:val="both"/>
      </w:pPr>
      <w:r w:rsidRPr="00BC60CF">
        <w:rPr>
          <w:rFonts w:ascii="Arial Narrow" w:hAnsi="Arial Narrow"/>
        </w:rPr>
        <w:t>Le titulaire est tenu à une obligation permanente de conseil et de mise en garde, relative aux matériels, logiciels et prestations fournies à l’</w:t>
      </w:r>
      <w:r w:rsidR="00C331EE">
        <w:rPr>
          <w:rFonts w:ascii="Arial Narrow" w:hAnsi="Arial Narrow"/>
        </w:rPr>
        <w:t>EPMO-</w:t>
      </w:r>
      <w:r w:rsidR="008B28A9" w:rsidDel="008B28A9">
        <w:rPr>
          <w:rFonts w:ascii="Arial Narrow" w:hAnsi="Arial Narrow"/>
        </w:rPr>
        <w:t xml:space="preserve"> </w:t>
      </w:r>
      <w:r w:rsidR="00C331EE">
        <w:rPr>
          <w:rFonts w:ascii="Arial Narrow" w:hAnsi="Arial Narrow"/>
        </w:rPr>
        <w:t>-VGE</w:t>
      </w:r>
      <w:r w:rsidRPr="00BC60CF">
        <w:rPr>
          <w:rFonts w:ascii="Arial Narrow" w:hAnsi="Arial Narrow"/>
        </w:rPr>
        <w:t xml:space="preserve">. Dans ce cadre, le titulaire notifie à l’acheteur toute information permettant d’améliorer le niveau de sécurité du système d’information et signaler les difficultés et risques que certains choix </w:t>
      </w:r>
      <w:r w:rsidRPr="00BC60CF">
        <w:rPr>
          <w:rFonts w:ascii="Arial Narrow" w:hAnsi="Arial Narrow"/>
        </w:rPr>
        <w:lastRenderedPageBreak/>
        <w:t>peuvent entraîner. Dans l’hypothèse où le titulaire ne respecte obligation, il ne peut se prévaloir d’une incohérence dans le marché pour s’exonérer de ses obligations contractuelles.</w:t>
      </w:r>
    </w:p>
    <w:p w14:paraId="7A22414A" w14:textId="2951B4B3" w:rsidR="00BC60CF" w:rsidRPr="00BC60CF" w:rsidRDefault="00BC60CF" w:rsidP="00C331EE">
      <w:pPr>
        <w:pStyle w:val="En-tte"/>
        <w:numPr>
          <w:ilvl w:val="1"/>
          <w:numId w:val="13"/>
        </w:numPr>
        <w:tabs>
          <w:tab w:val="clear" w:pos="4536"/>
          <w:tab w:val="clear" w:pos="9072"/>
        </w:tabs>
        <w:spacing w:after="240" w:line="360" w:lineRule="auto"/>
        <w:ind w:left="426"/>
        <w:jc w:val="both"/>
        <w:rPr>
          <w:rFonts w:ascii="Arial Narrow" w:hAnsi="Arial Narrow"/>
          <w:b/>
        </w:rPr>
      </w:pPr>
      <w:r w:rsidRPr="00BC60CF">
        <w:rPr>
          <w:rFonts w:ascii="Arial Narrow" w:hAnsi="Arial Narrow"/>
          <w:b/>
        </w:rPr>
        <w:t>État de l’art</w:t>
      </w:r>
    </w:p>
    <w:p w14:paraId="182C2CCA" w14:textId="3FBC3AD3" w:rsidR="00BC60CF" w:rsidRDefault="00BC60CF" w:rsidP="00415C0D">
      <w:pPr>
        <w:pStyle w:val="En-tte"/>
        <w:tabs>
          <w:tab w:val="clear" w:pos="4536"/>
          <w:tab w:val="clear" w:pos="9072"/>
        </w:tabs>
        <w:spacing w:after="120" w:line="360" w:lineRule="auto"/>
        <w:jc w:val="both"/>
      </w:pPr>
      <w:r w:rsidRPr="00BC60CF">
        <w:rPr>
          <w:rFonts w:ascii="Arial Narrow" w:hAnsi="Arial Narrow"/>
        </w:rPr>
        <w:t>Le titulaire garantit à</w:t>
      </w:r>
      <w:r w:rsidR="00FC5152">
        <w:rPr>
          <w:rFonts w:ascii="Arial Narrow" w:hAnsi="Arial Narrow"/>
        </w:rPr>
        <w:t xml:space="preserve"> l’</w:t>
      </w:r>
      <w:r w:rsidR="009B4A49">
        <w:rPr>
          <w:rFonts w:ascii="Arial Narrow" w:hAnsi="Arial Narrow"/>
        </w:rPr>
        <w:t>EPMO</w:t>
      </w:r>
      <w:r w:rsidR="008B28A9" w:rsidDel="008B28A9">
        <w:rPr>
          <w:rFonts w:ascii="Arial Narrow" w:hAnsi="Arial Narrow"/>
        </w:rPr>
        <w:t xml:space="preserve"> </w:t>
      </w:r>
      <w:r w:rsidR="00C331EE">
        <w:rPr>
          <w:rFonts w:ascii="Arial Narrow" w:hAnsi="Arial Narrow"/>
        </w:rPr>
        <w:t>-VGE</w:t>
      </w:r>
      <w:r w:rsidR="00FC5152">
        <w:rPr>
          <w:rFonts w:ascii="Arial Narrow" w:hAnsi="Arial Narrow"/>
        </w:rPr>
        <w:t xml:space="preserve"> </w:t>
      </w:r>
      <w:r w:rsidR="00FC5152" w:rsidRPr="00BC60CF">
        <w:rPr>
          <w:rFonts w:ascii="Arial Narrow" w:hAnsi="Arial Narrow"/>
        </w:rPr>
        <w:t>qu’il</w:t>
      </w:r>
      <w:r w:rsidRPr="00BC60CF">
        <w:rPr>
          <w:rFonts w:ascii="Arial Narrow" w:hAnsi="Arial Narrow"/>
        </w:rPr>
        <w:t xml:space="preserve"> est conforme à l’état de l’art pour les services et objets numériques fournis dans le cadre des prestations du marché. À la demande </w:t>
      </w:r>
      <w:r w:rsidR="00FC5152">
        <w:rPr>
          <w:rFonts w:ascii="Arial Narrow" w:hAnsi="Arial Narrow"/>
        </w:rPr>
        <w:t>de l’</w:t>
      </w:r>
      <w:r w:rsidR="00C331EE">
        <w:rPr>
          <w:rFonts w:ascii="Arial Narrow" w:hAnsi="Arial Narrow"/>
        </w:rPr>
        <w:t>EPMO-</w:t>
      </w:r>
      <w:r w:rsidR="008B28A9" w:rsidDel="008B28A9">
        <w:rPr>
          <w:rFonts w:ascii="Arial Narrow" w:hAnsi="Arial Narrow"/>
        </w:rPr>
        <w:t xml:space="preserve"> </w:t>
      </w:r>
      <w:r w:rsidR="00C331EE">
        <w:rPr>
          <w:rFonts w:ascii="Arial Narrow" w:hAnsi="Arial Narrow"/>
        </w:rPr>
        <w:t>VGE</w:t>
      </w:r>
      <w:r w:rsidRPr="00BC60CF">
        <w:rPr>
          <w:rFonts w:ascii="Arial Narrow" w:hAnsi="Arial Narrow"/>
        </w:rPr>
        <w:t>, le titulaire fournit la preuve de cette conformité. Il précise alors les domaines concernés (interfaces web et courriels), les objets et bases d’information concernées (appareils connectés, sauvegardes de données, consoles d’administration). Le CCTP décrit les exigences que le titulaire doit respecter pour chaque prestation.</w:t>
      </w:r>
    </w:p>
    <w:p w14:paraId="71BF06D7" w14:textId="70E77122" w:rsidR="00BC60CF" w:rsidRPr="00BC60CF" w:rsidRDefault="00BC60CF" w:rsidP="00C331EE">
      <w:pPr>
        <w:pStyle w:val="En-tte"/>
        <w:numPr>
          <w:ilvl w:val="1"/>
          <w:numId w:val="13"/>
        </w:numPr>
        <w:tabs>
          <w:tab w:val="clear" w:pos="4536"/>
          <w:tab w:val="clear" w:pos="9072"/>
        </w:tabs>
        <w:spacing w:after="240" w:line="360" w:lineRule="auto"/>
        <w:ind w:left="426"/>
        <w:jc w:val="both"/>
        <w:rPr>
          <w:rFonts w:ascii="Arial Narrow" w:hAnsi="Arial Narrow"/>
          <w:b/>
        </w:rPr>
      </w:pPr>
      <w:r w:rsidRPr="00BC60CF">
        <w:rPr>
          <w:rFonts w:ascii="Arial Narrow" w:hAnsi="Arial Narrow"/>
          <w:b/>
        </w:rPr>
        <w:t>Réversibilité et transférabilité</w:t>
      </w:r>
    </w:p>
    <w:p w14:paraId="17F37EAF" w14:textId="77777777" w:rsidR="007A30BA"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 xml:space="preserve">Durant la phase de transfert, l’assurance de la sécurité réside notamment dans : </w:t>
      </w:r>
    </w:p>
    <w:p w14:paraId="71B7CF07" w14:textId="77777777" w:rsidR="007A30BA"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 xml:space="preserve">- la gestion des accès, des habilitations ; </w:t>
      </w:r>
    </w:p>
    <w:p w14:paraId="7A1F7560" w14:textId="77777777" w:rsidR="007A30BA"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 xml:space="preserve">- le transfert de responsabilités ; </w:t>
      </w:r>
    </w:p>
    <w:p w14:paraId="11AF0396" w14:textId="77777777" w:rsidR="007A30BA"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 xml:space="preserve">- la fourniture d’informations nécessitant des mesures de protection adaptées ; </w:t>
      </w:r>
    </w:p>
    <w:p w14:paraId="2A8391B2" w14:textId="77777777" w:rsidR="007A30BA" w:rsidRDefault="00BC60CF" w:rsidP="00BC60CF">
      <w:pPr>
        <w:pStyle w:val="En-tte"/>
        <w:tabs>
          <w:tab w:val="clear" w:pos="4536"/>
          <w:tab w:val="clear" w:pos="9072"/>
        </w:tabs>
        <w:spacing w:after="120" w:line="360" w:lineRule="auto"/>
        <w:jc w:val="both"/>
        <w:rPr>
          <w:rFonts w:ascii="Arial Narrow" w:hAnsi="Arial Narrow"/>
        </w:rPr>
      </w:pPr>
      <w:r w:rsidRPr="00BC60CF">
        <w:rPr>
          <w:rFonts w:ascii="Arial Narrow" w:hAnsi="Arial Narrow"/>
        </w:rPr>
        <w:t xml:space="preserve">- la gestion de la continuité de l’activité. </w:t>
      </w:r>
    </w:p>
    <w:p w14:paraId="48764E8E" w14:textId="7845B735" w:rsidR="00BC60CF" w:rsidRPr="00B94B5B" w:rsidRDefault="007A30BA" w:rsidP="00B94B5B">
      <w:pPr>
        <w:pStyle w:val="En-tte"/>
        <w:tabs>
          <w:tab w:val="clear" w:pos="4536"/>
          <w:tab w:val="clear" w:pos="9072"/>
        </w:tabs>
        <w:spacing w:after="120" w:line="360" w:lineRule="auto"/>
        <w:jc w:val="both"/>
        <w:rPr>
          <w:rFonts w:ascii="Arial Narrow" w:hAnsi="Arial Narrow"/>
        </w:rPr>
      </w:pPr>
      <w:r w:rsidRPr="00B94B5B">
        <w:rPr>
          <w:rFonts w:ascii="Arial Narrow" w:hAnsi="Arial Narrow"/>
        </w:rPr>
        <w:t xml:space="preserve">- </w:t>
      </w:r>
      <w:r w:rsidR="00BC60CF" w:rsidRPr="00B94B5B">
        <w:rPr>
          <w:rFonts w:ascii="Arial Narrow" w:hAnsi="Arial Narrow"/>
        </w:rPr>
        <w:t>L’</w:t>
      </w:r>
      <w:r w:rsidR="00C331EE">
        <w:rPr>
          <w:rFonts w:ascii="Arial Narrow" w:hAnsi="Arial Narrow"/>
        </w:rPr>
        <w:t>EPMO-</w:t>
      </w:r>
      <w:r w:rsidR="00897949">
        <w:rPr>
          <w:rFonts w:ascii="Arial Narrow" w:hAnsi="Arial Narrow"/>
        </w:rPr>
        <w:t xml:space="preserve"> </w:t>
      </w:r>
      <w:r w:rsidR="00C331EE">
        <w:rPr>
          <w:rFonts w:ascii="Arial Narrow" w:hAnsi="Arial Narrow"/>
        </w:rPr>
        <w:t>VGE</w:t>
      </w:r>
      <w:r w:rsidR="00D86413" w:rsidRPr="00B94B5B">
        <w:rPr>
          <w:rFonts w:ascii="Arial Narrow" w:hAnsi="Arial Narrow"/>
        </w:rPr>
        <w:t xml:space="preserve"> </w:t>
      </w:r>
      <w:r w:rsidR="00BC60CF" w:rsidRPr="00B94B5B">
        <w:rPr>
          <w:rFonts w:ascii="Arial Narrow" w:hAnsi="Arial Narrow"/>
        </w:rPr>
        <w:t>peut effectuer ou faire effectuer un audit de sécurité auprès du titulaire ou le cas échéant de ses sous-traitants afin de s’assurer de la prise en compte effective du niveau de sécurité requis par l’acheteur. Le titulaire est informé 15 jours à l’avance (date de l’audit, modalités etc.).</w:t>
      </w:r>
    </w:p>
    <w:p w14:paraId="12817396" w14:textId="77777777" w:rsidR="00BC60CF" w:rsidRPr="00546FE0" w:rsidRDefault="00BC60CF" w:rsidP="00D9355E">
      <w:pPr>
        <w:pStyle w:val="En-tte"/>
        <w:tabs>
          <w:tab w:val="clear" w:pos="4536"/>
          <w:tab w:val="clear" w:pos="9072"/>
        </w:tabs>
        <w:spacing w:after="120" w:line="360" w:lineRule="auto"/>
        <w:jc w:val="both"/>
        <w:rPr>
          <w:rFonts w:ascii="Arial Narrow" w:hAnsi="Arial Narrow"/>
        </w:rPr>
      </w:pPr>
    </w:p>
    <w:p w14:paraId="4BE5BA6B" w14:textId="77777777" w:rsidR="002B26E3" w:rsidRPr="00546FE0" w:rsidRDefault="002B26E3" w:rsidP="002B26E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69A40C1D" w14:textId="7004B116" w:rsidR="00682587" w:rsidRPr="00682587" w:rsidRDefault="005C62D1" w:rsidP="00C331EE">
      <w:pPr>
        <w:pStyle w:val="En-tte"/>
        <w:numPr>
          <w:ilvl w:val="0"/>
          <w:numId w:val="19"/>
        </w:numPr>
        <w:tabs>
          <w:tab w:val="clear" w:pos="4536"/>
          <w:tab w:val="clear" w:pos="9072"/>
        </w:tabs>
        <w:spacing w:after="240" w:line="360" w:lineRule="auto"/>
        <w:jc w:val="both"/>
        <w:rPr>
          <w:rFonts w:ascii="Arial Narrow" w:hAnsi="Arial Narrow"/>
          <w:b/>
        </w:rPr>
      </w:pPr>
      <w:r>
        <w:rPr>
          <w:rFonts w:ascii="Arial Narrow" w:hAnsi="Arial Narrow"/>
          <w:b/>
        </w:rPr>
        <w:t>1 Démarche</w:t>
      </w:r>
      <w:r w:rsidR="00682587">
        <w:rPr>
          <w:rFonts w:ascii="Arial Narrow" w:hAnsi="Arial Narrow"/>
          <w:b/>
        </w:rPr>
        <w:t xml:space="preserve"> de l’</w:t>
      </w:r>
      <w:r w:rsidR="00C331EE">
        <w:rPr>
          <w:rFonts w:ascii="Arial Narrow" w:hAnsi="Arial Narrow"/>
          <w:b/>
        </w:rPr>
        <w:t>EPMO-VGE</w:t>
      </w:r>
    </w:p>
    <w:p w14:paraId="472D6B0B" w14:textId="5C214482" w:rsidR="002B26E3" w:rsidRDefault="002B26E3" w:rsidP="002B26E3">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C331EE">
        <w:rPr>
          <w:rFonts w:ascii="Arial Narrow" w:hAnsi="Arial Narrow"/>
        </w:rPr>
        <w:t>EPMO-</w:t>
      </w:r>
      <w:r w:rsidR="0023593A">
        <w:rPr>
          <w:rFonts w:ascii="Arial Narrow" w:hAnsi="Arial Narrow"/>
        </w:rPr>
        <w:t xml:space="preserve"> </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sur demande. Cette démarche recouvre l’ensemble des missions de l’Etablissement ; elle a pour objet l’intégration systématique des enjeux sociaux et environnementaux dans toutes les activités. L’</w:t>
      </w:r>
      <w:r w:rsidR="00C331EE">
        <w:rPr>
          <w:rFonts w:ascii="Arial Narrow" w:hAnsi="Arial Narrow"/>
        </w:rPr>
        <w:t>EPMO-VGE</w:t>
      </w:r>
      <w:r>
        <w:rPr>
          <w:rFonts w:ascii="Arial Narrow" w:hAnsi="Arial Narrow"/>
        </w:rPr>
        <w:t xml:space="preserv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4706C79" w14:textId="5E70D3D4" w:rsidR="002B26E3" w:rsidRPr="00546FE0" w:rsidRDefault="002B26E3" w:rsidP="002B26E3">
      <w:pPr>
        <w:pStyle w:val="En-tte"/>
        <w:tabs>
          <w:tab w:val="clear" w:pos="4536"/>
          <w:tab w:val="clear" w:pos="9072"/>
        </w:tabs>
        <w:spacing w:after="120" w:line="360" w:lineRule="auto"/>
        <w:jc w:val="both"/>
        <w:rPr>
          <w:rFonts w:ascii="Arial Narrow" w:hAnsi="Arial Narrow"/>
        </w:rPr>
      </w:pPr>
      <w:r>
        <w:rPr>
          <w:rFonts w:ascii="Arial Narrow" w:hAnsi="Arial Narrow"/>
        </w:rPr>
        <w:t>L’</w:t>
      </w:r>
      <w:r w:rsidR="00C331EE">
        <w:rPr>
          <w:rFonts w:ascii="Arial Narrow" w:hAnsi="Arial Narrow"/>
        </w:rPr>
        <w:t>EPMO-VGE</w:t>
      </w:r>
      <w:r>
        <w:rPr>
          <w:rFonts w:ascii="Arial Narrow" w:hAnsi="Arial Narrow"/>
        </w:rPr>
        <w:t xml:space="preserv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57FE31E0" w14:textId="77777777" w:rsidR="002B26E3" w:rsidRDefault="002B26E3" w:rsidP="002B26E3">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4DCC48FF" w14:textId="0C9563B3" w:rsidR="002B26E3" w:rsidRPr="00560BA6" w:rsidRDefault="002B26E3" w:rsidP="002B26E3">
      <w:pPr>
        <w:spacing w:after="0" w:line="360" w:lineRule="auto"/>
        <w:jc w:val="both"/>
        <w:rPr>
          <w:rFonts w:ascii="Arial Narrow" w:hAnsi="Arial Narrow"/>
        </w:rPr>
      </w:pPr>
      <w:r w:rsidRPr="00560BA6">
        <w:rPr>
          <w:rFonts w:ascii="Arial Narrow" w:hAnsi="Arial Narrow"/>
        </w:rPr>
        <w:lastRenderedPageBreak/>
        <w:t xml:space="preserve">Enfin, il est attendu du titulaire qu’il participe au suivi de l’empreinte carbone de </w:t>
      </w:r>
      <w:r w:rsidR="00150B2B">
        <w:rPr>
          <w:rFonts w:ascii="Arial Narrow" w:hAnsi="Arial Narrow"/>
        </w:rPr>
        <w:t>l’EPMO-VGE</w:t>
      </w:r>
      <w:r w:rsidRPr="00560BA6">
        <w:rPr>
          <w:rFonts w:ascii="Arial Narrow" w:hAnsi="Arial Narrow"/>
        </w:rPr>
        <w:t>, notamment lors de la réalisation du Bilan Carbone, en fournissant le</w:t>
      </w:r>
      <w:r w:rsidR="00150B2B">
        <w:rPr>
          <w:rFonts w:ascii="Arial Narrow" w:hAnsi="Arial Narrow"/>
        </w:rPr>
        <w:t>s données demandées par l’EPM</w:t>
      </w:r>
      <w:r w:rsidRPr="00560BA6">
        <w:rPr>
          <w:rFonts w:ascii="Arial Narrow" w:hAnsi="Arial Narrow"/>
        </w:rPr>
        <w:t xml:space="preserve">O-VGE. </w:t>
      </w:r>
    </w:p>
    <w:p w14:paraId="0FEE0AA5" w14:textId="6D224F64" w:rsidR="00682587" w:rsidRDefault="00682587" w:rsidP="00A85AA3">
      <w:pPr>
        <w:pStyle w:val="En-tte"/>
        <w:tabs>
          <w:tab w:val="clear" w:pos="4536"/>
          <w:tab w:val="clear" w:pos="9072"/>
        </w:tabs>
        <w:spacing w:after="120"/>
        <w:jc w:val="both"/>
        <w:rPr>
          <w:spacing w:val="-1"/>
          <w:sz w:val="20"/>
        </w:rPr>
      </w:pPr>
    </w:p>
    <w:p w14:paraId="4B8A7874" w14:textId="6ED0DDCD" w:rsidR="00682587" w:rsidRDefault="00BC4BE8" w:rsidP="00BC4BE8">
      <w:pPr>
        <w:pStyle w:val="Default"/>
        <w:rPr>
          <w:rFonts w:ascii="Arial Narrow" w:hAnsi="Arial Narrow"/>
          <w:b/>
          <w:bCs/>
          <w:sz w:val="22"/>
          <w:szCs w:val="22"/>
        </w:rPr>
      </w:pPr>
      <w:r>
        <w:rPr>
          <w:rFonts w:ascii="Arial Narrow" w:hAnsi="Arial Narrow"/>
          <w:b/>
          <w:bCs/>
          <w:sz w:val="22"/>
          <w:szCs w:val="22"/>
        </w:rPr>
        <w:t xml:space="preserve">10.2 </w:t>
      </w:r>
      <w:r w:rsidR="00682587" w:rsidRPr="00BC4BE8">
        <w:rPr>
          <w:rFonts w:ascii="Arial Narrow" w:hAnsi="Arial Narrow"/>
          <w:b/>
          <w:bCs/>
          <w:sz w:val="22"/>
          <w:szCs w:val="22"/>
        </w:rPr>
        <w:t>mesure relative au bilan carbone</w:t>
      </w:r>
    </w:p>
    <w:p w14:paraId="07E84DF1" w14:textId="77777777" w:rsidR="00BC4BE8" w:rsidRPr="00BC4BE8" w:rsidRDefault="00BC4BE8" w:rsidP="00BC4BE8">
      <w:pPr>
        <w:pStyle w:val="Default"/>
        <w:ind w:left="765"/>
        <w:rPr>
          <w:rFonts w:ascii="Arial Narrow" w:hAnsi="Arial Narrow"/>
          <w:b/>
          <w:bCs/>
          <w:sz w:val="22"/>
          <w:szCs w:val="22"/>
        </w:rPr>
      </w:pPr>
    </w:p>
    <w:p w14:paraId="79671291" w14:textId="32450061" w:rsidR="00A85AA3" w:rsidRPr="00682587" w:rsidRDefault="00682587" w:rsidP="00A85AA3">
      <w:pPr>
        <w:pStyle w:val="En-tte"/>
        <w:tabs>
          <w:tab w:val="clear" w:pos="4536"/>
          <w:tab w:val="clear" w:pos="9072"/>
        </w:tabs>
        <w:spacing w:after="120"/>
        <w:jc w:val="both"/>
        <w:rPr>
          <w:rFonts w:ascii="Arial Narrow" w:hAnsi="Arial Narrow"/>
          <w:spacing w:val="-1"/>
        </w:rPr>
      </w:pPr>
      <w:r w:rsidRPr="00682587">
        <w:rPr>
          <w:rFonts w:ascii="Arial Narrow" w:hAnsi="Arial Narrow"/>
          <w:spacing w:val="-1"/>
        </w:rPr>
        <w:t>A ce titre l</w:t>
      </w:r>
      <w:r w:rsidR="00A85AA3" w:rsidRPr="00682587">
        <w:rPr>
          <w:rFonts w:ascii="Arial Narrow" w:hAnsi="Arial Narrow"/>
          <w:spacing w:val="-1"/>
        </w:rPr>
        <w:t>e titulaire est tenu de fournir les données nécessaires à cette mesure, telles que demandées par l’</w:t>
      </w:r>
      <w:r w:rsidR="00C331EE">
        <w:rPr>
          <w:rFonts w:ascii="Arial Narrow" w:hAnsi="Arial Narrow"/>
          <w:spacing w:val="-1"/>
        </w:rPr>
        <w:t>EPMO-VGE</w:t>
      </w:r>
      <w:r w:rsidR="00A85AA3" w:rsidRPr="00682587">
        <w:rPr>
          <w:rFonts w:ascii="Arial Narrow" w:hAnsi="Arial Narrow"/>
          <w:spacing w:val="-1"/>
        </w:rPr>
        <w:t xml:space="preserve">: </w:t>
      </w:r>
    </w:p>
    <w:p w14:paraId="4912BC5A" w14:textId="1F7A5237" w:rsidR="00A85AA3" w:rsidRPr="00823623" w:rsidRDefault="00A85AA3" w:rsidP="00C331EE">
      <w:pPr>
        <w:pStyle w:val="En-tte"/>
        <w:numPr>
          <w:ilvl w:val="0"/>
          <w:numId w:val="18"/>
        </w:numPr>
        <w:spacing w:after="120"/>
        <w:jc w:val="both"/>
        <w:rPr>
          <w:rFonts w:ascii="Arial Narrow" w:hAnsi="Arial Narrow"/>
          <w:spacing w:val="-1"/>
        </w:rPr>
      </w:pPr>
      <w:r w:rsidRPr="00823623">
        <w:rPr>
          <w:rFonts w:ascii="Arial Narrow" w:hAnsi="Arial Narrow"/>
          <w:spacing w:val="-1"/>
        </w:rPr>
        <w:t>Type de produit (reconditionné, neuf, (recyclé, non recyclé</w:t>
      </w:r>
    </w:p>
    <w:p w14:paraId="5902F099" w14:textId="73A45C9E" w:rsidR="00A85AA3" w:rsidRPr="00823623" w:rsidRDefault="00A85AA3" w:rsidP="00C331EE">
      <w:pPr>
        <w:pStyle w:val="En-tte"/>
        <w:numPr>
          <w:ilvl w:val="0"/>
          <w:numId w:val="18"/>
        </w:numPr>
        <w:spacing w:after="120"/>
        <w:jc w:val="both"/>
        <w:rPr>
          <w:rFonts w:ascii="Arial Narrow" w:hAnsi="Arial Narrow"/>
          <w:spacing w:val="-1"/>
        </w:rPr>
      </w:pPr>
      <w:r w:rsidRPr="00823623">
        <w:rPr>
          <w:rFonts w:ascii="Arial Narrow" w:hAnsi="Arial Narrow"/>
          <w:spacing w:val="-1"/>
        </w:rPr>
        <w:t>Performance énergétique</w:t>
      </w:r>
    </w:p>
    <w:p w14:paraId="03821EC6" w14:textId="40150D1D" w:rsidR="00A85AA3" w:rsidRPr="00823623" w:rsidRDefault="00A85AA3" w:rsidP="00C331EE">
      <w:pPr>
        <w:pStyle w:val="En-tte"/>
        <w:numPr>
          <w:ilvl w:val="0"/>
          <w:numId w:val="18"/>
        </w:numPr>
        <w:spacing w:after="120"/>
        <w:jc w:val="both"/>
        <w:rPr>
          <w:rFonts w:ascii="Arial Narrow" w:hAnsi="Arial Narrow"/>
          <w:spacing w:val="-1"/>
        </w:rPr>
      </w:pPr>
      <w:r w:rsidRPr="00823623">
        <w:rPr>
          <w:rFonts w:ascii="Arial Narrow" w:hAnsi="Arial Narrow"/>
          <w:spacing w:val="-1"/>
        </w:rPr>
        <w:t>Volume monétaire</w:t>
      </w:r>
    </w:p>
    <w:p w14:paraId="65698D97" w14:textId="3E297F3C" w:rsidR="00A85AA3" w:rsidRPr="00682587" w:rsidRDefault="00A85AA3" w:rsidP="00A85AA3">
      <w:pPr>
        <w:pStyle w:val="Corpsdetexte"/>
        <w:spacing w:line="240" w:lineRule="auto"/>
        <w:rPr>
          <w:rFonts w:ascii="Arial Narrow" w:hAnsi="Arial Narrow" w:cstheme="minorHAnsi"/>
        </w:rPr>
      </w:pPr>
      <w:r w:rsidRPr="00682587">
        <w:rPr>
          <w:rFonts w:ascii="Arial Narrow" w:hAnsi="Arial Narrow" w:cstheme="minorHAnsi"/>
        </w:rPr>
        <w:t xml:space="preserve">Le titulaire fournira annuellement un bilan intégrant l’ensemble des éléments décrits ci-dessus. </w:t>
      </w:r>
    </w:p>
    <w:p w14:paraId="13EA2B05" w14:textId="77777777" w:rsidR="00682587" w:rsidRPr="00682587" w:rsidRDefault="00682587" w:rsidP="00682587">
      <w:pPr>
        <w:pStyle w:val="Default"/>
        <w:rPr>
          <w:rFonts w:ascii="Arial Narrow" w:hAnsi="Arial Narrow"/>
          <w:b/>
          <w:bCs/>
          <w:sz w:val="22"/>
          <w:szCs w:val="22"/>
        </w:rPr>
      </w:pPr>
    </w:p>
    <w:p w14:paraId="0B0A12E1" w14:textId="4545C765" w:rsidR="00682587" w:rsidRPr="00682587" w:rsidRDefault="00984886" w:rsidP="00682587">
      <w:pPr>
        <w:pStyle w:val="Default"/>
        <w:rPr>
          <w:rFonts w:ascii="Arial Narrow" w:hAnsi="Arial Narrow"/>
          <w:sz w:val="22"/>
          <w:szCs w:val="22"/>
        </w:rPr>
      </w:pPr>
      <w:r>
        <w:rPr>
          <w:rFonts w:ascii="Arial Narrow" w:hAnsi="Arial Narrow"/>
          <w:b/>
          <w:bCs/>
          <w:sz w:val="22"/>
          <w:szCs w:val="22"/>
        </w:rPr>
        <w:t>10.3 G</w:t>
      </w:r>
      <w:r w:rsidR="00682587" w:rsidRPr="00984886">
        <w:rPr>
          <w:rFonts w:ascii="Arial Narrow" w:hAnsi="Arial Narrow"/>
          <w:b/>
          <w:bCs/>
          <w:sz w:val="22"/>
          <w:szCs w:val="22"/>
        </w:rPr>
        <w:t>estion de fin de vie des équipements électriques et électroniques (EEE)</w:t>
      </w:r>
    </w:p>
    <w:p w14:paraId="60D1ABD0" w14:textId="154F2BAF" w:rsidR="00682587" w:rsidRDefault="00682587" w:rsidP="00682587">
      <w:pPr>
        <w:pStyle w:val="Default"/>
        <w:rPr>
          <w:rFonts w:ascii="Arial Narrow" w:hAnsi="Arial Narrow"/>
          <w:sz w:val="22"/>
          <w:szCs w:val="22"/>
        </w:rPr>
      </w:pPr>
    </w:p>
    <w:p w14:paraId="773AC899" w14:textId="77777777" w:rsidR="00722CC3" w:rsidRPr="00C331EE" w:rsidRDefault="00722CC3" w:rsidP="00C331EE">
      <w:pPr>
        <w:pStyle w:val="En-tte"/>
        <w:tabs>
          <w:tab w:val="clear" w:pos="4536"/>
          <w:tab w:val="clear" w:pos="9072"/>
        </w:tabs>
        <w:spacing w:after="120" w:line="360" w:lineRule="auto"/>
        <w:jc w:val="both"/>
        <w:rPr>
          <w:rFonts w:ascii="Arial Narrow" w:hAnsi="Arial Narrow"/>
        </w:rPr>
      </w:pPr>
      <w:r w:rsidRPr="00C331EE">
        <w:rPr>
          <w:rFonts w:ascii="Arial Narrow" w:hAnsi="Arial Narrow"/>
        </w:rPr>
        <w:t>Le titulaire s’engage à fournir un service de collecte séparée et de recyclage de l’ensemble du produit ou des composants nécessitant un traitement sélectif conformément à l’annexe VII de la directive DEEE 2012/19/UE, relative aux déchets d’équipements électriques et électroniques. Les composants des déchets d’équipements électriques et électroniques suivants feront l’objet d’un traitement sélectif par le titulaire ou par les éco-organismes agréés : </w:t>
      </w:r>
    </w:p>
    <w:p w14:paraId="07F888FA"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composants contenant du mercure </w:t>
      </w:r>
    </w:p>
    <w:p w14:paraId="64AB8D20"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piles et les accumulateurs </w:t>
      </w:r>
    </w:p>
    <w:p w14:paraId="2451E835"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cartes de circuits imprimés des téléphones mobiles, d’une manière générale, et d’autres dispositifs si la surface de la carte de circuit imprimé est supérieure à 10 cm2, </w:t>
      </w:r>
    </w:p>
    <w:p w14:paraId="7545FC16"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matières plastiques contenant des retardateurs de flamme bromés </w:t>
      </w:r>
    </w:p>
    <w:p w14:paraId="18E4D919"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 xml:space="preserve">Les chlorofluorocarbones (CFC), </w:t>
      </w:r>
      <w:proofErr w:type="spellStart"/>
      <w:r w:rsidRPr="00C331EE">
        <w:rPr>
          <w:rFonts w:ascii="Arial Narrow" w:hAnsi="Arial Narrow"/>
        </w:rPr>
        <w:t>hydrochlorofluorocarbones</w:t>
      </w:r>
      <w:proofErr w:type="spellEnd"/>
      <w:r w:rsidRPr="00C331EE">
        <w:rPr>
          <w:rFonts w:ascii="Arial Narrow" w:hAnsi="Arial Narrow"/>
        </w:rPr>
        <w:t xml:space="preserve"> (HCFC) ou </w:t>
      </w:r>
      <w:proofErr w:type="spellStart"/>
      <w:r w:rsidRPr="00C331EE">
        <w:rPr>
          <w:rFonts w:ascii="Arial Narrow" w:hAnsi="Arial Narrow"/>
        </w:rPr>
        <w:t>hydrofluorocarbones</w:t>
      </w:r>
      <w:proofErr w:type="spellEnd"/>
      <w:r w:rsidRPr="00C331EE">
        <w:rPr>
          <w:rFonts w:ascii="Arial Narrow" w:hAnsi="Arial Narrow"/>
        </w:rPr>
        <w:t xml:space="preserve"> (HFC), hydrocarbures (HC) </w:t>
      </w:r>
    </w:p>
    <w:p w14:paraId="1E69465C"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câbles électriques extérieurs </w:t>
      </w:r>
    </w:p>
    <w:p w14:paraId="47BD0CB1"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condensateurs électrolytiques contenant des substances dangereuses (hauteur &gt; 25 mm, diamètre &gt; 25 mm ou volume proportionnellement similaire </w:t>
      </w:r>
    </w:p>
    <w:p w14:paraId="3A9CB0E7"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composants contenant des fibres céramiques réfractaires </w:t>
      </w:r>
    </w:p>
    <w:p w14:paraId="283B5627"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Condensateurs électrolytiques contenant des substances préoccupantes </w:t>
      </w:r>
    </w:p>
    <w:p w14:paraId="0764CD8B"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t>Les écrans à cristaux liquides (ainsi que leur boîtier, le cas échéant) d’une surface supérieure à 100 cm2 et tous les écrans rétroéclairés par des lampes à décharge </w:t>
      </w:r>
    </w:p>
    <w:p w14:paraId="412E09E3" w14:textId="77777777" w:rsidR="00722CC3" w:rsidRPr="00C331EE" w:rsidRDefault="00722CC3" w:rsidP="00C331EE">
      <w:pPr>
        <w:pStyle w:val="En-tte"/>
        <w:numPr>
          <w:ilvl w:val="0"/>
          <w:numId w:val="31"/>
        </w:numPr>
        <w:tabs>
          <w:tab w:val="clear" w:pos="4536"/>
          <w:tab w:val="clear" w:pos="9072"/>
        </w:tabs>
        <w:spacing w:after="120" w:line="360" w:lineRule="auto"/>
        <w:jc w:val="both"/>
        <w:rPr>
          <w:rFonts w:ascii="Arial Narrow" w:hAnsi="Arial Narrow"/>
        </w:rPr>
      </w:pPr>
      <w:r w:rsidRPr="00C331EE">
        <w:rPr>
          <w:rFonts w:ascii="Arial Narrow" w:hAnsi="Arial Narrow"/>
        </w:rPr>
        <w:lastRenderedPageBreak/>
        <w:t>Les équipements contenant des gaz appauvrissant la couche d’ozone ou présentant un potentiel de réchauffement de la planète (PRP) supérieur à 15, présents par exemple dans les mousses et les circuits de réfrigération : ces gaz doivent être extraits et traités selon une méthode adaptée. </w:t>
      </w:r>
    </w:p>
    <w:p w14:paraId="194B90A0" w14:textId="245F87AA" w:rsidR="00722CC3" w:rsidRPr="00C331EE" w:rsidRDefault="00722CC3" w:rsidP="00C331EE">
      <w:pPr>
        <w:pStyle w:val="En-tte"/>
        <w:tabs>
          <w:tab w:val="clear" w:pos="4536"/>
          <w:tab w:val="clear" w:pos="9072"/>
        </w:tabs>
        <w:spacing w:after="120" w:line="360" w:lineRule="auto"/>
        <w:jc w:val="both"/>
        <w:rPr>
          <w:rFonts w:ascii="Arial Narrow" w:hAnsi="Arial Narrow"/>
        </w:rPr>
      </w:pPr>
      <w:r w:rsidRPr="00C331EE">
        <w:rPr>
          <w:rFonts w:ascii="Arial Narrow" w:hAnsi="Arial Narrow"/>
        </w:rPr>
        <w:t> </w:t>
      </w:r>
    </w:p>
    <w:p w14:paraId="1C82FE5C" w14:textId="593A10A0" w:rsidR="00682587" w:rsidRPr="00984886" w:rsidRDefault="00722CC3" w:rsidP="00682587">
      <w:pPr>
        <w:pStyle w:val="Default"/>
        <w:spacing w:after="120" w:line="360" w:lineRule="auto"/>
        <w:jc w:val="both"/>
        <w:rPr>
          <w:rFonts w:ascii="Arial Narrow" w:hAnsi="Arial Narrow" w:cstheme="minorBidi"/>
          <w:color w:val="auto"/>
          <w:sz w:val="22"/>
          <w:szCs w:val="22"/>
        </w:rPr>
      </w:pPr>
      <w:r w:rsidRPr="00984886">
        <w:rPr>
          <w:rFonts w:ascii="Arial Narrow" w:hAnsi="Arial Narrow" w:cstheme="minorBidi"/>
          <w:color w:val="auto"/>
          <w:sz w:val="22"/>
          <w:szCs w:val="22"/>
        </w:rPr>
        <w:t>Il s’engage</w:t>
      </w:r>
      <w:r w:rsidR="00682587" w:rsidRPr="00984886">
        <w:rPr>
          <w:rFonts w:ascii="Arial Narrow" w:hAnsi="Arial Narrow" w:cstheme="minorBidi"/>
          <w:color w:val="auto"/>
          <w:sz w:val="22"/>
          <w:szCs w:val="22"/>
        </w:rPr>
        <w:t xml:space="preserve"> à assurer le traitement des déchets d’équipements électriques et électroniques (DEEE) générés par les prestations objet</w:t>
      </w:r>
      <w:r w:rsidR="00984886" w:rsidRPr="00984886">
        <w:rPr>
          <w:rFonts w:ascii="Arial Narrow" w:hAnsi="Arial Narrow" w:cstheme="minorBidi"/>
          <w:color w:val="auto"/>
          <w:sz w:val="22"/>
          <w:szCs w:val="22"/>
        </w:rPr>
        <w:t>s</w:t>
      </w:r>
      <w:r w:rsidR="00682587" w:rsidRPr="00984886">
        <w:rPr>
          <w:rFonts w:ascii="Arial Narrow" w:hAnsi="Arial Narrow" w:cstheme="minorBidi"/>
          <w:color w:val="auto"/>
          <w:sz w:val="22"/>
          <w:szCs w:val="22"/>
        </w:rPr>
        <w:t xml:space="preserve"> du marché dans les conditions définies par la réglementation en vigueur relative à la responsabilité élargie du producteur (REP) selon la hiérarchie des modes de traitement décrite à l’article L. 541-1 du code de l’environnement :</w:t>
      </w:r>
    </w:p>
    <w:p w14:paraId="6864C0DF" w14:textId="77777777" w:rsidR="00682587" w:rsidRPr="00984886" w:rsidRDefault="00682587" w:rsidP="00682587">
      <w:pPr>
        <w:pStyle w:val="Default"/>
        <w:spacing w:after="120" w:line="360" w:lineRule="auto"/>
        <w:jc w:val="both"/>
        <w:rPr>
          <w:rFonts w:ascii="Arial Narrow" w:hAnsi="Arial Narrow" w:cstheme="minorBidi"/>
          <w:color w:val="auto"/>
          <w:sz w:val="22"/>
          <w:szCs w:val="22"/>
        </w:rPr>
      </w:pPr>
      <w:r w:rsidRPr="00984886">
        <w:rPr>
          <w:rFonts w:ascii="Arial Narrow" w:hAnsi="Arial Narrow" w:cstheme="minorBidi"/>
          <w:color w:val="auto"/>
          <w:sz w:val="22"/>
          <w:szCs w:val="22"/>
        </w:rPr>
        <w:t>1. Préparation en vue de la réutilisation ;</w:t>
      </w:r>
    </w:p>
    <w:p w14:paraId="7C4826B7" w14:textId="77777777" w:rsidR="00682587" w:rsidRPr="00984886" w:rsidRDefault="00682587" w:rsidP="00682587">
      <w:pPr>
        <w:pStyle w:val="Default"/>
        <w:spacing w:after="120" w:line="360" w:lineRule="auto"/>
        <w:jc w:val="both"/>
        <w:rPr>
          <w:rFonts w:ascii="Arial Narrow" w:hAnsi="Arial Narrow" w:cstheme="minorBidi"/>
          <w:color w:val="auto"/>
          <w:sz w:val="22"/>
          <w:szCs w:val="22"/>
        </w:rPr>
      </w:pPr>
      <w:r w:rsidRPr="00984886">
        <w:rPr>
          <w:rFonts w:ascii="Arial Narrow" w:hAnsi="Arial Narrow" w:cstheme="minorBidi"/>
          <w:color w:val="auto"/>
          <w:sz w:val="22"/>
          <w:szCs w:val="22"/>
        </w:rPr>
        <w:t>2. Recyclage ;</w:t>
      </w:r>
    </w:p>
    <w:p w14:paraId="77023669" w14:textId="77777777" w:rsidR="00682587" w:rsidRPr="00984886" w:rsidRDefault="00682587" w:rsidP="00682587">
      <w:pPr>
        <w:pStyle w:val="Default"/>
        <w:spacing w:after="169"/>
        <w:rPr>
          <w:rFonts w:ascii="Arial Narrow" w:hAnsi="Arial Narrow"/>
          <w:color w:val="auto"/>
          <w:sz w:val="22"/>
          <w:szCs w:val="22"/>
        </w:rPr>
      </w:pPr>
      <w:r w:rsidRPr="00984886">
        <w:rPr>
          <w:rFonts w:ascii="Arial Narrow" w:hAnsi="Arial Narrow"/>
          <w:color w:val="auto"/>
          <w:sz w:val="22"/>
          <w:szCs w:val="22"/>
        </w:rPr>
        <w:t>3. Toute autre valorisation, notamment la valorisation énergétique ;</w:t>
      </w:r>
    </w:p>
    <w:p w14:paraId="2AEE44C5" w14:textId="7CA4CCDD" w:rsidR="00682587" w:rsidRPr="00984886" w:rsidRDefault="00682587" w:rsidP="00682587">
      <w:pPr>
        <w:pStyle w:val="Default"/>
        <w:rPr>
          <w:rFonts w:ascii="Arial Narrow" w:hAnsi="Arial Narrow"/>
          <w:color w:val="auto"/>
          <w:sz w:val="22"/>
          <w:szCs w:val="22"/>
        </w:rPr>
      </w:pPr>
      <w:r w:rsidRPr="00984886">
        <w:rPr>
          <w:rFonts w:ascii="Arial Narrow" w:hAnsi="Arial Narrow"/>
          <w:color w:val="auto"/>
          <w:sz w:val="22"/>
          <w:szCs w:val="22"/>
        </w:rPr>
        <w:t>4. En dernier recours, élimination.</w:t>
      </w:r>
    </w:p>
    <w:p w14:paraId="612736E4" w14:textId="6C37E48A" w:rsidR="005C62D1" w:rsidRPr="00682587" w:rsidRDefault="005C62D1" w:rsidP="00682587">
      <w:pPr>
        <w:pStyle w:val="Default"/>
        <w:rPr>
          <w:rFonts w:ascii="Arial Narrow" w:hAnsi="Arial Narrow"/>
          <w:sz w:val="22"/>
          <w:szCs w:val="22"/>
        </w:rPr>
      </w:pPr>
    </w:p>
    <w:p w14:paraId="6EBD90F2" w14:textId="77777777" w:rsidR="00174891" w:rsidRPr="00546FE0" w:rsidRDefault="00174891"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97E4091" w14:textId="77777777" w:rsidR="00AE54F7" w:rsidRDefault="00174891" w:rsidP="00174891">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112993">
        <w:rPr>
          <w:rFonts w:ascii="Arial Narrow" w:hAnsi="Arial Narrow"/>
        </w:rPr>
        <w:t>unitaires</w:t>
      </w:r>
      <w:r w:rsidR="00E2309B">
        <w:rPr>
          <w:rFonts w:ascii="Arial Narrow" w:hAnsi="Arial Narrow"/>
        </w:rPr>
        <w:t xml:space="preserve"> et forfaitaires</w:t>
      </w:r>
      <w:r w:rsidRPr="00112993">
        <w:rPr>
          <w:rFonts w:ascii="Arial Narrow" w:hAnsi="Arial Narrow"/>
        </w:rPr>
        <w:t xml:space="preserve">. </w:t>
      </w:r>
      <w:r w:rsidRPr="00546FE0">
        <w:rPr>
          <w:rFonts w:ascii="Arial Narrow" w:hAnsi="Arial Narrow"/>
        </w:rPr>
        <w:t>Ils sont définitifs et réputés comprendre toutes les charges fiscales ou autres frappant o</w:t>
      </w:r>
      <w:r w:rsidR="00AE54F7">
        <w:rPr>
          <w:rFonts w:ascii="Arial Narrow" w:hAnsi="Arial Narrow"/>
        </w:rPr>
        <w:t>bligatoirement les prestations.</w:t>
      </w:r>
    </w:p>
    <w:p w14:paraId="796E8368" w14:textId="4C30D6EE" w:rsidR="00174891" w:rsidRPr="00A41DAD" w:rsidRDefault="00BF081D" w:rsidP="00174891">
      <w:pPr>
        <w:pStyle w:val="En-tte"/>
        <w:spacing w:after="120" w:line="360" w:lineRule="auto"/>
        <w:jc w:val="both"/>
        <w:rPr>
          <w:rFonts w:ascii="Arial Narrow" w:hAnsi="Arial Narrow"/>
          <w:b/>
        </w:rPr>
      </w:pPr>
      <w:r>
        <w:rPr>
          <w:rFonts w:ascii="Arial Narrow" w:hAnsi="Arial Narrow"/>
          <w:b/>
        </w:rPr>
        <w:t xml:space="preserve">Le montant forfaitaire </w:t>
      </w:r>
      <w:r w:rsidR="00A41DAD" w:rsidRPr="00A41DAD">
        <w:rPr>
          <w:rFonts w:ascii="Arial Narrow" w:hAnsi="Arial Narrow"/>
          <w:b/>
        </w:rPr>
        <w:t>compren</w:t>
      </w:r>
      <w:r>
        <w:rPr>
          <w:rFonts w:ascii="Arial Narrow" w:hAnsi="Arial Narrow"/>
          <w:b/>
        </w:rPr>
        <w:t xml:space="preserve">d </w:t>
      </w:r>
      <w:r w:rsidR="00A41DAD" w:rsidRPr="00A41DAD">
        <w:rPr>
          <w:rFonts w:ascii="Arial Narrow" w:hAnsi="Arial Narrow"/>
          <w:b/>
        </w:rPr>
        <w:t xml:space="preserve">notamment </w:t>
      </w:r>
      <w:bookmarkStart w:id="0" w:name="_GoBack"/>
      <w:bookmarkEnd w:id="0"/>
      <w:r w:rsidR="00A41DAD" w:rsidRPr="00A41DAD">
        <w:rPr>
          <w:rFonts w:ascii="Arial Narrow" w:hAnsi="Arial Narrow"/>
          <w:b/>
        </w:rPr>
        <w:t>les couts liés à la phase de réversibilité</w:t>
      </w:r>
      <w:r w:rsidR="00A41DAD">
        <w:rPr>
          <w:rFonts w:ascii="Arial Narrow" w:hAnsi="Arial Narrow"/>
          <w:b/>
        </w:rPr>
        <w:t xml:space="preserve"> des prestations à l’issue du marché (en cas de non reconduction, résiliation ou avant l’achèvement des prestations)</w:t>
      </w:r>
      <w:r w:rsidR="00A41DAD" w:rsidRPr="00A41DAD">
        <w:rPr>
          <w:rFonts w:ascii="Arial Narrow" w:hAnsi="Arial Narrow"/>
          <w:b/>
        </w:rPr>
        <w:t>.</w:t>
      </w:r>
    </w:p>
    <w:p w14:paraId="1FB41CF4" w14:textId="702ACF8D" w:rsidR="00174891" w:rsidRPr="00546FE0" w:rsidRDefault="002E281F" w:rsidP="00174891">
      <w:pPr>
        <w:pStyle w:val="En-tte"/>
        <w:spacing w:after="120" w:line="360" w:lineRule="auto"/>
        <w:rPr>
          <w:rFonts w:ascii="Arial Narrow" w:hAnsi="Arial Narrow"/>
        </w:rPr>
      </w:pPr>
      <w:r>
        <w:rPr>
          <w:rFonts w:ascii="Arial Narrow" w:hAnsi="Arial Narrow"/>
        </w:rPr>
        <w:t>Les prix</w:t>
      </w:r>
      <w:r w:rsidR="00174891" w:rsidRPr="00546FE0">
        <w:rPr>
          <w:rFonts w:ascii="Arial Narrow" w:hAnsi="Arial Narrow"/>
        </w:rPr>
        <w:t xml:space="preserve"> sont révisables et établis sur la base des conditions économiques en vigueur au mois de remise des offres. Ce mois est appelé le « mois zéro » (M0).</w:t>
      </w:r>
    </w:p>
    <w:p w14:paraId="48065B05" w14:textId="37597C89" w:rsidR="00174891" w:rsidRPr="00546FE0" w:rsidRDefault="00174891" w:rsidP="00123812">
      <w:pPr>
        <w:pStyle w:val="En-tte"/>
        <w:spacing w:after="120" w:line="360" w:lineRule="auto"/>
        <w:jc w:val="both"/>
        <w:rPr>
          <w:rFonts w:ascii="Arial Narrow" w:hAnsi="Arial Narrow"/>
        </w:rPr>
      </w:pPr>
      <w:r w:rsidRPr="00546FE0">
        <w:rPr>
          <w:rFonts w:ascii="Arial Narrow" w:hAnsi="Arial Narrow"/>
        </w:rPr>
        <w:t>Cette révision s’effectue</w:t>
      </w:r>
      <w:r w:rsidRPr="00EF0E4B">
        <w:rPr>
          <w:rFonts w:ascii="Arial Narrow" w:hAnsi="Arial Narrow"/>
          <w:b/>
        </w:rPr>
        <w:t xml:space="preserve"> </w:t>
      </w:r>
      <w:r w:rsidRPr="00174891">
        <w:rPr>
          <w:rFonts w:ascii="Arial Narrow" w:hAnsi="Arial Narrow"/>
        </w:rPr>
        <w:t xml:space="preserve">annuellement </w:t>
      </w:r>
      <w:r w:rsidRPr="00546FE0">
        <w:rPr>
          <w:rFonts w:ascii="Arial Narrow" w:hAnsi="Arial Narrow"/>
        </w:rPr>
        <w:t>à la date anniversaire de la notification du marché par application de la formule suivante :</w:t>
      </w:r>
    </w:p>
    <w:p w14:paraId="36DEB3AC" w14:textId="77777777" w:rsidR="00174891" w:rsidRPr="006E67B5" w:rsidRDefault="00174891" w:rsidP="00174891">
      <w:pPr>
        <w:pStyle w:val="En-tte"/>
        <w:spacing w:after="120" w:line="360" w:lineRule="auto"/>
        <w:rPr>
          <w:rFonts w:ascii="Arial Narrow" w:hAnsi="Arial Narrow"/>
        </w:rPr>
      </w:pPr>
      <w:r w:rsidRPr="006E67B5">
        <w:rPr>
          <w:rFonts w:ascii="Arial Narrow" w:hAnsi="Arial Narrow"/>
        </w:rPr>
        <w:t>P = Po *(S/ S0)]</w:t>
      </w:r>
    </w:p>
    <w:p w14:paraId="189F93B2" w14:textId="18BA00EB" w:rsidR="00174891" w:rsidRPr="00AF1A58" w:rsidRDefault="00174891" w:rsidP="00174891">
      <w:pPr>
        <w:pStyle w:val="En-tte"/>
        <w:spacing w:after="120" w:line="360" w:lineRule="auto"/>
        <w:rPr>
          <w:rFonts w:ascii="Arial Narrow" w:hAnsi="Arial Narrow"/>
        </w:rPr>
      </w:pPr>
      <w:r w:rsidRPr="00AF1A58">
        <w:rPr>
          <w:rFonts w:ascii="Arial Narrow" w:hAnsi="Arial Narrow"/>
        </w:rPr>
        <w:t xml:space="preserve">SYNTEC </w:t>
      </w:r>
      <w:r w:rsidR="00BC60CF" w:rsidRPr="00AF1A58">
        <w:rPr>
          <w:rFonts w:ascii="Arial Narrow" w:hAnsi="Arial Narrow"/>
          <w:b/>
        </w:rPr>
        <w:t>REV</w:t>
      </w:r>
      <w:r w:rsidR="00BC60CF" w:rsidRPr="00AF1A58">
        <w:rPr>
          <w:rFonts w:ascii="Arial Narrow" w:hAnsi="Arial Narrow"/>
        </w:rPr>
        <w:t xml:space="preserve"> </w:t>
      </w:r>
      <w:r w:rsidRPr="00AF1A58">
        <w:rPr>
          <w:rFonts w:ascii="Arial Narrow" w:hAnsi="Arial Narrow"/>
        </w:rPr>
        <w:t>= Services dans les secteurs de l’ingénierie, des services informatiques, des études et du conseil, du recrutement et de la formation professionnelle.</w:t>
      </w:r>
    </w:p>
    <w:p w14:paraId="3CF1CEB5" w14:textId="77777777" w:rsidR="00174891" w:rsidRPr="00AF1A58" w:rsidRDefault="00174891" w:rsidP="00174891">
      <w:pPr>
        <w:pStyle w:val="En-tte"/>
        <w:spacing w:after="120" w:line="360" w:lineRule="auto"/>
        <w:rPr>
          <w:rFonts w:ascii="Arial Narrow" w:hAnsi="Arial Narrow"/>
        </w:rPr>
      </w:pPr>
      <w:r w:rsidRPr="00AF1A58">
        <w:rPr>
          <w:rFonts w:ascii="Arial Narrow" w:hAnsi="Arial Narrow"/>
        </w:rPr>
        <w:t>Dans laquelle :</w:t>
      </w:r>
    </w:p>
    <w:p w14:paraId="2393D4B1" w14:textId="77777777" w:rsidR="00174891" w:rsidRPr="00AF1A58" w:rsidRDefault="00174891" w:rsidP="00174891">
      <w:pPr>
        <w:pStyle w:val="En-tte"/>
        <w:spacing w:after="120" w:line="360" w:lineRule="auto"/>
        <w:ind w:left="1560"/>
        <w:rPr>
          <w:rFonts w:ascii="Arial Narrow" w:hAnsi="Arial Narrow"/>
        </w:rPr>
      </w:pPr>
      <w:r w:rsidRPr="00AF1A58">
        <w:rPr>
          <w:rFonts w:ascii="Arial Narrow" w:hAnsi="Arial Narrow"/>
        </w:rPr>
        <w:t>P : prix révisé,</w:t>
      </w:r>
    </w:p>
    <w:p w14:paraId="79534318" w14:textId="77777777" w:rsidR="00174891" w:rsidRPr="00AF1A58" w:rsidRDefault="00174891" w:rsidP="00174891">
      <w:pPr>
        <w:pStyle w:val="En-tte"/>
        <w:spacing w:after="120" w:line="360" w:lineRule="auto"/>
        <w:ind w:left="1560"/>
        <w:rPr>
          <w:rFonts w:ascii="Arial Narrow" w:hAnsi="Arial Narrow"/>
        </w:rPr>
      </w:pPr>
      <w:r w:rsidRPr="00AF1A58">
        <w:rPr>
          <w:rFonts w:ascii="Arial Narrow" w:hAnsi="Arial Narrow"/>
        </w:rPr>
        <w:t>Po : prix au mois M0,</w:t>
      </w:r>
    </w:p>
    <w:p w14:paraId="0A41E3C9" w14:textId="79233EDE" w:rsidR="00174891" w:rsidRPr="00AF1A58" w:rsidRDefault="00174891" w:rsidP="00174891">
      <w:pPr>
        <w:pStyle w:val="En-tte"/>
        <w:spacing w:after="120" w:line="360" w:lineRule="auto"/>
        <w:ind w:left="1560"/>
        <w:rPr>
          <w:rFonts w:ascii="Arial Narrow" w:hAnsi="Arial Narrow"/>
        </w:rPr>
      </w:pPr>
      <w:r w:rsidRPr="00AF1A58">
        <w:rPr>
          <w:rFonts w:ascii="Arial Narrow" w:hAnsi="Arial Narrow"/>
        </w:rPr>
        <w:t>S : dernier indice SYNTEC</w:t>
      </w:r>
      <w:r w:rsidR="00BC60CF" w:rsidRPr="00AF1A58">
        <w:rPr>
          <w:rFonts w:ascii="Arial Narrow" w:hAnsi="Arial Narrow"/>
        </w:rPr>
        <w:t xml:space="preserve"> REV</w:t>
      </w:r>
      <w:r w:rsidRPr="00AF1A58">
        <w:rPr>
          <w:rFonts w:ascii="Arial Narrow" w:hAnsi="Arial Narrow"/>
        </w:rPr>
        <w:t xml:space="preserve"> connu à la date de révision des prix,</w:t>
      </w:r>
    </w:p>
    <w:p w14:paraId="1CCC576F" w14:textId="77777777" w:rsidR="00174891" w:rsidRPr="00AF1A58" w:rsidRDefault="00174891" w:rsidP="00174891">
      <w:pPr>
        <w:pStyle w:val="En-tte"/>
        <w:spacing w:after="120" w:line="360" w:lineRule="auto"/>
        <w:ind w:left="1560"/>
        <w:rPr>
          <w:rFonts w:ascii="Arial Narrow" w:hAnsi="Arial Narrow"/>
        </w:rPr>
      </w:pPr>
      <w:r w:rsidRPr="00AF1A58">
        <w:rPr>
          <w:rFonts w:ascii="Arial Narrow" w:hAnsi="Arial Narrow"/>
        </w:rPr>
        <w:t>S0 : Indice SYNTEC au mois M0.</w:t>
      </w:r>
    </w:p>
    <w:p w14:paraId="664306C0" w14:textId="77777777" w:rsidR="00174891" w:rsidRPr="00AF1A58" w:rsidRDefault="00174891" w:rsidP="00174891">
      <w:pPr>
        <w:pStyle w:val="En-tte"/>
        <w:spacing w:after="120" w:line="360" w:lineRule="auto"/>
        <w:rPr>
          <w:rFonts w:ascii="Arial Narrow" w:hAnsi="Arial Narrow"/>
        </w:rPr>
      </w:pPr>
      <w:r w:rsidRPr="00AF1A58">
        <w:rPr>
          <w:rFonts w:ascii="Arial Narrow" w:hAnsi="Arial Narrow"/>
        </w:rPr>
        <w:t>Le coefficient obtenu sera arrêté à la troisième décimale.</w:t>
      </w:r>
    </w:p>
    <w:p w14:paraId="3466F441" w14:textId="781D08FE" w:rsidR="00174891" w:rsidRPr="00AF1A58" w:rsidRDefault="00174891" w:rsidP="00174891">
      <w:pPr>
        <w:pStyle w:val="En-tte"/>
        <w:spacing w:after="120" w:line="360" w:lineRule="auto"/>
        <w:rPr>
          <w:rFonts w:ascii="Arial Narrow" w:hAnsi="Arial Narrow"/>
        </w:rPr>
      </w:pPr>
      <w:r w:rsidRPr="00AF1A58">
        <w:rPr>
          <w:rFonts w:ascii="Arial Narrow" w:hAnsi="Arial Narrow"/>
        </w:rPr>
        <w:lastRenderedPageBreak/>
        <w:t>La révision des prix fera l’objet d’une vérification et d’une validation par l’</w:t>
      </w:r>
      <w:r w:rsidR="00C331EE">
        <w:rPr>
          <w:rFonts w:ascii="Arial Narrow" w:hAnsi="Arial Narrow"/>
        </w:rPr>
        <w:t>EPMO-VGE</w:t>
      </w:r>
      <w:r w:rsidRPr="00AF1A58">
        <w:rPr>
          <w:rFonts w:ascii="Arial Narrow" w:hAnsi="Arial Narrow"/>
        </w:rPr>
        <w:t xml:space="preserve">. </w:t>
      </w:r>
    </w:p>
    <w:p w14:paraId="6CB528CB" w14:textId="77777777" w:rsidR="00174891" w:rsidRDefault="00174891" w:rsidP="00174891">
      <w:pPr>
        <w:pStyle w:val="En-tte"/>
        <w:spacing w:after="120" w:line="360" w:lineRule="auto"/>
        <w:rPr>
          <w:rFonts w:ascii="Arial Narrow" w:hAnsi="Arial Narrow"/>
        </w:rPr>
      </w:pPr>
      <w:r w:rsidRPr="00AF1A58">
        <w:rPr>
          <w:rFonts w:ascii="Arial Narrow" w:hAnsi="Arial Narrow"/>
        </w:rPr>
        <w:t>En cas de disparition de l’indice, les parties conviendront d’un indice de remplacement qui sera fixé par avenant.</w:t>
      </w:r>
    </w:p>
    <w:p w14:paraId="199BE8B8" w14:textId="77777777" w:rsidR="000922B6" w:rsidRPr="00546FE0" w:rsidRDefault="000922B6" w:rsidP="00D9628D">
      <w:pPr>
        <w:pStyle w:val="En-tte"/>
        <w:spacing w:after="120" w:line="360" w:lineRule="auto"/>
        <w:rPr>
          <w:rFonts w:ascii="Arial Narrow" w:hAnsi="Arial Narrow"/>
        </w:rPr>
      </w:pPr>
    </w:p>
    <w:p w14:paraId="66DDC5E0" w14:textId="77777777" w:rsidR="0081396B" w:rsidRPr="00546FE0" w:rsidRDefault="005413BD"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C331EE">
      <w:pPr>
        <w:pStyle w:val="En-tte"/>
        <w:numPr>
          <w:ilvl w:val="0"/>
          <w:numId w:val="8"/>
        </w:numPr>
        <w:tabs>
          <w:tab w:val="clear" w:pos="4536"/>
          <w:tab w:val="clear" w:pos="9072"/>
        </w:tabs>
        <w:spacing w:after="240" w:line="360" w:lineRule="auto"/>
        <w:ind w:left="567" w:hanging="501"/>
        <w:jc w:val="both"/>
        <w:rPr>
          <w:rFonts w:ascii="Arial Narrow" w:hAnsi="Arial Narrow"/>
          <w:b/>
        </w:rPr>
      </w:pPr>
      <w:r w:rsidRPr="00546FE0">
        <w:rPr>
          <w:rFonts w:ascii="Arial Narrow" w:hAnsi="Arial Narrow"/>
          <w:b/>
        </w:rPr>
        <w:t>Avance</w:t>
      </w:r>
    </w:p>
    <w:p w14:paraId="689F03EA" w14:textId="77777777" w:rsidR="0082080C" w:rsidRPr="00D212FA" w:rsidRDefault="0082080C" w:rsidP="00D162E9">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37662464" w14:textId="2FAB85F4" w:rsidR="0082080C" w:rsidRPr="00D212FA" w:rsidRDefault="0082080C" w:rsidP="00D162E9">
      <w:pPr>
        <w:pStyle w:val="En-tte"/>
        <w:spacing w:after="120" w:line="360" w:lineRule="auto"/>
        <w:jc w:val="both"/>
        <w:rPr>
          <w:rFonts w:ascii="Arial Narrow" w:hAnsi="Arial Narrow"/>
        </w:rPr>
      </w:pPr>
      <w:r w:rsidRPr="00D212FA">
        <w:rPr>
          <w:rFonts w:ascii="Arial Narrow" w:hAnsi="Arial Narrow"/>
        </w:rPr>
        <w:t>Une avance de 30% du montant forfaitaire du marché</w:t>
      </w:r>
      <w:r w:rsidR="00D162E9">
        <w:rPr>
          <w:rFonts w:ascii="Arial Narrow" w:hAnsi="Arial Narrow"/>
        </w:rPr>
        <w:t xml:space="preserve"> ou</w:t>
      </w:r>
      <w:r>
        <w:rPr>
          <w:rFonts w:ascii="Arial Narrow" w:hAnsi="Arial Narrow"/>
        </w:rPr>
        <w:t xml:space="preserve"> du bon de commande </w:t>
      </w:r>
    </w:p>
    <w:p w14:paraId="648ED7E2" w14:textId="26A64E09" w:rsidR="0082080C" w:rsidRDefault="0082080C" w:rsidP="00D162E9">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w:t>
      </w:r>
      <w:r w:rsidR="000B2EB9">
        <w:rPr>
          <w:rFonts w:ascii="Arial Narrow" w:hAnsi="Arial Narrow"/>
        </w:rPr>
        <w:t>u du montant du bon de commande</w:t>
      </w:r>
      <w:r>
        <w:rPr>
          <w:rFonts w:ascii="Arial Narrow" w:hAnsi="Arial Narrow"/>
        </w:rPr>
        <w:t>. Il devra être terminé lorsque le montant des prestations exécutées atteindra 80% du montant toutes taxes comprises du marché</w:t>
      </w:r>
      <w:r w:rsidR="00F318C5">
        <w:rPr>
          <w:rFonts w:ascii="Arial Narrow" w:hAnsi="Arial Narrow"/>
        </w:rPr>
        <w:t xml:space="preserve"> ou</w:t>
      </w:r>
      <w:r>
        <w:rPr>
          <w:rFonts w:ascii="Arial Narrow" w:hAnsi="Arial Narrow"/>
        </w:rPr>
        <w:t xml:space="preserve"> du bon de commande</w:t>
      </w:r>
      <w:r w:rsidR="00F318C5">
        <w:rPr>
          <w:rFonts w:ascii="Arial Narrow" w:hAnsi="Arial Narrow"/>
        </w:rPr>
        <w:t>.</w:t>
      </w:r>
    </w:p>
    <w:p w14:paraId="4D6BAFEE" w14:textId="77777777" w:rsidR="0014540C" w:rsidRPr="00CE7BBA" w:rsidRDefault="0014540C" w:rsidP="00CE7BBA">
      <w:pPr>
        <w:pStyle w:val="En-tte"/>
        <w:spacing w:after="120" w:line="360" w:lineRule="auto"/>
        <w:jc w:val="both"/>
        <w:rPr>
          <w:rFonts w:ascii="Arial Narrow" w:hAnsi="Arial Narrow"/>
        </w:rPr>
      </w:pPr>
    </w:p>
    <w:p w14:paraId="5F3EB930" w14:textId="5641DC8A" w:rsidR="00D9628D" w:rsidRDefault="0014540C" w:rsidP="00C331EE">
      <w:pPr>
        <w:pStyle w:val="En-tte"/>
        <w:numPr>
          <w:ilvl w:val="0"/>
          <w:numId w:val="8"/>
        </w:numPr>
        <w:tabs>
          <w:tab w:val="clear" w:pos="4536"/>
          <w:tab w:val="clear" w:pos="9072"/>
        </w:tabs>
        <w:spacing w:after="240" w:line="360" w:lineRule="auto"/>
        <w:ind w:left="567" w:hanging="501"/>
        <w:jc w:val="both"/>
        <w:rPr>
          <w:rFonts w:ascii="Arial Narrow" w:hAnsi="Arial Narrow"/>
          <w:b/>
        </w:rPr>
      </w:pPr>
      <w:r w:rsidRPr="00E71633">
        <w:rPr>
          <w:rFonts w:ascii="Arial Narrow" w:hAnsi="Arial Narrow"/>
          <w:b/>
        </w:rPr>
        <w:t xml:space="preserve">Paiement de la part forfaitaire </w:t>
      </w:r>
    </w:p>
    <w:p w14:paraId="2B14E597" w14:textId="551E042D" w:rsidR="00D9628D" w:rsidRDefault="004C5CF1" w:rsidP="00CE7BBA">
      <w:pPr>
        <w:pStyle w:val="En-tte"/>
        <w:tabs>
          <w:tab w:val="clear" w:pos="4536"/>
          <w:tab w:val="clear" w:pos="9072"/>
        </w:tabs>
        <w:spacing w:after="120" w:line="360" w:lineRule="auto"/>
        <w:ind w:left="66"/>
        <w:jc w:val="both"/>
        <w:rPr>
          <w:rFonts w:ascii="Arial Narrow" w:hAnsi="Arial Narrow"/>
        </w:rPr>
      </w:pPr>
      <w:r w:rsidRPr="00D9628D">
        <w:rPr>
          <w:rFonts w:ascii="Arial Narrow" w:hAnsi="Arial Narrow"/>
        </w:rPr>
        <w:t xml:space="preserve">Le paiement des prestations </w:t>
      </w:r>
      <w:r w:rsidRPr="006279E6">
        <w:rPr>
          <w:rFonts w:ascii="Arial Narrow" w:hAnsi="Arial Narrow"/>
        </w:rPr>
        <w:t xml:space="preserve">forfaitaires s’effectuera </w:t>
      </w:r>
      <w:r w:rsidR="00CE7BBA">
        <w:rPr>
          <w:rFonts w:ascii="Arial Narrow" w:hAnsi="Arial Narrow"/>
        </w:rPr>
        <w:t xml:space="preserve">par le versement d’acomptes </w:t>
      </w:r>
      <w:r w:rsidR="00CE7BBA" w:rsidRPr="00E2309B">
        <w:rPr>
          <w:rFonts w:ascii="Arial Narrow" w:hAnsi="Arial Narrow"/>
        </w:rPr>
        <w:t>trimestriels</w:t>
      </w:r>
      <w:r w:rsidR="00C357F4" w:rsidRPr="00E2309B">
        <w:rPr>
          <w:rFonts w:ascii="Arial Narrow" w:hAnsi="Arial Narrow"/>
        </w:rPr>
        <w:t>.</w:t>
      </w:r>
      <w:r w:rsidR="00C357F4" w:rsidRPr="006279E6">
        <w:rPr>
          <w:rFonts w:ascii="Arial Narrow" w:hAnsi="Arial Narrow"/>
        </w:rPr>
        <w:t xml:space="preserve"> Le </w:t>
      </w:r>
      <w:r w:rsidR="00D9628D" w:rsidRPr="006279E6">
        <w:rPr>
          <w:rFonts w:ascii="Arial Narrow" w:hAnsi="Arial Narrow"/>
        </w:rPr>
        <w:t xml:space="preserve">montant correspond à la valeur des prestations </w:t>
      </w:r>
      <w:r w:rsidR="00CE7BBA">
        <w:rPr>
          <w:rFonts w:ascii="Arial Narrow" w:hAnsi="Arial Narrow"/>
        </w:rPr>
        <w:t xml:space="preserve">auxquelles les acomptes se rapportent </w:t>
      </w:r>
      <w:r w:rsidR="00D9628D" w:rsidRPr="006279E6">
        <w:rPr>
          <w:rFonts w:ascii="Arial Narrow" w:hAnsi="Arial Narrow"/>
        </w:rPr>
        <w:t>et dans les conditions précisées aux articles R. 2191-20 à R. 2191-22 du code de la commande publique ainsi qu’à l’article 11.2 du CCAG-TIC</w:t>
      </w:r>
      <w:r w:rsidR="00CE7BBA">
        <w:rPr>
          <w:rFonts w:ascii="Arial Narrow" w:hAnsi="Arial Narrow"/>
        </w:rPr>
        <w:t>.</w:t>
      </w:r>
    </w:p>
    <w:p w14:paraId="25CFC6C5" w14:textId="77777777" w:rsidR="004C5CF1" w:rsidRPr="00546FE0" w:rsidRDefault="004C5CF1" w:rsidP="00C331EE">
      <w:pPr>
        <w:pStyle w:val="En-tte"/>
        <w:numPr>
          <w:ilvl w:val="0"/>
          <w:numId w:val="8"/>
        </w:numPr>
        <w:tabs>
          <w:tab w:val="clear" w:pos="4536"/>
          <w:tab w:val="clear" w:pos="9072"/>
        </w:tabs>
        <w:spacing w:after="240" w:line="360" w:lineRule="auto"/>
        <w:ind w:left="567" w:hanging="501"/>
        <w:jc w:val="both"/>
        <w:rPr>
          <w:rFonts w:ascii="Arial Narrow" w:hAnsi="Arial Narrow"/>
          <w:b/>
        </w:rPr>
      </w:pPr>
      <w:r w:rsidRPr="00546FE0">
        <w:rPr>
          <w:rFonts w:ascii="Arial Narrow" w:hAnsi="Arial Narrow"/>
          <w:b/>
        </w:rPr>
        <w:t>Paiement de la part à commandes</w:t>
      </w:r>
    </w:p>
    <w:p w14:paraId="43B85EEE" w14:textId="06A7999C" w:rsidR="00BF7258" w:rsidRDefault="004C5CF1" w:rsidP="00B70736">
      <w:pPr>
        <w:pStyle w:val="En-tte"/>
        <w:spacing w:after="120" w:line="360" w:lineRule="auto"/>
        <w:jc w:val="both"/>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199D56BA" w14:textId="3216CDB8" w:rsidR="00BF7258" w:rsidRDefault="00A1514A" w:rsidP="00CE7BBA">
      <w:pPr>
        <w:pStyle w:val="En-tte"/>
        <w:spacing w:after="120" w:line="360" w:lineRule="auto"/>
        <w:jc w:val="both"/>
        <w:rPr>
          <w:rFonts w:ascii="Arial Narrow" w:hAnsi="Arial Narrow"/>
        </w:rPr>
      </w:pPr>
      <w:r>
        <w:rPr>
          <w:rFonts w:ascii="Arial Narrow" w:hAnsi="Arial Narrow"/>
        </w:rPr>
        <w:t>U</w:t>
      </w:r>
      <w:r w:rsidR="00BF7258" w:rsidRPr="00BF7258">
        <w:rPr>
          <w:rFonts w:ascii="Arial Narrow" w:hAnsi="Arial Narrow"/>
        </w:rPr>
        <w:t>ne demande de paiement adressée au pouvoir adjudicateur après service fait ;</w:t>
      </w:r>
    </w:p>
    <w:p w14:paraId="160F8D02" w14:textId="1C3C0541" w:rsidR="006605C9" w:rsidRPr="002641C0" w:rsidRDefault="006605C9" w:rsidP="00226123">
      <w:pPr>
        <w:pStyle w:val="En-tte"/>
        <w:spacing w:after="120" w:line="360" w:lineRule="auto"/>
        <w:rPr>
          <w:rFonts w:ascii="Arial Narrow" w:hAnsi="Arial Narrow"/>
          <w:u w:val="single"/>
        </w:rPr>
      </w:pPr>
    </w:p>
    <w:p w14:paraId="02C930A6" w14:textId="77777777" w:rsidR="005413BD" w:rsidRPr="00546FE0" w:rsidRDefault="005413BD" w:rsidP="00C331EE">
      <w:pPr>
        <w:pStyle w:val="En-tte"/>
        <w:numPr>
          <w:ilvl w:val="0"/>
          <w:numId w:val="8"/>
        </w:numPr>
        <w:tabs>
          <w:tab w:val="clear" w:pos="4536"/>
          <w:tab w:val="clear" w:pos="9072"/>
        </w:tabs>
        <w:spacing w:after="240" w:line="360" w:lineRule="auto"/>
        <w:ind w:left="851" w:hanging="851"/>
        <w:jc w:val="both"/>
        <w:rPr>
          <w:rFonts w:ascii="Arial Narrow" w:hAnsi="Arial Narrow"/>
          <w:b/>
        </w:rPr>
      </w:pPr>
      <w:r w:rsidRPr="00546FE0">
        <w:rPr>
          <w:rFonts w:ascii="Arial Narrow" w:hAnsi="Arial Narrow"/>
          <w:b/>
        </w:rPr>
        <w:t>Délai global de paiement</w:t>
      </w:r>
    </w:p>
    <w:p w14:paraId="7B5C0949" w14:textId="0CEEFB8D"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C331EE">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C331EE">
      <w:pPr>
        <w:pStyle w:val="En-tte"/>
        <w:numPr>
          <w:ilvl w:val="0"/>
          <w:numId w:val="8"/>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lastRenderedPageBreak/>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61CCCB5A"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C331EE">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934AC2E"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C331EE">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28DE1FA3" w:rsidR="006A63E0" w:rsidRPr="00546FE0" w:rsidRDefault="00C6749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54BE3E4C"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C331EE">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6F9565E9" w:rsidR="006A63E0" w:rsidRPr="00546FE0" w:rsidRDefault="006A63E0" w:rsidP="006A63E0">
      <w:pPr>
        <w:pStyle w:val="En-tte"/>
        <w:spacing w:after="120" w:line="360" w:lineRule="auto"/>
        <w:rPr>
          <w:rFonts w:ascii="Arial Narrow" w:hAnsi="Arial Narrow"/>
        </w:rPr>
      </w:pPr>
      <w:r w:rsidRPr="00546FE0">
        <w:rPr>
          <w:rFonts w:ascii="Arial Narrow" w:hAnsi="Arial Narrow"/>
        </w:rPr>
        <w:t xml:space="preserve">- le numéro du marché, du bon de commande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3A22DB9D" w:rsidR="00D87193"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5BE9F9D9"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C331EE">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3091AD32"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57AEFA21"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C331EE">
      <w:pPr>
        <w:pStyle w:val="En-tte"/>
        <w:numPr>
          <w:ilvl w:val="0"/>
          <w:numId w:val="9"/>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2168BE6E" w:rsidR="004C5CF1" w:rsidRPr="00546FE0" w:rsidRDefault="004C5CF1" w:rsidP="00C331EE">
      <w:pPr>
        <w:pStyle w:val="En-tte"/>
        <w:numPr>
          <w:ilvl w:val="0"/>
          <w:numId w:val="7"/>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C331EE">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6E3CE065" w:rsidR="004C5CF1" w:rsidRPr="00546FE0" w:rsidRDefault="004C5CF1" w:rsidP="00C331EE">
      <w:pPr>
        <w:pStyle w:val="En-tte"/>
        <w:numPr>
          <w:ilvl w:val="0"/>
          <w:numId w:val="7"/>
        </w:numPr>
        <w:spacing w:after="120" w:line="360" w:lineRule="auto"/>
        <w:jc w:val="both"/>
        <w:rPr>
          <w:rFonts w:ascii="Arial Narrow" w:hAnsi="Arial Narrow"/>
        </w:rPr>
      </w:pPr>
      <w:r w:rsidRPr="00546FE0">
        <w:rPr>
          <w:rFonts w:ascii="Arial Narrow" w:hAnsi="Arial Narrow"/>
        </w:rPr>
        <w:t xml:space="preserve">Le </w:t>
      </w:r>
      <w:r w:rsidR="00CE7BBA">
        <w:rPr>
          <w:rFonts w:ascii="Arial Narrow" w:hAnsi="Arial Narrow"/>
        </w:rPr>
        <w:t>numéro du marché : 2022-516</w:t>
      </w:r>
      <w:r w:rsidRPr="00546FE0">
        <w:rPr>
          <w:rFonts w:ascii="Arial Narrow" w:hAnsi="Arial Narrow"/>
        </w:rPr>
        <w:t>;</w:t>
      </w:r>
    </w:p>
    <w:p w14:paraId="6EC33DBB" w14:textId="166168FE" w:rsidR="004C5CF1" w:rsidRPr="00546FE0" w:rsidRDefault="004C5CF1" w:rsidP="00C331EE">
      <w:pPr>
        <w:pStyle w:val="En-tte"/>
        <w:numPr>
          <w:ilvl w:val="0"/>
          <w:numId w:val="7"/>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13981178" w14:textId="77777777" w:rsidR="004C5CF1" w:rsidRPr="00546FE0" w:rsidRDefault="004C5CF1" w:rsidP="004C5CF1">
      <w:pPr>
        <w:pStyle w:val="En-tte"/>
        <w:spacing w:after="120" w:line="360" w:lineRule="auto"/>
        <w:rPr>
          <w:rFonts w:ascii="Arial Narrow" w:hAnsi="Arial Narrow"/>
        </w:rPr>
      </w:pPr>
    </w:p>
    <w:p w14:paraId="2C43622A" w14:textId="4B3E2D3F" w:rsidR="007D159B" w:rsidRPr="00546FE0" w:rsidRDefault="00112993"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0CC7FED4" w14:textId="403862F8" w:rsidR="00CF6BBC" w:rsidRPr="00CF6BBC" w:rsidRDefault="00CF6BBC" w:rsidP="00CF6BBC">
      <w:pPr>
        <w:pStyle w:val="En-tte"/>
        <w:spacing w:after="120" w:line="360" w:lineRule="auto"/>
        <w:jc w:val="both"/>
        <w:rPr>
          <w:rFonts w:ascii="Arial Narrow" w:hAnsi="Arial Narrow"/>
        </w:rPr>
      </w:pPr>
      <w:r w:rsidRPr="00CF6BBC">
        <w:rPr>
          <w:rFonts w:ascii="Arial Narrow" w:hAnsi="Arial Narrow"/>
        </w:rPr>
        <w:t>L’intégralité des prestations fait l’objet d’une garantie dans les conditions fixées à l’article 36 du CCAG-TIC.</w:t>
      </w:r>
    </w:p>
    <w:p w14:paraId="45D779C8" w14:textId="77777777" w:rsidR="00CF6BBC" w:rsidRPr="00546FE0" w:rsidRDefault="00CF6BBC" w:rsidP="006465DC">
      <w:pPr>
        <w:pStyle w:val="En-tte"/>
        <w:spacing w:after="120" w:line="360" w:lineRule="auto"/>
        <w:jc w:val="both"/>
        <w:rPr>
          <w:rFonts w:ascii="Arial Narrow" w:hAnsi="Arial Narrow"/>
        </w:rPr>
      </w:pPr>
    </w:p>
    <w:p w14:paraId="6D26BA49" w14:textId="77777777" w:rsidR="007D159B" w:rsidRPr="00546FE0" w:rsidRDefault="004A157C"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50FE78D7" w14:textId="4A5E4D1D" w:rsidR="00D9628D" w:rsidRPr="00546FE0" w:rsidRDefault="00D9628D" w:rsidP="00D9628D">
      <w:pPr>
        <w:pStyle w:val="En-tte"/>
        <w:spacing w:after="120" w:line="360" w:lineRule="auto"/>
        <w:jc w:val="both"/>
        <w:rPr>
          <w:rFonts w:ascii="Arial Narrow" w:hAnsi="Arial Narrow"/>
        </w:rPr>
      </w:pPr>
      <w:r w:rsidRPr="00546FE0">
        <w:rPr>
          <w:rFonts w:ascii="Arial Narrow" w:hAnsi="Arial Narrow"/>
        </w:rPr>
        <w:t>L’</w:t>
      </w:r>
      <w:r w:rsidR="00C331EE">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4D6EBF73" w14:textId="1EC1327F" w:rsidR="00D9628D" w:rsidRPr="00546FE0" w:rsidRDefault="00D9628D" w:rsidP="00D9628D">
      <w:pPr>
        <w:pStyle w:val="En-tte"/>
        <w:spacing w:after="120" w:line="360" w:lineRule="auto"/>
        <w:jc w:val="both"/>
        <w:rPr>
          <w:rFonts w:ascii="Arial Narrow" w:hAnsi="Arial Narrow"/>
        </w:rPr>
      </w:pPr>
      <w:r w:rsidRPr="00546FE0">
        <w:rPr>
          <w:rFonts w:ascii="Arial Narrow" w:hAnsi="Arial Narrow"/>
        </w:rPr>
        <w:t>Par dérogation au 2</w:t>
      </w:r>
      <w:r w:rsidRPr="00546FE0">
        <w:rPr>
          <w:rFonts w:ascii="Arial Narrow" w:hAnsi="Arial Narrow"/>
          <w:vertAlign w:val="superscript"/>
        </w:rPr>
        <w:t>ème</w:t>
      </w:r>
      <w:r w:rsidRPr="00546FE0">
        <w:rPr>
          <w:rFonts w:ascii="Arial Narrow" w:hAnsi="Arial Narrow"/>
        </w:rPr>
        <w:t xml:space="preserve"> alinéa de l’article 14.1.1 du CCAG-</w:t>
      </w:r>
      <w:r>
        <w:rPr>
          <w:rFonts w:ascii="Arial Narrow" w:hAnsi="Arial Narrow"/>
        </w:rPr>
        <w:t>TIC</w:t>
      </w:r>
      <w:r w:rsidRPr="00546FE0">
        <w:rPr>
          <w:rFonts w:ascii="Arial Narrow" w:hAnsi="Arial Narrow"/>
        </w:rPr>
        <w:t>, l’</w:t>
      </w:r>
      <w:r w:rsidR="00C331EE">
        <w:rPr>
          <w:rFonts w:ascii="Arial Narrow" w:hAnsi="Arial Narrow"/>
        </w:rPr>
        <w:t>EPMO-VGE</w:t>
      </w:r>
      <w:r w:rsidRPr="00546FE0">
        <w:rPr>
          <w:rFonts w:ascii="Arial Narrow" w:hAnsi="Arial Narrow"/>
        </w:rPr>
        <w:t xml:space="preserve"> n’invitera pas préalablement le titulaire à présenter ses observations.</w:t>
      </w:r>
    </w:p>
    <w:p w14:paraId="2CB37579" w14:textId="77777777" w:rsidR="00D9628D" w:rsidRPr="00546FE0" w:rsidRDefault="00D9628D" w:rsidP="00D9628D">
      <w:pPr>
        <w:pStyle w:val="En-tte"/>
        <w:spacing w:after="120" w:line="360" w:lineRule="auto"/>
        <w:rPr>
          <w:rFonts w:ascii="Arial Narrow" w:hAnsi="Arial Narrow"/>
        </w:rPr>
      </w:pPr>
      <w:r w:rsidRPr="00546FE0">
        <w:rPr>
          <w:rFonts w:ascii="Arial Narrow" w:hAnsi="Arial Narrow"/>
        </w:rPr>
        <w:t xml:space="preserve">En outre, il n’est pas fait application de l’article </w:t>
      </w:r>
      <w:r w:rsidRPr="00BA3946">
        <w:rPr>
          <w:rFonts w:ascii="Arial Narrow" w:hAnsi="Arial Narrow"/>
        </w:rPr>
        <w:t>14.1.3 du CCAG-- TIC.</w:t>
      </w:r>
    </w:p>
    <w:p w14:paraId="2E0C26E1" w14:textId="083EC31C" w:rsidR="00D87193" w:rsidRDefault="00D9628D" w:rsidP="00D9628D">
      <w:pPr>
        <w:pStyle w:val="En-tte"/>
        <w:spacing w:after="120" w:line="360" w:lineRule="auto"/>
        <w:jc w:val="both"/>
        <w:rPr>
          <w:rFonts w:ascii="Arial Narrow" w:hAnsi="Arial Narrow"/>
        </w:rPr>
      </w:pPr>
      <w:r w:rsidRPr="00392695">
        <w:rPr>
          <w:rFonts w:ascii="Arial Narrow" w:hAnsi="Arial Narrow"/>
        </w:rPr>
        <w:t xml:space="preserve">Par dérogation à l’article 14 du CCAG-TIC les pénalités applicables sont les suivantes : </w:t>
      </w:r>
    </w:p>
    <w:p w14:paraId="6889C45B" w14:textId="77777777" w:rsidR="00D9628D" w:rsidRDefault="00D9628D" w:rsidP="00D9628D">
      <w:pPr>
        <w:pStyle w:val="En-tte"/>
        <w:spacing w:after="120" w:line="360" w:lineRule="auto"/>
        <w:jc w:val="both"/>
        <w:rPr>
          <w:rFonts w:ascii="Arial Narrow" w:hAnsi="Arial Narrow"/>
        </w:rPr>
      </w:pPr>
    </w:p>
    <w:p w14:paraId="339EDE3F" w14:textId="0671CEB3" w:rsidR="00D9628D" w:rsidRPr="008338A6" w:rsidRDefault="008F671A" w:rsidP="00C331EE">
      <w:pPr>
        <w:pStyle w:val="En-tte"/>
        <w:numPr>
          <w:ilvl w:val="1"/>
          <w:numId w:val="12"/>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D9628D" w:rsidRPr="008338A6">
        <w:rPr>
          <w:rFonts w:ascii="Arial Narrow" w:hAnsi="Arial Narrow"/>
          <w:b/>
        </w:rPr>
        <w:t xml:space="preserve">Pénalités pour défaut d'intervention </w:t>
      </w:r>
    </w:p>
    <w:p w14:paraId="70C0E423" w14:textId="4E828B7F" w:rsidR="00D9628D" w:rsidRPr="003C4CAF" w:rsidRDefault="00D9628D" w:rsidP="00D9628D">
      <w:pPr>
        <w:pStyle w:val="En-tte"/>
        <w:spacing w:after="120" w:line="360" w:lineRule="auto"/>
        <w:jc w:val="both"/>
        <w:rPr>
          <w:rFonts w:ascii="Arial Narrow" w:hAnsi="Arial Narrow"/>
        </w:rPr>
      </w:pPr>
      <w:r w:rsidRPr="003C4CAF">
        <w:rPr>
          <w:rFonts w:ascii="Arial Narrow" w:hAnsi="Arial Narrow"/>
        </w:rPr>
        <w:t xml:space="preserve">A compter du dépassement du délai </w:t>
      </w:r>
      <w:r w:rsidR="004A5A41">
        <w:rPr>
          <w:rFonts w:ascii="Arial Narrow" w:hAnsi="Arial Narrow"/>
        </w:rPr>
        <w:t>d’intervention</w:t>
      </w:r>
      <w:r w:rsidR="009A7BA3">
        <w:rPr>
          <w:rFonts w:ascii="Arial Narrow" w:hAnsi="Arial Narrow"/>
        </w:rPr>
        <w:t xml:space="preserve"> ou du délai de réso</w:t>
      </w:r>
      <w:r w:rsidR="005703E8">
        <w:rPr>
          <w:rFonts w:ascii="Arial Narrow" w:hAnsi="Arial Narrow"/>
        </w:rPr>
        <w:t>l</w:t>
      </w:r>
      <w:r w:rsidR="009A7BA3">
        <w:rPr>
          <w:rFonts w:ascii="Arial Narrow" w:hAnsi="Arial Narrow"/>
        </w:rPr>
        <w:t>ution</w:t>
      </w:r>
      <w:r w:rsidRPr="003C4CAF">
        <w:rPr>
          <w:rFonts w:ascii="Arial Narrow" w:hAnsi="Arial Narrow"/>
        </w:rPr>
        <w:t xml:space="preserve"> tel</w:t>
      </w:r>
      <w:r w:rsidR="009A7BA3">
        <w:rPr>
          <w:rFonts w:ascii="Arial Narrow" w:hAnsi="Arial Narrow"/>
        </w:rPr>
        <w:t>s</w:t>
      </w:r>
      <w:r w:rsidRPr="003C4CAF">
        <w:rPr>
          <w:rFonts w:ascii="Arial Narrow" w:hAnsi="Arial Narrow"/>
        </w:rPr>
        <w:t xml:space="preserve"> que fixé</w:t>
      </w:r>
      <w:r w:rsidR="009A7BA3">
        <w:rPr>
          <w:rFonts w:ascii="Arial Narrow" w:hAnsi="Arial Narrow"/>
        </w:rPr>
        <w:t>s</w:t>
      </w:r>
      <w:r w:rsidRPr="003C4CAF">
        <w:rPr>
          <w:rFonts w:ascii="Arial Narrow" w:hAnsi="Arial Narrow"/>
        </w:rPr>
        <w:t xml:space="preserve"> </w:t>
      </w:r>
      <w:r w:rsidR="009A7BA3">
        <w:rPr>
          <w:rFonts w:ascii="Arial Narrow" w:hAnsi="Arial Narrow"/>
        </w:rPr>
        <w:t>à l’</w:t>
      </w:r>
      <w:r w:rsidR="00285D13">
        <w:rPr>
          <w:rFonts w:ascii="Arial Narrow" w:hAnsi="Arial Narrow"/>
        </w:rPr>
        <w:t xml:space="preserve">article </w:t>
      </w:r>
      <w:r w:rsidR="00A1514A">
        <w:rPr>
          <w:rFonts w:ascii="Arial Narrow" w:hAnsi="Arial Narrow"/>
        </w:rPr>
        <w:t>2.1.</w:t>
      </w:r>
      <w:r w:rsidR="004A5A41">
        <w:rPr>
          <w:rFonts w:ascii="Arial Narrow" w:hAnsi="Arial Narrow"/>
        </w:rPr>
        <w:t>5</w:t>
      </w:r>
      <w:r w:rsidR="009A7BA3">
        <w:rPr>
          <w:rFonts w:ascii="Arial Narrow" w:hAnsi="Arial Narrow"/>
        </w:rPr>
        <w:t xml:space="preserve"> du CCTP</w:t>
      </w:r>
      <w:r w:rsidRPr="003C4CAF">
        <w:rPr>
          <w:rFonts w:ascii="Arial Narrow" w:hAnsi="Arial Narrow"/>
        </w:rPr>
        <w:t xml:space="preserve">, le titulaire encourra une pénalité : </w:t>
      </w:r>
    </w:p>
    <w:p w14:paraId="32FCF6F8" w14:textId="77777777" w:rsidR="00D9628D" w:rsidRPr="00E2309B" w:rsidRDefault="00D9628D" w:rsidP="00C331EE">
      <w:pPr>
        <w:pStyle w:val="En-tte"/>
        <w:numPr>
          <w:ilvl w:val="0"/>
          <w:numId w:val="11"/>
        </w:numPr>
        <w:spacing w:after="120" w:line="360" w:lineRule="auto"/>
        <w:jc w:val="both"/>
        <w:rPr>
          <w:rFonts w:ascii="Arial Narrow" w:hAnsi="Arial Narrow"/>
        </w:rPr>
      </w:pPr>
      <w:r w:rsidRPr="00E2309B">
        <w:rPr>
          <w:rFonts w:ascii="Arial Narrow" w:hAnsi="Arial Narrow"/>
        </w:rPr>
        <w:t xml:space="preserve">De 20€, par demi-heure entamée dans la plage horaire définie, en cas d'incident bloquant, </w:t>
      </w:r>
    </w:p>
    <w:p w14:paraId="2D9B636F" w14:textId="77777777" w:rsidR="00D9628D" w:rsidRPr="00E2309B" w:rsidRDefault="00D9628D" w:rsidP="00C331EE">
      <w:pPr>
        <w:pStyle w:val="En-tte"/>
        <w:numPr>
          <w:ilvl w:val="0"/>
          <w:numId w:val="11"/>
        </w:numPr>
        <w:spacing w:after="120" w:line="360" w:lineRule="auto"/>
        <w:jc w:val="both"/>
        <w:rPr>
          <w:rFonts w:ascii="Arial Narrow" w:hAnsi="Arial Narrow"/>
        </w:rPr>
      </w:pPr>
      <w:r w:rsidRPr="00E2309B">
        <w:rPr>
          <w:rFonts w:ascii="Arial Narrow" w:hAnsi="Arial Narrow"/>
        </w:rPr>
        <w:t>De 20€, par heure entamée dans la plage horaire définie, en cas d'incident majeur,</w:t>
      </w:r>
    </w:p>
    <w:p w14:paraId="4E736FE4" w14:textId="50146DED" w:rsidR="00D9628D" w:rsidRPr="0092735F" w:rsidRDefault="00D9628D" w:rsidP="00C331EE">
      <w:pPr>
        <w:pStyle w:val="En-tte"/>
        <w:numPr>
          <w:ilvl w:val="0"/>
          <w:numId w:val="11"/>
        </w:numPr>
        <w:spacing w:after="120" w:line="360" w:lineRule="auto"/>
        <w:jc w:val="both"/>
        <w:rPr>
          <w:rFonts w:ascii="Arial Narrow" w:hAnsi="Arial Narrow"/>
        </w:rPr>
      </w:pPr>
      <w:r w:rsidRPr="00E2309B">
        <w:rPr>
          <w:rFonts w:ascii="Arial Narrow" w:hAnsi="Arial Narrow"/>
        </w:rPr>
        <w:t>De 20€, toutes</w:t>
      </w:r>
      <w:r w:rsidRPr="003C4CAF">
        <w:rPr>
          <w:rFonts w:ascii="Arial Narrow" w:hAnsi="Arial Narrow"/>
        </w:rPr>
        <w:t xml:space="preserve"> les 24 h de retard, en cas d'incident mineur.</w:t>
      </w:r>
    </w:p>
    <w:p w14:paraId="26A1907A" w14:textId="144AA51D" w:rsidR="00D9628D" w:rsidRPr="00B94B5B" w:rsidRDefault="00D9628D" w:rsidP="00C331EE">
      <w:pPr>
        <w:pStyle w:val="En-tte"/>
        <w:numPr>
          <w:ilvl w:val="1"/>
          <w:numId w:val="12"/>
        </w:numPr>
        <w:tabs>
          <w:tab w:val="clear" w:pos="4536"/>
          <w:tab w:val="clear" w:pos="9072"/>
        </w:tabs>
        <w:spacing w:after="240" w:line="360" w:lineRule="auto"/>
        <w:ind w:left="567" w:hanging="567"/>
        <w:jc w:val="both"/>
        <w:rPr>
          <w:rFonts w:ascii="Arial Narrow" w:hAnsi="Arial Narrow"/>
          <w:b/>
        </w:rPr>
      </w:pPr>
      <w:r w:rsidRPr="00B94B5B">
        <w:rPr>
          <w:rFonts w:ascii="Arial Narrow" w:hAnsi="Arial Narrow"/>
          <w:b/>
        </w:rPr>
        <w:t>Pénalités pour indisponibilités</w:t>
      </w:r>
    </w:p>
    <w:p w14:paraId="2A0DE2FC" w14:textId="74BAE742" w:rsidR="00E66AE1" w:rsidRDefault="00E66AE1" w:rsidP="00D9628D">
      <w:pPr>
        <w:pStyle w:val="En-tte"/>
        <w:spacing w:after="120" w:line="360" w:lineRule="auto"/>
        <w:jc w:val="both"/>
        <w:rPr>
          <w:rFonts w:ascii="Arial Narrow" w:hAnsi="Arial Narrow"/>
        </w:rPr>
      </w:pPr>
      <w:r w:rsidRPr="00E66AE1">
        <w:rPr>
          <w:rFonts w:ascii="Arial Narrow" w:hAnsi="Arial Narrow"/>
        </w:rPr>
        <w:lastRenderedPageBreak/>
        <w:t>Par dérogation à l’</w:t>
      </w:r>
      <w:r>
        <w:rPr>
          <w:rFonts w:ascii="Arial Narrow" w:hAnsi="Arial Narrow"/>
        </w:rPr>
        <w:t xml:space="preserve">article 14 du CCAG-TIC, en cas d’indisponibilité </w:t>
      </w:r>
      <w:r w:rsidR="00E2309B">
        <w:rPr>
          <w:rFonts w:ascii="Arial Narrow" w:hAnsi="Arial Narrow"/>
        </w:rPr>
        <w:t>des équipements</w:t>
      </w:r>
      <w:r w:rsidRPr="00E66AE1">
        <w:rPr>
          <w:rFonts w:ascii="Arial Narrow" w:hAnsi="Arial Narrow"/>
        </w:rPr>
        <w:t xml:space="preserve">, le titulaire encourt une pénalité forfaitaire de 100 € par </w:t>
      </w:r>
      <w:r>
        <w:rPr>
          <w:rFonts w:ascii="Arial Narrow" w:hAnsi="Arial Narrow"/>
        </w:rPr>
        <w:t xml:space="preserve">heure </w:t>
      </w:r>
      <w:r w:rsidR="00E800FA">
        <w:rPr>
          <w:rFonts w:ascii="Arial Narrow" w:hAnsi="Arial Narrow"/>
        </w:rPr>
        <w:t xml:space="preserve">d’indisponibilité </w:t>
      </w:r>
      <w:r>
        <w:rPr>
          <w:rFonts w:ascii="Arial Narrow" w:hAnsi="Arial Narrow"/>
        </w:rPr>
        <w:t xml:space="preserve">sur la </w:t>
      </w:r>
      <w:r w:rsidRPr="00E2309B">
        <w:rPr>
          <w:rFonts w:ascii="Arial Narrow" w:hAnsi="Arial Narrow"/>
        </w:rPr>
        <w:t>période d</w:t>
      </w:r>
      <w:r w:rsidR="00B94B5B" w:rsidRPr="00E2309B">
        <w:rPr>
          <w:rFonts w:ascii="Arial Narrow" w:hAnsi="Arial Narrow"/>
        </w:rPr>
        <w:t>éfinie au CCTP et</w:t>
      </w:r>
      <w:r w:rsidR="00B94B5B">
        <w:rPr>
          <w:rFonts w:ascii="Arial Narrow" w:hAnsi="Arial Narrow"/>
        </w:rPr>
        <w:t xml:space="preserve"> à partir d’1 heure et 1 minute après la détection de l’indisponibilité par le titulaire ou l’</w:t>
      </w:r>
      <w:r w:rsidR="00C331EE">
        <w:rPr>
          <w:rFonts w:ascii="Arial Narrow" w:hAnsi="Arial Narrow"/>
        </w:rPr>
        <w:t>EPMO-VGE</w:t>
      </w:r>
      <w:r w:rsidR="00B94B5B">
        <w:rPr>
          <w:rFonts w:ascii="Arial Narrow" w:hAnsi="Arial Narrow"/>
        </w:rPr>
        <w:t xml:space="preserve">. </w:t>
      </w:r>
    </w:p>
    <w:p w14:paraId="20450452" w14:textId="47BDDA77" w:rsidR="00D9628D" w:rsidRPr="002B2611" w:rsidRDefault="00D9628D" w:rsidP="00C331EE">
      <w:pPr>
        <w:pStyle w:val="En-tte"/>
        <w:numPr>
          <w:ilvl w:val="1"/>
          <w:numId w:val="12"/>
        </w:numPr>
        <w:tabs>
          <w:tab w:val="clear" w:pos="4536"/>
          <w:tab w:val="clear" w:pos="9072"/>
        </w:tabs>
        <w:spacing w:after="240" w:line="360" w:lineRule="auto"/>
        <w:ind w:left="567" w:hanging="567"/>
        <w:jc w:val="both"/>
        <w:rPr>
          <w:rFonts w:ascii="Arial Narrow" w:hAnsi="Arial Narrow"/>
          <w:b/>
        </w:rPr>
      </w:pPr>
      <w:r w:rsidRPr="002B2611">
        <w:rPr>
          <w:rFonts w:ascii="Arial Narrow" w:hAnsi="Arial Narrow"/>
          <w:b/>
        </w:rPr>
        <w:t>Pénalités pour retard dans la remise d</w:t>
      </w:r>
      <w:r w:rsidR="00991D9A">
        <w:rPr>
          <w:rFonts w:ascii="Arial Narrow" w:hAnsi="Arial Narrow"/>
          <w:b/>
        </w:rPr>
        <w:t>e données (</w:t>
      </w:r>
      <w:proofErr w:type="spellStart"/>
      <w:r w:rsidR="00991D9A">
        <w:rPr>
          <w:rFonts w:ascii="Arial Narrow" w:hAnsi="Arial Narrow"/>
          <w:b/>
        </w:rPr>
        <w:t>reporting</w:t>
      </w:r>
      <w:proofErr w:type="spellEnd"/>
      <w:r w:rsidR="00991D9A">
        <w:rPr>
          <w:rFonts w:ascii="Arial Narrow" w:hAnsi="Arial Narrow"/>
          <w:b/>
        </w:rPr>
        <w:t>)</w:t>
      </w:r>
    </w:p>
    <w:p w14:paraId="06379B79" w14:textId="3DF056EE" w:rsidR="00D9628D" w:rsidRDefault="00D9628D" w:rsidP="00962163">
      <w:pPr>
        <w:pStyle w:val="En-tte"/>
        <w:spacing w:after="120" w:line="360" w:lineRule="auto"/>
        <w:jc w:val="both"/>
        <w:rPr>
          <w:rFonts w:ascii="Arial Narrow" w:hAnsi="Arial Narrow"/>
        </w:rPr>
      </w:pPr>
      <w:r w:rsidRPr="00853177">
        <w:rPr>
          <w:rFonts w:ascii="Arial Narrow" w:hAnsi="Arial Narrow"/>
        </w:rPr>
        <w:t xml:space="preserve">Par dérogation à l’article 14 du CCAG-TIC, en cas de retard dans la communication des </w:t>
      </w:r>
      <w:proofErr w:type="spellStart"/>
      <w:r w:rsidR="008848F8">
        <w:rPr>
          <w:rFonts w:ascii="Arial Narrow" w:hAnsi="Arial Narrow"/>
        </w:rPr>
        <w:t>reporting</w:t>
      </w:r>
      <w:proofErr w:type="spellEnd"/>
      <w:r w:rsidR="008848F8">
        <w:rPr>
          <w:rFonts w:ascii="Arial Narrow" w:hAnsi="Arial Narrow"/>
        </w:rPr>
        <w:t xml:space="preserve"> prévus au 2.1.</w:t>
      </w:r>
      <w:r w:rsidR="00BC4143">
        <w:rPr>
          <w:rFonts w:ascii="Arial Narrow" w:hAnsi="Arial Narrow"/>
        </w:rPr>
        <w:t>8</w:t>
      </w:r>
      <w:r w:rsidRPr="00853177">
        <w:rPr>
          <w:rFonts w:ascii="Arial Narrow" w:hAnsi="Arial Narrow"/>
        </w:rPr>
        <w:t xml:space="preserve"> </w:t>
      </w:r>
      <w:r w:rsidR="00BC4143">
        <w:rPr>
          <w:rFonts w:ascii="Arial Narrow" w:hAnsi="Arial Narrow"/>
        </w:rPr>
        <w:t xml:space="preserve">prévus au CCTP, </w:t>
      </w:r>
      <w:r w:rsidRPr="00853177">
        <w:rPr>
          <w:rFonts w:ascii="Arial Narrow" w:hAnsi="Arial Narrow"/>
        </w:rPr>
        <w:t xml:space="preserve">le titulaire encourt une pénalité </w:t>
      </w:r>
      <w:r w:rsidRPr="00E2309B">
        <w:rPr>
          <w:rFonts w:ascii="Arial Narrow" w:hAnsi="Arial Narrow"/>
        </w:rPr>
        <w:t xml:space="preserve">forfaitaire de </w:t>
      </w:r>
      <w:r w:rsidR="008848F8" w:rsidRPr="00E2309B">
        <w:rPr>
          <w:rFonts w:ascii="Arial Narrow" w:hAnsi="Arial Narrow"/>
        </w:rPr>
        <w:t>50</w:t>
      </w:r>
      <w:r w:rsidRPr="00E2309B">
        <w:rPr>
          <w:rFonts w:ascii="Arial Narrow" w:hAnsi="Arial Narrow"/>
        </w:rPr>
        <w:t xml:space="preserve"> € </w:t>
      </w:r>
      <w:r w:rsidR="00962163" w:rsidRPr="00E2309B">
        <w:rPr>
          <w:rFonts w:ascii="Arial Narrow" w:hAnsi="Arial Narrow"/>
        </w:rPr>
        <w:t xml:space="preserve">par </w:t>
      </w:r>
      <w:proofErr w:type="spellStart"/>
      <w:r w:rsidR="00E2309B" w:rsidRPr="00E2309B">
        <w:rPr>
          <w:rFonts w:ascii="Arial Narrow" w:hAnsi="Arial Narrow"/>
        </w:rPr>
        <w:t>reporting</w:t>
      </w:r>
      <w:proofErr w:type="spellEnd"/>
      <w:r w:rsidR="00E2309B">
        <w:rPr>
          <w:rFonts w:ascii="Arial Narrow" w:hAnsi="Arial Narrow"/>
        </w:rPr>
        <w:t xml:space="preserve"> non transmis</w:t>
      </w:r>
      <w:r w:rsidR="00BC4143">
        <w:rPr>
          <w:rFonts w:ascii="Arial Narrow" w:hAnsi="Arial Narrow"/>
        </w:rPr>
        <w:t xml:space="preserve"> sur simple constat.</w:t>
      </w:r>
    </w:p>
    <w:p w14:paraId="0BE87708" w14:textId="2DAAEEA6" w:rsidR="00296E56" w:rsidRPr="00A41DAD" w:rsidRDefault="009A7BA3" w:rsidP="00A41DAD">
      <w:pPr>
        <w:pStyle w:val="En-tte"/>
        <w:numPr>
          <w:ilvl w:val="1"/>
          <w:numId w:val="12"/>
        </w:numPr>
        <w:tabs>
          <w:tab w:val="clear" w:pos="4536"/>
          <w:tab w:val="clear" w:pos="9072"/>
        </w:tabs>
        <w:spacing w:after="240" w:line="360" w:lineRule="auto"/>
        <w:ind w:left="567" w:hanging="567"/>
        <w:jc w:val="both"/>
        <w:rPr>
          <w:rFonts w:ascii="Arial Narrow" w:hAnsi="Arial Narrow"/>
          <w:b/>
        </w:rPr>
      </w:pPr>
      <w:r w:rsidRPr="00A41DAD">
        <w:rPr>
          <w:rFonts w:ascii="Arial Narrow" w:hAnsi="Arial Narrow"/>
          <w:b/>
        </w:rPr>
        <w:t>15.4 Pénalités pour retard dans la restitution des données collectées, stockées et traitées dans le cadre de l'accord-cadre</w:t>
      </w:r>
      <w:r w:rsidR="00BC4143" w:rsidRPr="00A41DAD">
        <w:rPr>
          <w:rFonts w:ascii="Arial Narrow" w:hAnsi="Arial Narrow"/>
          <w:b/>
        </w:rPr>
        <w:t>.</w:t>
      </w:r>
    </w:p>
    <w:p w14:paraId="429BC4E4" w14:textId="5C66D5DC" w:rsidR="009A7BA3" w:rsidRDefault="009A7BA3" w:rsidP="00D9628D">
      <w:pPr>
        <w:pStyle w:val="En-tte"/>
        <w:spacing w:after="120" w:line="360" w:lineRule="auto"/>
        <w:jc w:val="both"/>
        <w:rPr>
          <w:rFonts w:ascii="Arial Narrow" w:hAnsi="Arial Narrow"/>
        </w:rPr>
      </w:pPr>
      <w:r>
        <w:rPr>
          <w:rFonts w:ascii="Arial Narrow" w:hAnsi="Arial Narrow"/>
        </w:rPr>
        <w:t xml:space="preserve">En cas de retard dans la restitution des </w:t>
      </w:r>
      <w:r w:rsidRPr="009A7BA3">
        <w:rPr>
          <w:rFonts w:ascii="Arial Narrow" w:hAnsi="Arial Narrow"/>
        </w:rPr>
        <w:t>données collectées, stockées et traitées dans le cadre de l'accord-cadre</w:t>
      </w:r>
      <w:r>
        <w:rPr>
          <w:rFonts w:ascii="Arial Narrow" w:hAnsi="Arial Narrow"/>
        </w:rPr>
        <w:t xml:space="preserve">, conformément aux dispositions du CCTP, le titulaire encourt une pénalité forfaitaire de 100 € par jour </w:t>
      </w:r>
      <w:r w:rsidR="00BC4143">
        <w:rPr>
          <w:rFonts w:ascii="Arial Narrow" w:hAnsi="Arial Narrow"/>
        </w:rPr>
        <w:t>de retard.</w:t>
      </w:r>
    </w:p>
    <w:p w14:paraId="1F9B78F8" w14:textId="77777777" w:rsidR="009A7BA3" w:rsidRPr="00546FE0" w:rsidRDefault="009A7BA3" w:rsidP="00D9628D">
      <w:pPr>
        <w:pStyle w:val="En-tte"/>
        <w:spacing w:after="120" w:line="360" w:lineRule="auto"/>
        <w:jc w:val="both"/>
        <w:rPr>
          <w:rFonts w:ascii="Arial Narrow" w:hAnsi="Arial Narrow"/>
        </w:rPr>
      </w:pPr>
    </w:p>
    <w:p w14:paraId="090BA9A0" w14:textId="1C00FA48" w:rsidR="002F4374" w:rsidRPr="00546FE0" w:rsidRDefault="00043D85"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146C6DD" w:rsidR="00D67D85"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C331EE">
        <w:rPr>
          <w:rFonts w:ascii="Arial Narrow" w:hAnsi="Arial Narrow"/>
        </w:rPr>
        <w:t>EPMO-VGE</w:t>
      </w:r>
      <w:r w:rsidRPr="00546FE0">
        <w:rPr>
          <w:rFonts w:ascii="Arial Narrow" w:hAnsi="Arial Narrow"/>
        </w:rPr>
        <w:t xml:space="preserve"> l’acceptation de chaque sous-traitant ainsi que l’agrément de ses conditions de paiement. </w:t>
      </w:r>
    </w:p>
    <w:p w14:paraId="7A36B420" w14:textId="77777777" w:rsidR="00043D85" w:rsidRPr="00546FE0" w:rsidRDefault="00043D85" w:rsidP="00043D85">
      <w:pPr>
        <w:pStyle w:val="En-tte"/>
        <w:spacing w:after="120" w:line="360" w:lineRule="auto"/>
        <w:jc w:val="both"/>
        <w:rPr>
          <w:rFonts w:ascii="Arial Narrow" w:hAnsi="Arial Narrow"/>
        </w:rPr>
      </w:pPr>
    </w:p>
    <w:p w14:paraId="37F71F8C" w14:textId="54588879"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5FAE229E" w:rsidR="003F5F33" w:rsidRPr="00546FE0" w:rsidRDefault="003F5F33" w:rsidP="002B2611">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062C4422" w:rsidR="00043D85" w:rsidRPr="00546FE0" w:rsidRDefault="00043D85" w:rsidP="002B2611">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C331EE">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37E43E6E" w:rsidR="00043D85" w:rsidRPr="00546FE0" w:rsidRDefault="0084497F" w:rsidP="002B2611">
      <w:pPr>
        <w:pStyle w:val="En-tte"/>
        <w:spacing w:after="120" w:line="360" w:lineRule="auto"/>
        <w:jc w:val="both"/>
        <w:rPr>
          <w:rFonts w:ascii="Arial Narrow" w:hAnsi="Arial Narrow"/>
        </w:rPr>
      </w:pPr>
      <w:r>
        <w:rPr>
          <w:rFonts w:ascii="Arial Narrow" w:hAnsi="Arial Narrow"/>
        </w:rPr>
        <w:t>Par dérogation aux articles 3.6.3 et 14 du CCAG-</w:t>
      </w:r>
      <w:proofErr w:type="gramStart"/>
      <w:r>
        <w:rPr>
          <w:rFonts w:ascii="Arial Narrow" w:hAnsi="Arial Narrow"/>
        </w:rPr>
        <w:t>TIC ,</w:t>
      </w:r>
      <w:proofErr w:type="gramEnd"/>
      <w:r>
        <w:rPr>
          <w:rFonts w:ascii="Arial Narrow" w:hAnsi="Arial Narrow"/>
        </w:rPr>
        <w:t xml:space="preserve"> e</w:t>
      </w:r>
      <w:r w:rsidR="00043D85" w:rsidRPr="00546FE0">
        <w:rPr>
          <w:rFonts w:ascii="Arial Narrow" w:hAnsi="Arial Narrow"/>
        </w:rPr>
        <w:t xml:space="preserv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2B2611">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2B8AB53E" w:rsidR="00043D85" w:rsidRPr="00546FE0" w:rsidRDefault="00043D85" w:rsidP="002B2611">
      <w:pPr>
        <w:pStyle w:val="En-tte"/>
        <w:spacing w:after="120" w:line="360" w:lineRule="auto"/>
        <w:jc w:val="both"/>
        <w:rPr>
          <w:rFonts w:ascii="Arial Narrow" w:hAnsi="Arial Narrow"/>
        </w:rPr>
      </w:pPr>
      <w:r w:rsidRPr="00546FE0">
        <w:rPr>
          <w:rFonts w:ascii="Arial Narrow" w:hAnsi="Arial Narrow"/>
        </w:rPr>
        <w:lastRenderedPageBreak/>
        <w:t>En outre, cette pénalité n’exonère pas le titulaire des risques de résiliation pour faute auxquels il s’ex</w:t>
      </w:r>
      <w:r w:rsidR="003F5F33" w:rsidRPr="00546FE0">
        <w:rPr>
          <w:rFonts w:ascii="Arial Narrow" w:hAnsi="Arial Narrow"/>
        </w:rPr>
        <w:t xml:space="preserve">pose conformément au e) de </w:t>
      </w:r>
      <w:r w:rsidR="003F5F33" w:rsidRPr="00BA3946">
        <w:rPr>
          <w:rFonts w:ascii="Arial Narrow" w:hAnsi="Arial Narrow"/>
        </w:rPr>
        <w:t xml:space="preserve">l’article </w:t>
      </w:r>
      <w:r w:rsidR="00BA3946" w:rsidRPr="00BA3946">
        <w:rPr>
          <w:rFonts w:ascii="Arial Narrow" w:hAnsi="Arial Narrow"/>
        </w:rPr>
        <w:t>50-1</w:t>
      </w:r>
      <w:r w:rsidR="003F5F33" w:rsidRPr="00BA3946">
        <w:rPr>
          <w:rFonts w:ascii="Arial Narrow" w:hAnsi="Arial Narrow"/>
        </w:rPr>
        <w:t xml:space="preserve"> du CCAG-</w:t>
      </w:r>
      <w:r w:rsidR="00BA3946" w:rsidRPr="00BA3946">
        <w:rPr>
          <w:rFonts w:ascii="Arial Narrow" w:hAnsi="Arial Narrow"/>
        </w:rPr>
        <w:t>TIC.</w:t>
      </w:r>
      <w:r w:rsidRPr="00546FE0">
        <w:rPr>
          <w:rFonts w:ascii="Arial Narrow" w:hAnsi="Arial Narrow"/>
        </w:rPr>
        <w:t xml:space="preserve"> </w:t>
      </w:r>
    </w:p>
    <w:p w14:paraId="264CB72B" w14:textId="77777777" w:rsidR="007D159B" w:rsidRPr="00546FE0" w:rsidRDefault="00043D85" w:rsidP="002B2611">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B3E70FD" w:rsidR="003F5F33" w:rsidRPr="00546FE0" w:rsidRDefault="003F5F33" w:rsidP="002B2611">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C331EE">
        <w:rPr>
          <w:rFonts w:ascii="Arial Narrow" w:hAnsi="Arial Narrow"/>
        </w:rPr>
        <w:t>EPMO-VGE</w:t>
      </w:r>
      <w:r w:rsidRPr="00546FE0">
        <w:rPr>
          <w:rFonts w:ascii="Arial Narrow" w:hAnsi="Arial Narrow"/>
        </w:rPr>
        <w:t xml:space="preserve">. </w:t>
      </w:r>
    </w:p>
    <w:p w14:paraId="5F6D7ED2"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5581934B"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C331EE">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66FC87F9"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C331EE">
        <w:rPr>
          <w:rFonts w:ascii="Arial Narrow" w:hAnsi="Arial Narrow"/>
        </w:rPr>
        <w:t>EPMO-VGE</w:t>
      </w:r>
      <w:r w:rsidRPr="00546FE0">
        <w:rPr>
          <w:rFonts w:ascii="Arial Narrow" w:hAnsi="Arial Narrow"/>
        </w:rPr>
        <w:t>, excepté en cas de faute ou malveillance de celui-ci.</w:t>
      </w:r>
    </w:p>
    <w:p w14:paraId="24F4DB7E"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6DA36F6" w14:textId="77777777" w:rsidR="00106DDC" w:rsidRPr="00546FE0" w:rsidRDefault="00106DD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2C7B6B50" w14:textId="3672DDDE" w:rsidR="00C92452" w:rsidRPr="00296E56" w:rsidRDefault="00C92452" w:rsidP="00C331EE">
      <w:pPr>
        <w:pStyle w:val="En-tte"/>
        <w:numPr>
          <w:ilvl w:val="0"/>
          <w:numId w:val="7"/>
        </w:numPr>
        <w:tabs>
          <w:tab w:val="clear" w:pos="4536"/>
          <w:tab w:val="clear" w:pos="9072"/>
        </w:tabs>
        <w:spacing w:after="120" w:line="360" w:lineRule="auto"/>
        <w:jc w:val="both"/>
        <w:rPr>
          <w:rFonts w:ascii="Arial Narrow" w:hAnsi="Arial Narrow"/>
        </w:rPr>
      </w:pPr>
      <w:r w:rsidRPr="00296E56">
        <w:rPr>
          <w:rFonts w:ascii="Arial Narrow" w:hAnsi="Arial Narrow"/>
        </w:rPr>
        <w:t>l'attestation mentionnée à l'</w:t>
      </w:r>
      <w:hyperlink r:id="rId10" w:history="1">
        <w:r w:rsidRPr="00296E56">
          <w:rPr>
            <w:rFonts w:ascii="Arial Narrow" w:hAnsi="Arial Narrow"/>
          </w:rPr>
          <w:t>article L. 243-15 du code de la sécurité sociale</w:t>
        </w:r>
      </w:hyperlink>
      <w:r w:rsidR="00DB7A14" w:rsidRPr="00296E56">
        <w:rPr>
          <w:rFonts w:ascii="Arial Narrow" w:hAnsi="Arial Narrow"/>
        </w:rPr>
        <w:t> ;</w:t>
      </w:r>
    </w:p>
    <w:p w14:paraId="15D09DED" w14:textId="77777777" w:rsidR="00DB7A14" w:rsidRPr="00296E56" w:rsidRDefault="00DB7A14" w:rsidP="00C331EE">
      <w:pPr>
        <w:pStyle w:val="En-tte"/>
        <w:numPr>
          <w:ilvl w:val="0"/>
          <w:numId w:val="7"/>
        </w:numPr>
        <w:tabs>
          <w:tab w:val="clear" w:pos="4536"/>
          <w:tab w:val="clear" w:pos="9072"/>
        </w:tabs>
        <w:spacing w:after="120" w:line="360" w:lineRule="auto"/>
        <w:jc w:val="both"/>
        <w:rPr>
          <w:rFonts w:ascii="Arial Narrow" w:hAnsi="Arial Narrow"/>
        </w:rPr>
      </w:pPr>
      <w:r w:rsidRPr="00296E56">
        <w:rPr>
          <w:rFonts w:ascii="Arial Narrow" w:hAnsi="Arial Narrow"/>
        </w:rPr>
        <w:t>Les pièces prévues aux articles R. 1263-12, D. 8222-5 ou D. 8222-7 ou D. 8254-2 à D. 8254-5 du code du travail ;</w:t>
      </w:r>
    </w:p>
    <w:p w14:paraId="7F4759F8" w14:textId="77777777" w:rsidR="00C92452" w:rsidRPr="00296E56" w:rsidRDefault="00C92452" w:rsidP="00C331EE">
      <w:pPr>
        <w:pStyle w:val="En-tte"/>
        <w:numPr>
          <w:ilvl w:val="0"/>
          <w:numId w:val="7"/>
        </w:numPr>
        <w:tabs>
          <w:tab w:val="clear" w:pos="4536"/>
          <w:tab w:val="clear" w:pos="9072"/>
        </w:tabs>
        <w:spacing w:after="120" w:line="360" w:lineRule="auto"/>
        <w:jc w:val="both"/>
        <w:rPr>
          <w:rFonts w:ascii="Arial Narrow" w:hAnsi="Arial Narrow"/>
        </w:rPr>
      </w:pPr>
      <w:r w:rsidRPr="00296E56">
        <w:rPr>
          <w:rFonts w:ascii="Arial Narrow" w:hAnsi="Arial Narrow"/>
        </w:rPr>
        <w:t>Le certificat attestant le versement régulier des cotisations légales aux caisses de congés payés et de chômage intempéries ;</w:t>
      </w:r>
    </w:p>
    <w:p w14:paraId="6F538D3B" w14:textId="77777777" w:rsidR="00C92452" w:rsidRPr="00296E56" w:rsidRDefault="00AD439B" w:rsidP="00C331EE">
      <w:pPr>
        <w:pStyle w:val="En-tte"/>
        <w:numPr>
          <w:ilvl w:val="0"/>
          <w:numId w:val="7"/>
        </w:numPr>
        <w:tabs>
          <w:tab w:val="clear" w:pos="4536"/>
          <w:tab w:val="clear" w:pos="9072"/>
        </w:tabs>
        <w:spacing w:after="120" w:line="360" w:lineRule="auto"/>
        <w:jc w:val="both"/>
        <w:rPr>
          <w:rFonts w:ascii="Arial Narrow" w:hAnsi="Arial Narrow"/>
        </w:rPr>
      </w:pPr>
      <w:r w:rsidRPr="00296E56">
        <w:rPr>
          <w:rFonts w:ascii="Arial Narrow" w:hAnsi="Arial Narrow"/>
        </w:rPr>
        <w:t>Les c</w:t>
      </w:r>
      <w:r w:rsidR="00DB7A14" w:rsidRPr="00296E56">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C331EE">
      <w:pPr>
        <w:pStyle w:val="En-tte"/>
        <w:numPr>
          <w:ilvl w:val="0"/>
          <w:numId w:val="7"/>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lastRenderedPageBreak/>
        <w:t>ou</w:t>
      </w:r>
      <w:proofErr w:type="gramEnd"/>
      <w:r w:rsidRPr="00546FE0">
        <w:rPr>
          <w:rFonts w:ascii="Arial Narrow" w:hAnsi="Arial Narrow"/>
        </w:rPr>
        <w:t xml:space="preserve"> bien, </w:t>
      </w:r>
    </w:p>
    <w:p w14:paraId="0DA8E46C" w14:textId="77777777" w:rsidR="00AD439B" w:rsidRPr="00546FE0" w:rsidRDefault="00AD439B" w:rsidP="00C331EE">
      <w:pPr>
        <w:pStyle w:val="En-tte"/>
        <w:numPr>
          <w:ilvl w:val="0"/>
          <w:numId w:val="7"/>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0F95299" w:rsidR="00C92452" w:rsidRPr="00546FE0" w:rsidRDefault="00AD439B" w:rsidP="002B2611">
      <w:pPr>
        <w:pStyle w:val="En-tte"/>
        <w:tabs>
          <w:tab w:val="clear" w:pos="4536"/>
          <w:tab w:val="clear" w:pos="9072"/>
        </w:tabs>
        <w:spacing w:line="360" w:lineRule="auto"/>
        <w:ind w:left="357"/>
        <w:jc w:val="both"/>
        <w:rPr>
          <w:rFonts w:ascii="Arial Narrow" w:hAnsi="Arial Narrow"/>
        </w:rPr>
      </w:pPr>
      <w:r w:rsidRPr="00546FE0">
        <w:rPr>
          <w:rFonts w:ascii="Arial Narrow" w:hAnsi="Arial Narrow"/>
        </w:rPr>
        <w:t>Le choix de l’alternative retenue relève de l’</w:t>
      </w:r>
      <w:r w:rsidR="00C331EE">
        <w:rPr>
          <w:rFonts w:ascii="Arial Narrow" w:hAnsi="Arial Narrow"/>
        </w:rPr>
        <w:t>EPMO-VGE</w:t>
      </w:r>
      <w:r w:rsidRPr="00546FE0">
        <w:rPr>
          <w:rFonts w:ascii="Arial Narrow" w:hAnsi="Arial Narrow"/>
        </w:rPr>
        <w:t>.</w:t>
      </w:r>
    </w:p>
    <w:p w14:paraId="2C1FEF2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18ED015" w14:textId="77777777" w:rsidR="00775DE4" w:rsidRPr="00F30726" w:rsidRDefault="00775DE4" w:rsidP="00C331EE">
      <w:pPr>
        <w:pStyle w:val="En-tte"/>
        <w:numPr>
          <w:ilvl w:val="0"/>
          <w:numId w:val="16"/>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7ED18161" w14:textId="77777777"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465D5894" w14:textId="77777777"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061C06CD" w14:textId="77777777"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7C3DA290" w14:textId="77777777"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63926213" w14:textId="77777777"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1C9652C" w14:textId="3711260F"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5F16BD">
        <w:rPr>
          <w:rFonts w:ascii="Arial Narrow" w:hAnsi="Arial Narrow"/>
        </w:rPr>
        <w:t>EPMO</w:t>
      </w:r>
      <w:r>
        <w:rPr>
          <w:rFonts w:ascii="Arial Narrow" w:hAnsi="Arial Narrow"/>
        </w:rPr>
        <w:t>-VGE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263AFC89" w14:textId="77777777" w:rsidR="00775DE4" w:rsidRPr="00F30726" w:rsidRDefault="00775DE4" w:rsidP="00C331EE">
      <w:pPr>
        <w:pStyle w:val="En-tte"/>
        <w:numPr>
          <w:ilvl w:val="0"/>
          <w:numId w:val="16"/>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FF6EC6A" w14:textId="4F67E0BC"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C331EE">
        <w:rPr>
          <w:rFonts w:ascii="Arial Narrow" w:hAnsi="Arial Narrow"/>
        </w:rPr>
        <w:t>EPMO-</w:t>
      </w:r>
      <w:r w:rsidR="008B28A9" w:rsidDel="008B28A9">
        <w:rPr>
          <w:rFonts w:ascii="Arial Narrow" w:hAnsi="Arial Narrow"/>
        </w:rPr>
        <w:t xml:space="preserve"> </w:t>
      </w:r>
      <w:r>
        <w:rPr>
          <w:rFonts w:ascii="Arial Narrow" w:hAnsi="Arial Narrow"/>
        </w:rPr>
        <w:t>VGE</w:t>
      </w:r>
      <w:r w:rsidRPr="00F30726">
        <w:rPr>
          <w:rFonts w:ascii="Arial Narrow" w:hAnsi="Arial Narrow"/>
        </w:rPr>
        <w:t xml:space="preserve"> si celui-ci en demande la communication, notamment à l’occasion des demandes d’acceptation de sous-traitants. </w:t>
      </w:r>
    </w:p>
    <w:p w14:paraId="7ED8646A" w14:textId="5F256DB4" w:rsidR="00775DE4" w:rsidRPr="00F30726" w:rsidRDefault="00775DE4" w:rsidP="00C331EE">
      <w:pPr>
        <w:pStyle w:val="En-tte"/>
        <w:numPr>
          <w:ilvl w:val="0"/>
          <w:numId w:val="16"/>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C331EE">
        <w:rPr>
          <w:rFonts w:ascii="Arial Narrow" w:hAnsi="Arial Narrow"/>
        </w:rPr>
        <w:t>EPMO</w:t>
      </w:r>
      <w:r w:rsidR="008B28A9" w:rsidDel="008B28A9">
        <w:rPr>
          <w:rFonts w:ascii="Arial Narrow" w:hAnsi="Arial Narrow"/>
        </w:rPr>
        <w:t xml:space="preserve"> </w:t>
      </w:r>
      <w:r>
        <w:rPr>
          <w:rFonts w:ascii="Arial Narrow" w:hAnsi="Arial Narrow"/>
        </w:rPr>
        <w:t>-VGE</w:t>
      </w:r>
      <w:r w:rsidRPr="00F30726">
        <w:rPr>
          <w:rFonts w:ascii="Arial Narrow" w:hAnsi="Arial Narrow"/>
        </w:rPr>
        <w:t xml:space="preserve"> de signaler tout manquement aux principes d’égalité, de neutralité et de laïcité constaté au cours de l’exécution du marché.  </w:t>
      </w:r>
    </w:p>
    <w:p w14:paraId="4E912267" w14:textId="1549BE8B" w:rsidR="00775DE4" w:rsidRPr="00F30726" w:rsidRDefault="00775DE4" w:rsidP="00775DE4">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L’</w:t>
      </w:r>
      <w:r w:rsidR="00C331EE">
        <w:rPr>
          <w:rFonts w:ascii="Arial Narrow" w:hAnsi="Arial Narrow"/>
        </w:rPr>
        <w:t>EPMO</w:t>
      </w:r>
      <w:r w:rsidR="008B28A9" w:rsidDel="008B28A9">
        <w:rPr>
          <w:rFonts w:ascii="Arial Narrow" w:hAnsi="Arial Narrow"/>
        </w:rPr>
        <w:t xml:space="preserve"> </w:t>
      </w:r>
      <w:r>
        <w:rPr>
          <w:rFonts w:ascii="Arial Narrow" w:hAnsi="Arial Narrow"/>
        </w:rPr>
        <w:t>-VGE</w:t>
      </w:r>
      <w:r w:rsidRPr="00F30726">
        <w:rPr>
          <w:rFonts w:ascii="Arial Narrow" w:hAnsi="Arial Narrow"/>
        </w:rPr>
        <w:t xml:space="preserve"> informe le titulaire, ou est informé par le titulaire sans délai de tout manquement à ces principes. Le titulaire informe l’</w:t>
      </w:r>
      <w:r w:rsidR="00C331EE">
        <w:rPr>
          <w:rFonts w:ascii="Arial Narrow" w:hAnsi="Arial Narrow"/>
        </w:rPr>
        <w:t>EPMO</w:t>
      </w:r>
      <w:r>
        <w:rPr>
          <w:rFonts w:ascii="Arial Narrow" w:hAnsi="Arial Narrow"/>
        </w:rPr>
        <w:t>VGE</w:t>
      </w:r>
      <w:r w:rsidRPr="00F30726">
        <w:rPr>
          <w:rFonts w:ascii="Arial Narrow" w:hAnsi="Arial Narrow"/>
        </w:rPr>
        <w:t xml:space="preserve"> des mesures prises pour y remédier. </w:t>
      </w:r>
    </w:p>
    <w:p w14:paraId="30E1B8D6" w14:textId="5CD54143" w:rsidR="00775DE4" w:rsidRPr="00F30726" w:rsidRDefault="00775DE4" w:rsidP="00C331EE">
      <w:pPr>
        <w:pStyle w:val="En-tte"/>
        <w:numPr>
          <w:ilvl w:val="0"/>
          <w:numId w:val="16"/>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C331EE">
        <w:rPr>
          <w:rFonts w:ascii="Arial Narrow" w:hAnsi="Arial Narrow"/>
        </w:rPr>
        <w:t>EPMO-</w:t>
      </w:r>
      <w:r w:rsidR="008B28A9" w:rsidDel="008B28A9">
        <w:rPr>
          <w:rFonts w:ascii="Arial Narrow" w:hAnsi="Arial Narrow"/>
        </w:rPr>
        <w:t xml:space="preserve"> </w:t>
      </w:r>
      <w:r>
        <w:rPr>
          <w:rFonts w:ascii="Arial Narrow" w:hAnsi="Arial Narrow"/>
        </w:rPr>
        <w:t>VGE</w:t>
      </w:r>
      <w:r w:rsidRPr="00F30726">
        <w:rPr>
          <w:rFonts w:ascii="Arial Narrow" w:hAnsi="Arial Narrow"/>
        </w:rPr>
        <w:t xml:space="preserve"> tout document ou outil de suivi des mesures destinées à assurer l’application des principes de laïcité et de neutralité. </w:t>
      </w:r>
    </w:p>
    <w:p w14:paraId="5E7CC767" w14:textId="7AF8AF58" w:rsidR="00775DE4" w:rsidRPr="00F30726" w:rsidRDefault="00775DE4" w:rsidP="00C331EE">
      <w:pPr>
        <w:pStyle w:val="En-tte"/>
        <w:numPr>
          <w:ilvl w:val="0"/>
          <w:numId w:val="16"/>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C331EE">
        <w:rPr>
          <w:rFonts w:ascii="Arial Narrow" w:hAnsi="Arial Narrow"/>
        </w:rPr>
        <w:t>EPMO-VGE</w:t>
      </w:r>
      <w:r w:rsidRPr="00F30726">
        <w:rPr>
          <w:rFonts w:ascii="Arial Narrow" w:hAnsi="Arial Narrow"/>
        </w:rPr>
        <w:t xml:space="preserve"> prononce : </w:t>
      </w:r>
    </w:p>
    <w:p w14:paraId="73FA9634" w14:textId="77777777" w:rsidR="00775DE4" w:rsidRPr="00F30726" w:rsidRDefault="00775DE4" w:rsidP="00C331EE">
      <w:pPr>
        <w:pStyle w:val="En-tte"/>
        <w:numPr>
          <w:ilvl w:val="0"/>
          <w:numId w:val="7"/>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6F613649" w14:textId="77777777" w:rsidR="00775DE4" w:rsidRPr="00F30726" w:rsidRDefault="00775DE4" w:rsidP="00C331EE">
      <w:pPr>
        <w:pStyle w:val="En-tte"/>
        <w:numPr>
          <w:ilvl w:val="0"/>
          <w:numId w:val="7"/>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7F6C6FD9" w14:textId="77777777" w:rsidR="00775DE4" w:rsidRPr="00F30726" w:rsidRDefault="00775DE4" w:rsidP="00C331EE">
      <w:pPr>
        <w:pStyle w:val="En-tte"/>
        <w:numPr>
          <w:ilvl w:val="0"/>
          <w:numId w:val="7"/>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E0BD63C" w14:textId="77777777" w:rsidR="00775DE4" w:rsidRPr="00F30726" w:rsidRDefault="00775DE4" w:rsidP="00775DE4">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2726A61F" w14:textId="29F461E5" w:rsidR="00775DE4" w:rsidRDefault="00775DE4" w:rsidP="00775DE4">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w:t>
      </w:r>
      <w:r w:rsidRPr="00E2309B">
        <w:rPr>
          <w:rFonts w:ascii="Arial Narrow" w:hAnsi="Arial Narrow"/>
        </w:rPr>
        <w:t>l’article 41 du</w:t>
      </w:r>
      <w:r w:rsidRPr="00B31B38">
        <w:rPr>
          <w:rFonts w:ascii="Arial Narrow" w:hAnsi="Arial Narrow"/>
        </w:rPr>
        <w:t xml:space="preserve"> CCAG-</w:t>
      </w:r>
      <w:r>
        <w:rPr>
          <w:rFonts w:ascii="Arial Narrow" w:hAnsi="Arial Narrow"/>
        </w:rPr>
        <w:t>Tic</w:t>
      </w:r>
      <w:r w:rsidRPr="00B31B38">
        <w:rPr>
          <w:rFonts w:ascii="Arial Narrow" w:hAnsi="Arial Narrow"/>
        </w:rPr>
        <w:t>.</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w:t>
      </w:r>
      <w:r>
        <w:rPr>
          <w:rFonts w:ascii="Arial Narrow" w:hAnsi="Arial Narrow"/>
        </w:rPr>
        <w:t>au</w:t>
      </w:r>
      <w:r w:rsidRPr="00F30726">
        <w:rPr>
          <w:rFonts w:ascii="Arial Narrow" w:hAnsi="Arial Narrow"/>
        </w:rPr>
        <w:t xml:space="preserve"> C</w:t>
      </w:r>
      <w:r w:rsidRPr="00C51757">
        <w:rPr>
          <w:rFonts w:ascii="Arial Narrow" w:hAnsi="Arial Narrow"/>
        </w:rPr>
        <w:t>CAG</w:t>
      </w:r>
      <w:r>
        <w:rPr>
          <w:rFonts w:ascii="Arial Narrow" w:hAnsi="Arial Narrow"/>
        </w:rPr>
        <w:t>-Tic</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207B5A5F"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C331EE">
      <w:pPr>
        <w:pStyle w:val="En-tte"/>
        <w:numPr>
          <w:ilvl w:val="0"/>
          <w:numId w:val="10"/>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4E90A3D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Le représentant de l’</w:t>
      </w:r>
      <w:r w:rsidR="00C331EE">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w:t>
      </w:r>
      <w:r w:rsidR="00296E56">
        <w:rPr>
          <w:rFonts w:ascii="Arial Narrow" w:hAnsi="Arial Narrow"/>
        </w:rPr>
        <w:t xml:space="preserve"> 55</w:t>
      </w:r>
      <w:r w:rsidRPr="00546FE0">
        <w:rPr>
          <w:rFonts w:ascii="Arial Narrow" w:hAnsi="Arial Narrow"/>
        </w:rPr>
        <w:t xml:space="preserve"> du CCAG-</w:t>
      </w:r>
      <w:r w:rsidR="00296E56">
        <w:rPr>
          <w:rFonts w:ascii="Arial Narrow" w:hAnsi="Arial Narrow"/>
        </w:rPr>
        <w:t>TIC</w:t>
      </w:r>
      <w:r w:rsidRPr="00546FE0">
        <w:rPr>
          <w:rFonts w:ascii="Arial Narrow" w:hAnsi="Arial Narrow"/>
        </w:rPr>
        <w:t>.</w:t>
      </w:r>
    </w:p>
    <w:p w14:paraId="0B970762" w14:textId="45E0B171" w:rsidR="00E800FA"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30D065DE" w14:textId="77777777" w:rsidR="00AD439B" w:rsidRPr="00546FE0" w:rsidRDefault="00AD439B" w:rsidP="00AD439B">
      <w:pPr>
        <w:pStyle w:val="En-tte"/>
        <w:spacing w:after="120" w:line="360" w:lineRule="auto"/>
        <w:jc w:val="both"/>
        <w:rPr>
          <w:rFonts w:ascii="Arial Narrow" w:hAnsi="Arial Narrow"/>
        </w:rPr>
      </w:pPr>
    </w:p>
    <w:p w14:paraId="0A37D72D" w14:textId="77777777" w:rsidR="00AD439B" w:rsidRPr="00546FE0" w:rsidRDefault="00AD439B" w:rsidP="00C331EE">
      <w:pPr>
        <w:pStyle w:val="En-tte"/>
        <w:numPr>
          <w:ilvl w:val="0"/>
          <w:numId w:val="10"/>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1DEA4055"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C331EE">
        <w:rPr>
          <w:rFonts w:ascii="Arial Narrow" w:hAnsi="Arial Narrow"/>
        </w:rPr>
        <w:t>EPMO-VGE</w:t>
      </w:r>
      <w:r w:rsidRPr="00546FE0">
        <w:rPr>
          <w:rFonts w:ascii="Arial Narrow" w:hAnsi="Arial Narrow"/>
        </w:rPr>
        <w:t xml:space="preserve"> se réserve la faculté de résilier le présent marché dans les conditions prévues au chapitre </w:t>
      </w:r>
      <w:r w:rsidR="00296E56">
        <w:rPr>
          <w:rFonts w:ascii="Arial Narrow" w:hAnsi="Arial Narrow"/>
        </w:rPr>
        <w:t>8</w:t>
      </w:r>
      <w:r w:rsidRPr="00546FE0">
        <w:rPr>
          <w:rFonts w:ascii="Arial Narrow" w:hAnsi="Arial Narrow"/>
        </w:rPr>
        <w:t xml:space="preserve"> du CCAG-</w:t>
      </w:r>
      <w:r w:rsidR="00296E56">
        <w:rPr>
          <w:rFonts w:ascii="Arial Narrow" w:hAnsi="Arial Narrow"/>
        </w:rPr>
        <w:t>TIC</w:t>
      </w:r>
      <w:r w:rsidRPr="00546FE0">
        <w:rPr>
          <w:rFonts w:ascii="Arial Narrow" w:hAnsi="Arial Narrow"/>
        </w:rPr>
        <w:t>.</w:t>
      </w:r>
    </w:p>
    <w:p w14:paraId="6716F749"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C331EE">
      <w:pPr>
        <w:pStyle w:val="En-tte"/>
        <w:numPr>
          <w:ilvl w:val="0"/>
          <w:numId w:val="19"/>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038C8DF2" w14:textId="0CC1E108" w:rsidR="00571DE4" w:rsidRPr="00571DE4" w:rsidRDefault="00571DE4" w:rsidP="00571DE4">
      <w:pPr>
        <w:pStyle w:val="En-tte"/>
        <w:spacing w:after="120" w:line="360" w:lineRule="auto"/>
        <w:jc w:val="both"/>
        <w:rPr>
          <w:rFonts w:ascii="Arial Narrow" w:hAnsi="Arial Narrow"/>
        </w:rPr>
      </w:pPr>
      <w:r>
        <w:rPr>
          <w:rFonts w:ascii="Arial Narrow" w:hAnsi="Arial Narrow"/>
        </w:rPr>
        <w:t xml:space="preserve">L'article 4.3 </w:t>
      </w:r>
      <w:r w:rsidRPr="005E35BF">
        <w:rPr>
          <w:rFonts w:ascii="Arial Narrow" w:hAnsi="Arial Narrow"/>
        </w:rPr>
        <w:t>(</w:t>
      </w:r>
      <w:r>
        <w:rPr>
          <w:rFonts w:ascii="Arial Narrow" w:hAnsi="Arial Narrow"/>
        </w:rPr>
        <w:t>Qualification de l’équipe</w:t>
      </w:r>
      <w:r w:rsidRPr="005E35BF">
        <w:rPr>
          <w:rFonts w:ascii="Arial Narrow" w:hAnsi="Arial Narrow"/>
        </w:rPr>
        <w:t xml:space="preserve">) du présent document déroge </w:t>
      </w:r>
      <w:r w:rsidR="00A41DAD">
        <w:rPr>
          <w:rFonts w:ascii="Arial Narrow" w:hAnsi="Arial Narrow"/>
        </w:rPr>
        <w:t>à l’article 3.</w:t>
      </w:r>
      <w:r>
        <w:rPr>
          <w:rFonts w:ascii="Arial Narrow" w:hAnsi="Arial Narrow"/>
        </w:rPr>
        <w:t>4.3</w:t>
      </w:r>
      <w:r w:rsidRPr="005E35BF">
        <w:rPr>
          <w:rFonts w:ascii="Arial Narrow" w:hAnsi="Arial Narrow"/>
        </w:rPr>
        <w:t xml:space="preserve"> du CCAG-TIC.</w:t>
      </w:r>
    </w:p>
    <w:p w14:paraId="2F518C01" w14:textId="410BFA42" w:rsidR="00BA3946" w:rsidRPr="005E35BF" w:rsidRDefault="00BA3946" w:rsidP="00165639">
      <w:pPr>
        <w:pStyle w:val="En-tte"/>
        <w:spacing w:after="120" w:line="360" w:lineRule="auto"/>
        <w:jc w:val="both"/>
        <w:rPr>
          <w:rFonts w:ascii="Arial Narrow" w:hAnsi="Arial Narrow"/>
        </w:rPr>
      </w:pPr>
      <w:r w:rsidRPr="005E35BF">
        <w:rPr>
          <w:rFonts w:ascii="Arial Narrow" w:hAnsi="Arial Narrow"/>
        </w:rPr>
        <w:t>L'article 6 (vérification) du présent document déroge aux articles 29 à 34 du CCAG-TIC.</w:t>
      </w:r>
    </w:p>
    <w:p w14:paraId="4E0928D4" w14:textId="55DB9F7A" w:rsidR="00165639" w:rsidRDefault="00165639" w:rsidP="00165639">
      <w:pPr>
        <w:pStyle w:val="En-tte"/>
        <w:spacing w:after="120" w:line="360" w:lineRule="auto"/>
        <w:jc w:val="both"/>
        <w:rPr>
          <w:rFonts w:ascii="Arial Narrow" w:hAnsi="Arial Narrow"/>
        </w:rPr>
      </w:pPr>
      <w:r w:rsidRPr="005E35BF">
        <w:rPr>
          <w:rFonts w:ascii="Arial Narrow" w:hAnsi="Arial Narrow"/>
        </w:rPr>
        <w:t>L'article 1</w:t>
      </w:r>
      <w:r w:rsidR="00571DE4">
        <w:rPr>
          <w:rFonts w:ascii="Arial Narrow" w:hAnsi="Arial Narrow"/>
        </w:rPr>
        <w:t>5</w:t>
      </w:r>
      <w:r w:rsidR="00AD439B" w:rsidRPr="005E35BF">
        <w:rPr>
          <w:rFonts w:ascii="Arial Narrow" w:hAnsi="Arial Narrow"/>
        </w:rPr>
        <w:t xml:space="preserve"> (pénalités) du présent document déroge </w:t>
      </w:r>
      <w:r w:rsidRPr="005E35BF">
        <w:rPr>
          <w:rFonts w:ascii="Arial Narrow" w:hAnsi="Arial Narrow"/>
        </w:rPr>
        <w:t>au 2</w:t>
      </w:r>
      <w:r w:rsidRPr="005E35BF">
        <w:rPr>
          <w:rFonts w:ascii="Arial Narrow" w:hAnsi="Arial Narrow"/>
          <w:vertAlign w:val="superscript"/>
        </w:rPr>
        <w:t>ème</w:t>
      </w:r>
      <w:r w:rsidRPr="005E35BF">
        <w:rPr>
          <w:rFonts w:ascii="Arial Narrow" w:hAnsi="Arial Narrow"/>
        </w:rPr>
        <w:t xml:space="preserve"> alinéa de l’article 14.1.1 et à l’article 14.1.3 du CCAG-</w:t>
      </w:r>
      <w:r w:rsidR="00296E56" w:rsidRPr="005E35BF">
        <w:rPr>
          <w:rFonts w:ascii="Arial Narrow" w:hAnsi="Arial Narrow"/>
        </w:rPr>
        <w:t>TIC</w:t>
      </w:r>
      <w:r w:rsidRPr="005E35BF">
        <w:rPr>
          <w:rFonts w:ascii="Arial Narrow" w:hAnsi="Arial Narrow"/>
        </w:rPr>
        <w:t>.</w:t>
      </w:r>
    </w:p>
    <w:p w14:paraId="080146A2" w14:textId="129DF5EA" w:rsidR="0084497F" w:rsidRDefault="0084497F" w:rsidP="0084497F">
      <w:pPr>
        <w:pStyle w:val="En-tte"/>
        <w:spacing w:after="120" w:line="360" w:lineRule="auto"/>
        <w:jc w:val="both"/>
        <w:rPr>
          <w:rFonts w:ascii="Arial Narrow" w:hAnsi="Arial Narrow"/>
        </w:rPr>
      </w:pPr>
      <w:r w:rsidRPr="005E35BF">
        <w:rPr>
          <w:rFonts w:ascii="Arial Narrow" w:hAnsi="Arial Narrow"/>
        </w:rPr>
        <w:t>L'article 1</w:t>
      </w:r>
      <w:r>
        <w:rPr>
          <w:rFonts w:ascii="Arial Narrow" w:hAnsi="Arial Narrow"/>
        </w:rPr>
        <w:t>6</w:t>
      </w:r>
      <w:r w:rsidRPr="005E35BF">
        <w:rPr>
          <w:rFonts w:ascii="Arial Narrow" w:hAnsi="Arial Narrow"/>
        </w:rPr>
        <w:t xml:space="preserve"> (</w:t>
      </w:r>
      <w:r>
        <w:rPr>
          <w:rFonts w:ascii="Arial Narrow" w:hAnsi="Arial Narrow"/>
        </w:rPr>
        <w:t>sous-traitance</w:t>
      </w:r>
      <w:r w:rsidRPr="005E35BF">
        <w:rPr>
          <w:rFonts w:ascii="Arial Narrow" w:hAnsi="Arial Narrow"/>
        </w:rPr>
        <w:t xml:space="preserve">) du présent document déroge </w:t>
      </w:r>
      <w:r>
        <w:rPr>
          <w:rFonts w:ascii="Arial Narrow" w:hAnsi="Arial Narrow"/>
        </w:rPr>
        <w:t>à l’article 3.6.3</w:t>
      </w:r>
      <w:r w:rsidRPr="005E35BF">
        <w:rPr>
          <w:rFonts w:ascii="Arial Narrow" w:hAnsi="Arial Narrow"/>
        </w:rPr>
        <w:t xml:space="preserve"> et à l’article 14</w:t>
      </w:r>
      <w:r w:rsidR="003B7A44">
        <w:rPr>
          <w:rFonts w:ascii="Arial Narrow" w:hAnsi="Arial Narrow"/>
        </w:rPr>
        <w:t xml:space="preserve"> </w:t>
      </w:r>
      <w:r w:rsidRPr="005E35BF">
        <w:rPr>
          <w:rFonts w:ascii="Arial Narrow" w:hAnsi="Arial Narrow"/>
        </w:rPr>
        <w:t>du CCAG-TIC.</w:t>
      </w:r>
    </w:p>
    <w:p w14:paraId="6581FA96" w14:textId="77777777" w:rsidR="0084497F" w:rsidRPr="00546FE0" w:rsidRDefault="0084497F" w:rsidP="00165639">
      <w:pPr>
        <w:pStyle w:val="En-tte"/>
        <w:spacing w:after="120" w:line="360" w:lineRule="auto"/>
        <w:jc w:val="both"/>
        <w:rPr>
          <w:rFonts w:ascii="Arial Narrow" w:hAnsi="Arial Narrow"/>
        </w:rPr>
      </w:pP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4A284" w14:textId="77777777" w:rsidR="00606F0B" w:rsidRDefault="00606F0B" w:rsidP="00E42FF3">
      <w:pPr>
        <w:spacing w:after="0" w:line="240" w:lineRule="auto"/>
      </w:pPr>
      <w:r>
        <w:separator/>
      </w:r>
    </w:p>
  </w:endnote>
  <w:endnote w:type="continuationSeparator" w:id="0">
    <w:p w14:paraId="53BAB26C" w14:textId="77777777" w:rsidR="00606F0B" w:rsidRDefault="00606F0B"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Corp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Corps CS)">
    <w:altName w:val="Times New Roman"/>
    <w:charset w:val="00"/>
    <w:family w:val="roman"/>
    <w:pitch w:val="default"/>
  </w:font>
  <w:font w:name="Marianne">
    <w:altName w:val="Times New Roman"/>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3D282818" w:rsidR="00606F0B" w:rsidRDefault="00606F0B">
        <w:pPr>
          <w:pStyle w:val="Pieddepage"/>
          <w:jc w:val="right"/>
        </w:pPr>
        <w:r>
          <w:fldChar w:fldCharType="begin"/>
        </w:r>
        <w:r>
          <w:instrText>PAGE   \* MERGEFORMAT</w:instrText>
        </w:r>
        <w:r>
          <w:fldChar w:fldCharType="separate"/>
        </w:r>
        <w:r w:rsidR="00960F7D">
          <w:rPr>
            <w:noProof/>
          </w:rPr>
          <w:t>17</w:t>
        </w:r>
        <w:r>
          <w:fldChar w:fldCharType="end"/>
        </w:r>
      </w:p>
    </w:sdtContent>
  </w:sdt>
  <w:p w14:paraId="1C416107" w14:textId="77777777" w:rsidR="00606F0B" w:rsidRDefault="00606F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BAC36" w14:textId="77777777" w:rsidR="00606F0B" w:rsidRDefault="00606F0B" w:rsidP="00E42FF3">
      <w:pPr>
        <w:spacing w:after="0" w:line="240" w:lineRule="auto"/>
      </w:pPr>
      <w:r>
        <w:separator/>
      </w:r>
    </w:p>
  </w:footnote>
  <w:footnote w:type="continuationSeparator" w:id="0">
    <w:p w14:paraId="131622F1" w14:textId="77777777" w:rsidR="00606F0B" w:rsidRDefault="00606F0B"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606F0B" w14:paraId="58381086" w14:textId="77777777" w:rsidTr="00E42FF3">
      <w:tc>
        <w:tcPr>
          <w:tcW w:w="2725" w:type="dxa"/>
        </w:tcPr>
        <w:p w14:paraId="4CB7F7E7" w14:textId="77777777" w:rsidR="00606F0B" w:rsidRDefault="00606F0B"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606F0B" w:rsidRPr="008B551F" w:rsidRDefault="00606F0B"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606F0B" w:rsidRPr="008B551F" w:rsidRDefault="00606F0B"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606F0B" w:rsidRPr="008B551F" w:rsidRDefault="00606F0B"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606F0B" w:rsidRPr="008B551F" w:rsidRDefault="00606F0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606F0B" w:rsidRPr="008B551F" w:rsidRDefault="00606F0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606F0B" w:rsidRDefault="00606F0B" w:rsidP="00E42FF3">
          <w:pPr>
            <w:pStyle w:val="En-tte"/>
            <w:tabs>
              <w:tab w:val="clear" w:pos="4536"/>
              <w:tab w:val="clear" w:pos="9072"/>
              <w:tab w:val="left" w:pos="4635"/>
            </w:tabs>
          </w:pPr>
        </w:p>
      </w:tc>
    </w:tr>
  </w:tbl>
  <w:p w14:paraId="79DED19F" w14:textId="77777777" w:rsidR="00606F0B" w:rsidRDefault="00606F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206"/>
    <w:multiLevelType w:val="multilevel"/>
    <w:tmpl w:val="EE303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60719B"/>
    <w:multiLevelType w:val="multilevel"/>
    <w:tmpl w:val="39109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624F1"/>
    <w:multiLevelType w:val="hybridMultilevel"/>
    <w:tmpl w:val="BD9C9490"/>
    <w:lvl w:ilvl="0" w:tplc="55260FD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392826"/>
    <w:multiLevelType w:val="multilevel"/>
    <w:tmpl w:val="020C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870DAB"/>
    <w:multiLevelType w:val="multilevel"/>
    <w:tmpl w:val="FBFC7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857A05"/>
    <w:multiLevelType w:val="multilevel"/>
    <w:tmpl w:val="86C6F438"/>
    <w:lvl w:ilvl="0">
      <w:start w:val="10"/>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E165656"/>
    <w:multiLevelType w:val="multilevel"/>
    <w:tmpl w:val="D9485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F9B3196"/>
    <w:multiLevelType w:val="hybridMultilevel"/>
    <w:tmpl w:val="2B583F22"/>
    <w:lvl w:ilvl="0" w:tplc="34FAC94E">
      <w:start w:val="1"/>
      <w:numFmt w:val="decimal"/>
      <w:lvlText w:val="6.%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EA41721"/>
    <w:multiLevelType w:val="hybridMultilevel"/>
    <w:tmpl w:val="0EE0E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F92291"/>
    <w:multiLevelType w:val="multilevel"/>
    <w:tmpl w:val="75AE27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F2337A"/>
    <w:multiLevelType w:val="hybridMultilevel"/>
    <w:tmpl w:val="D08AEA40"/>
    <w:lvl w:ilvl="0" w:tplc="72164634">
      <w:start w:val="1"/>
      <w:numFmt w:val="decimal"/>
      <w:lvlText w:val="12.%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3746AB1"/>
    <w:multiLevelType w:val="hybridMultilevel"/>
    <w:tmpl w:val="061A7006"/>
    <w:lvl w:ilvl="0" w:tplc="E2C661DE">
      <w:start w:val="1"/>
      <w:numFmt w:val="decimal"/>
      <w:lvlText w:val="2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0878DF"/>
    <w:multiLevelType w:val="multilevel"/>
    <w:tmpl w:val="CDEE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281E93"/>
    <w:multiLevelType w:val="multilevel"/>
    <w:tmpl w:val="246A6ABC"/>
    <w:lvl w:ilvl="0">
      <w:start w:val="14"/>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A4504E3"/>
    <w:multiLevelType w:val="hybridMultilevel"/>
    <w:tmpl w:val="6C568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EA009EA"/>
    <w:multiLevelType w:val="hybridMultilevel"/>
    <w:tmpl w:val="05F8543E"/>
    <w:lvl w:ilvl="0" w:tplc="89261806">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5D129C"/>
    <w:multiLevelType w:val="multilevel"/>
    <w:tmpl w:val="2252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9DE51D6"/>
    <w:multiLevelType w:val="multilevel"/>
    <w:tmpl w:val="BD62D7AA"/>
    <w:lvl w:ilvl="0">
      <w:start w:val="6"/>
      <w:numFmt w:val="decimal"/>
      <w:lvlText w:val="%1"/>
      <w:lvlJc w:val="left"/>
      <w:pPr>
        <w:ind w:left="360" w:hanging="360"/>
      </w:pPr>
      <w:rPr>
        <w:rFonts w:hint="default"/>
      </w:rPr>
    </w:lvl>
    <w:lvl w:ilvl="1">
      <w:start w:val="1"/>
      <w:numFmt w:val="decimal"/>
      <w:lvlText w:val="9.%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D316824"/>
    <w:multiLevelType w:val="multilevel"/>
    <w:tmpl w:val="FC0A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0003D04"/>
    <w:multiLevelType w:val="hybridMultilevel"/>
    <w:tmpl w:val="F2AEAE3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0641812"/>
    <w:multiLevelType w:val="hybridMultilevel"/>
    <w:tmpl w:val="2FAC6110"/>
    <w:lvl w:ilvl="0" w:tplc="FDEE3252">
      <w:start w:val="1"/>
      <w:numFmt w:val="decimal"/>
      <w:lvlText w:val="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2CB4584"/>
    <w:multiLevelType w:val="hybridMultilevel"/>
    <w:tmpl w:val="290061AA"/>
    <w:lvl w:ilvl="0" w:tplc="94809B3C">
      <w:start w:val="1"/>
      <w:numFmt w:val="bullet"/>
      <w:pStyle w:val="Listetrait"/>
      <w:lvlText w:val="–"/>
      <w:lvlJc w:val="left"/>
      <w:pPr>
        <w:ind w:left="709" w:hanging="284"/>
      </w:pPr>
      <w:rPr>
        <w:rFonts w:ascii="Arial (Corps)" w:hAnsi="Arial (Corps)" w:hint="default"/>
        <w:b/>
        <w:i w:val="0"/>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8E0E24"/>
    <w:multiLevelType w:val="multilevel"/>
    <w:tmpl w:val="49EA2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EC4BFE"/>
    <w:multiLevelType w:val="multilevel"/>
    <w:tmpl w:val="32E4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9"/>
  </w:num>
  <w:num w:numId="2">
    <w:abstractNumId w:val="3"/>
  </w:num>
  <w:num w:numId="3">
    <w:abstractNumId w:val="2"/>
  </w:num>
  <w:num w:numId="4">
    <w:abstractNumId w:val="15"/>
  </w:num>
  <w:num w:numId="5">
    <w:abstractNumId w:val="20"/>
  </w:num>
  <w:num w:numId="6">
    <w:abstractNumId w:val="22"/>
  </w:num>
  <w:num w:numId="7">
    <w:abstractNumId w:val="17"/>
  </w:num>
  <w:num w:numId="8">
    <w:abstractNumId w:val="12"/>
  </w:num>
  <w:num w:numId="9">
    <w:abstractNumId w:val="21"/>
  </w:num>
  <w:num w:numId="10">
    <w:abstractNumId w:val="13"/>
  </w:num>
  <w:num w:numId="11">
    <w:abstractNumId w:val="18"/>
  </w:num>
  <w:num w:numId="12">
    <w:abstractNumId w:val="16"/>
  </w:num>
  <w:num w:numId="13">
    <w:abstractNumId w:val="24"/>
  </w:num>
  <w:num w:numId="14">
    <w:abstractNumId w:val="27"/>
  </w:num>
  <w:num w:numId="15">
    <w:abstractNumId w:val="9"/>
  </w:num>
  <w:num w:numId="16">
    <w:abstractNumId w:val="8"/>
  </w:num>
  <w:num w:numId="17">
    <w:abstractNumId w:val="28"/>
  </w:num>
  <w:num w:numId="18">
    <w:abstractNumId w:val="19"/>
  </w:num>
  <w:num w:numId="19">
    <w:abstractNumId w:val="6"/>
  </w:num>
  <w:num w:numId="20">
    <w:abstractNumId w:val="31"/>
  </w:num>
  <w:num w:numId="21">
    <w:abstractNumId w:val="0"/>
  </w:num>
  <w:num w:numId="22">
    <w:abstractNumId w:val="5"/>
  </w:num>
  <w:num w:numId="23">
    <w:abstractNumId w:val="1"/>
  </w:num>
  <w:num w:numId="24">
    <w:abstractNumId w:val="25"/>
  </w:num>
  <w:num w:numId="25">
    <w:abstractNumId w:val="7"/>
  </w:num>
  <w:num w:numId="26">
    <w:abstractNumId w:val="4"/>
  </w:num>
  <w:num w:numId="27">
    <w:abstractNumId w:val="14"/>
  </w:num>
  <w:num w:numId="28">
    <w:abstractNumId w:val="30"/>
  </w:num>
  <w:num w:numId="29">
    <w:abstractNumId w:val="11"/>
  </w:num>
  <w:num w:numId="30">
    <w:abstractNumId w:val="23"/>
  </w:num>
  <w:num w:numId="31">
    <w:abstractNumId w:val="10"/>
  </w:num>
  <w:num w:numId="3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3474B"/>
    <w:rsid w:val="000362F1"/>
    <w:rsid w:val="00043D85"/>
    <w:rsid w:val="00054FBE"/>
    <w:rsid w:val="0006022E"/>
    <w:rsid w:val="000828C9"/>
    <w:rsid w:val="00087130"/>
    <w:rsid w:val="000922B6"/>
    <w:rsid w:val="000B2EB9"/>
    <w:rsid w:val="000B34BB"/>
    <w:rsid w:val="000B3B70"/>
    <w:rsid w:val="000B52E8"/>
    <w:rsid w:val="000B7422"/>
    <w:rsid w:val="000C10A2"/>
    <w:rsid w:val="000D0217"/>
    <w:rsid w:val="000D317C"/>
    <w:rsid w:val="000E7740"/>
    <w:rsid w:val="000F0446"/>
    <w:rsid w:val="000F6BC4"/>
    <w:rsid w:val="00102F05"/>
    <w:rsid w:val="00106DDC"/>
    <w:rsid w:val="001125DF"/>
    <w:rsid w:val="00112993"/>
    <w:rsid w:val="0011339E"/>
    <w:rsid w:val="0011572C"/>
    <w:rsid w:val="00123812"/>
    <w:rsid w:val="0012499C"/>
    <w:rsid w:val="0012799D"/>
    <w:rsid w:val="00140BB3"/>
    <w:rsid w:val="001428E7"/>
    <w:rsid w:val="001444B1"/>
    <w:rsid w:val="0014540C"/>
    <w:rsid w:val="00150B2B"/>
    <w:rsid w:val="001652B3"/>
    <w:rsid w:val="00165639"/>
    <w:rsid w:val="00174891"/>
    <w:rsid w:val="00180990"/>
    <w:rsid w:val="001840C3"/>
    <w:rsid w:val="001908EB"/>
    <w:rsid w:val="001974D7"/>
    <w:rsid w:val="001A25EB"/>
    <w:rsid w:val="001B44CB"/>
    <w:rsid w:val="001F6E69"/>
    <w:rsid w:val="00200D57"/>
    <w:rsid w:val="00203040"/>
    <w:rsid w:val="00223679"/>
    <w:rsid w:val="002255A6"/>
    <w:rsid w:val="00226123"/>
    <w:rsid w:val="002346F2"/>
    <w:rsid w:val="0023593A"/>
    <w:rsid w:val="0024335F"/>
    <w:rsid w:val="00245388"/>
    <w:rsid w:val="0025246C"/>
    <w:rsid w:val="00257918"/>
    <w:rsid w:val="00261EEE"/>
    <w:rsid w:val="002641C0"/>
    <w:rsid w:val="00264E15"/>
    <w:rsid w:val="00272E2F"/>
    <w:rsid w:val="00273EBE"/>
    <w:rsid w:val="00274046"/>
    <w:rsid w:val="00277588"/>
    <w:rsid w:val="00280B37"/>
    <w:rsid w:val="00280D7C"/>
    <w:rsid w:val="00285D13"/>
    <w:rsid w:val="00296E56"/>
    <w:rsid w:val="002A381F"/>
    <w:rsid w:val="002A5B2C"/>
    <w:rsid w:val="002B10AD"/>
    <w:rsid w:val="002B2611"/>
    <w:rsid w:val="002B26E3"/>
    <w:rsid w:val="002B5099"/>
    <w:rsid w:val="002C5191"/>
    <w:rsid w:val="002D6143"/>
    <w:rsid w:val="002E03CC"/>
    <w:rsid w:val="002E281F"/>
    <w:rsid w:val="002F0B75"/>
    <w:rsid w:val="002F4374"/>
    <w:rsid w:val="002F642F"/>
    <w:rsid w:val="0030422B"/>
    <w:rsid w:val="00314364"/>
    <w:rsid w:val="00323F56"/>
    <w:rsid w:val="00332820"/>
    <w:rsid w:val="00347265"/>
    <w:rsid w:val="00350E5F"/>
    <w:rsid w:val="00353C71"/>
    <w:rsid w:val="00360E50"/>
    <w:rsid w:val="00367714"/>
    <w:rsid w:val="003765CC"/>
    <w:rsid w:val="00376A8E"/>
    <w:rsid w:val="003978C9"/>
    <w:rsid w:val="003A3C44"/>
    <w:rsid w:val="003B7A44"/>
    <w:rsid w:val="003D7C03"/>
    <w:rsid w:val="003E2C9E"/>
    <w:rsid w:val="003E7448"/>
    <w:rsid w:val="003F3420"/>
    <w:rsid w:val="003F5F33"/>
    <w:rsid w:val="00400C31"/>
    <w:rsid w:val="00403F4D"/>
    <w:rsid w:val="00404365"/>
    <w:rsid w:val="00415C0D"/>
    <w:rsid w:val="00422159"/>
    <w:rsid w:val="004228D5"/>
    <w:rsid w:val="004244E7"/>
    <w:rsid w:val="00426B67"/>
    <w:rsid w:val="004302A7"/>
    <w:rsid w:val="004468C7"/>
    <w:rsid w:val="00454552"/>
    <w:rsid w:val="00470284"/>
    <w:rsid w:val="0047410E"/>
    <w:rsid w:val="00496157"/>
    <w:rsid w:val="004A157C"/>
    <w:rsid w:val="004A5A41"/>
    <w:rsid w:val="004C5CF1"/>
    <w:rsid w:val="004D0CF2"/>
    <w:rsid w:val="004D144C"/>
    <w:rsid w:val="004D156F"/>
    <w:rsid w:val="004E16AF"/>
    <w:rsid w:val="004F029A"/>
    <w:rsid w:val="004F3558"/>
    <w:rsid w:val="004F429E"/>
    <w:rsid w:val="00500E72"/>
    <w:rsid w:val="00501D15"/>
    <w:rsid w:val="00512AE6"/>
    <w:rsid w:val="00512C1D"/>
    <w:rsid w:val="00514A90"/>
    <w:rsid w:val="00534AA8"/>
    <w:rsid w:val="0053730F"/>
    <w:rsid w:val="005413BD"/>
    <w:rsid w:val="00546FE0"/>
    <w:rsid w:val="005534CD"/>
    <w:rsid w:val="0056160B"/>
    <w:rsid w:val="005703E8"/>
    <w:rsid w:val="005706E9"/>
    <w:rsid w:val="00571DE4"/>
    <w:rsid w:val="00576C39"/>
    <w:rsid w:val="00581D45"/>
    <w:rsid w:val="00584A3E"/>
    <w:rsid w:val="00586CE4"/>
    <w:rsid w:val="00593CA0"/>
    <w:rsid w:val="005B11C8"/>
    <w:rsid w:val="005C0356"/>
    <w:rsid w:val="005C62D1"/>
    <w:rsid w:val="005C700D"/>
    <w:rsid w:val="005D1A2E"/>
    <w:rsid w:val="005D555E"/>
    <w:rsid w:val="005E35BF"/>
    <w:rsid w:val="005E63A7"/>
    <w:rsid w:val="005F16BD"/>
    <w:rsid w:val="005F1C23"/>
    <w:rsid w:val="005F1D51"/>
    <w:rsid w:val="005F6A76"/>
    <w:rsid w:val="00606F0B"/>
    <w:rsid w:val="0062412E"/>
    <w:rsid w:val="006242EA"/>
    <w:rsid w:val="006279E6"/>
    <w:rsid w:val="0064097D"/>
    <w:rsid w:val="00641C0E"/>
    <w:rsid w:val="006465DC"/>
    <w:rsid w:val="006528A6"/>
    <w:rsid w:val="006605C9"/>
    <w:rsid w:val="00666DD5"/>
    <w:rsid w:val="00682587"/>
    <w:rsid w:val="006A63E0"/>
    <w:rsid w:val="006C476E"/>
    <w:rsid w:val="006E67B5"/>
    <w:rsid w:val="006F0B57"/>
    <w:rsid w:val="007221BF"/>
    <w:rsid w:val="00722CC3"/>
    <w:rsid w:val="00723BD0"/>
    <w:rsid w:val="007258AA"/>
    <w:rsid w:val="0074396A"/>
    <w:rsid w:val="007639B4"/>
    <w:rsid w:val="007663CD"/>
    <w:rsid w:val="00775DE4"/>
    <w:rsid w:val="00792F93"/>
    <w:rsid w:val="007A30BA"/>
    <w:rsid w:val="007C45B4"/>
    <w:rsid w:val="007C47F5"/>
    <w:rsid w:val="007C6E03"/>
    <w:rsid w:val="007D159B"/>
    <w:rsid w:val="007D6A4D"/>
    <w:rsid w:val="007E5415"/>
    <w:rsid w:val="007F0472"/>
    <w:rsid w:val="00807433"/>
    <w:rsid w:val="0081396B"/>
    <w:rsid w:val="0082080C"/>
    <w:rsid w:val="00823623"/>
    <w:rsid w:val="008338A6"/>
    <w:rsid w:val="00836C55"/>
    <w:rsid w:val="0084497F"/>
    <w:rsid w:val="00846D60"/>
    <w:rsid w:val="0087279A"/>
    <w:rsid w:val="00875E0D"/>
    <w:rsid w:val="0088306B"/>
    <w:rsid w:val="008848F8"/>
    <w:rsid w:val="0088600A"/>
    <w:rsid w:val="00886A9B"/>
    <w:rsid w:val="00891B1A"/>
    <w:rsid w:val="00897949"/>
    <w:rsid w:val="008A29F1"/>
    <w:rsid w:val="008B1E4C"/>
    <w:rsid w:val="008B28A9"/>
    <w:rsid w:val="008B6960"/>
    <w:rsid w:val="008D1134"/>
    <w:rsid w:val="008F588B"/>
    <w:rsid w:val="008F671A"/>
    <w:rsid w:val="00910D6B"/>
    <w:rsid w:val="009114B1"/>
    <w:rsid w:val="009122D3"/>
    <w:rsid w:val="009146C4"/>
    <w:rsid w:val="0092735F"/>
    <w:rsid w:val="00960F7D"/>
    <w:rsid w:val="00962163"/>
    <w:rsid w:val="00963FB8"/>
    <w:rsid w:val="00983998"/>
    <w:rsid w:val="00984886"/>
    <w:rsid w:val="00990731"/>
    <w:rsid w:val="00991D9A"/>
    <w:rsid w:val="009A12F5"/>
    <w:rsid w:val="009A7BA3"/>
    <w:rsid w:val="009B0CDB"/>
    <w:rsid w:val="009B4A49"/>
    <w:rsid w:val="009D63CC"/>
    <w:rsid w:val="009E65C8"/>
    <w:rsid w:val="009F2586"/>
    <w:rsid w:val="009F2FE9"/>
    <w:rsid w:val="00A01D98"/>
    <w:rsid w:val="00A02B17"/>
    <w:rsid w:val="00A118F1"/>
    <w:rsid w:val="00A1514A"/>
    <w:rsid w:val="00A15E81"/>
    <w:rsid w:val="00A41DAD"/>
    <w:rsid w:val="00A451C7"/>
    <w:rsid w:val="00A572A6"/>
    <w:rsid w:val="00A66643"/>
    <w:rsid w:val="00A72B8E"/>
    <w:rsid w:val="00A7387D"/>
    <w:rsid w:val="00A74A0D"/>
    <w:rsid w:val="00A7568E"/>
    <w:rsid w:val="00A806F0"/>
    <w:rsid w:val="00A85AA3"/>
    <w:rsid w:val="00A94EDC"/>
    <w:rsid w:val="00AA3E07"/>
    <w:rsid w:val="00AA4997"/>
    <w:rsid w:val="00AB074F"/>
    <w:rsid w:val="00AB45D9"/>
    <w:rsid w:val="00AC0F49"/>
    <w:rsid w:val="00AD439B"/>
    <w:rsid w:val="00AE54F7"/>
    <w:rsid w:val="00AF1A58"/>
    <w:rsid w:val="00AF71D0"/>
    <w:rsid w:val="00B15C27"/>
    <w:rsid w:val="00B161CF"/>
    <w:rsid w:val="00B17100"/>
    <w:rsid w:val="00B37CC7"/>
    <w:rsid w:val="00B42ED3"/>
    <w:rsid w:val="00B52136"/>
    <w:rsid w:val="00B52B09"/>
    <w:rsid w:val="00B6721E"/>
    <w:rsid w:val="00B70736"/>
    <w:rsid w:val="00B76727"/>
    <w:rsid w:val="00B76C4A"/>
    <w:rsid w:val="00B94B5B"/>
    <w:rsid w:val="00BA0856"/>
    <w:rsid w:val="00BA3946"/>
    <w:rsid w:val="00BC4143"/>
    <w:rsid w:val="00BC4BE8"/>
    <w:rsid w:val="00BC60CF"/>
    <w:rsid w:val="00BD6430"/>
    <w:rsid w:val="00BE3C56"/>
    <w:rsid w:val="00BF081D"/>
    <w:rsid w:val="00BF7258"/>
    <w:rsid w:val="00C031DE"/>
    <w:rsid w:val="00C0489A"/>
    <w:rsid w:val="00C331EE"/>
    <w:rsid w:val="00C357F4"/>
    <w:rsid w:val="00C35E35"/>
    <w:rsid w:val="00C37C04"/>
    <w:rsid w:val="00C432E1"/>
    <w:rsid w:val="00C47AC9"/>
    <w:rsid w:val="00C615C3"/>
    <w:rsid w:val="00C623D2"/>
    <w:rsid w:val="00C6749D"/>
    <w:rsid w:val="00C8183C"/>
    <w:rsid w:val="00C92452"/>
    <w:rsid w:val="00C94637"/>
    <w:rsid w:val="00CB365C"/>
    <w:rsid w:val="00CC57D7"/>
    <w:rsid w:val="00CC605C"/>
    <w:rsid w:val="00CC60EE"/>
    <w:rsid w:val="00CD5896"/>
    <w:rsid w:val="00CD7A5E"/>
    <w:rsid w:val="00CE47AC"/>
    <w:rsid w:val="00CE4A76"/>
    <w:rsid w:val="00CE5865"/>
    <w:rsid w:val="00CE7BBA"/>
    <w:rsid w:val="00CF6085"/>
    <w:rsid w:val="00CF6BBC"/>
    <w:rsid w:val="00D04A90"/>
    <w:rsid w:val="00D162E9"/>
    <w:rsid w:val="00D17E86"/>
    <w:rsid w:val="00D22CAD"/>
    <w:rsid w:val="00D32F62"/>
    <w:rsid w:val="00D349F1"/>
    <w:rsid w:val="00D36EE4"/>
    <w:rsid w:val="00D47A18"/>
    <w:rsid w:val="00D517E9"/>
    <w:rsid w:val="00D524F5"/>
    <w:rsid w:val="00D637C9"/>
    <w:rsid w:val="00D67D85"/>
    <w:rsid w:val="00D72FEE"/>
    <w:rsid w:val="00D73E0F"/>
    <w:rsid w:val="00D83290"/>
    <w:rsid w:val="00D86150"/>
    <w:rsid w:val="00D86413"/>
    <w:rsid w:val="00D87193"/>
    <w:rsid w:val="00D9355E"/>
    <w:rsid w:val="00D9628D"/>
    <w:rsid w:val="00D97F6E"/>
    <w:rsid w:val="00DA3C1E"/>
    <w:rsid w:val="00DB3B97"/>
    <w:rsid w:val="00DB7A14"/>
    <w:rsid w:val="00DC2FA3"/>
    <w:rsid w:val="00DC6045"/>
    <w:rsid w:val="00DC7139"/>
    <w:rsid w:val="00E01899"/>
    <w:rsid w:val="00E031CA"/>
    <w:rsid w:val="00E04014"/>
    <w:rsid w:val="00E05AA5"/>
    <w:rsid w:val="00E077FA"/>
    <w:rsid w:val="00E2309B"/>
    <w:rsid w:val="00E2495A"/>
    <w:rsid w:val="00E42FF3"/>
    <w:rsid w:val="00E47EDA"/>
    <w:rsid w:val="00E61D04"/>
    <w:rsid w:val="00E66AE1"/>
    <w:rsid w:val="00E71633"/>
    <w:rsid w:val="00E800FA"/>
    <w:rsid w:val="00E86FA0"/>
    <w:rsid w:val="00E925B3"/>
    <w:rsid w:val="00EA3DCF"/>
    <w:rsid w:val="00EA60DA"/>
    <w:rsid w:val="00EA640C"/>
    <w:rsid w:val="00EC2356"/>
    <w:rsid w:val="00EC6141"/>
    <w:rsid w:val="00EE4645"/>
    <w:rsid w:val="00EE4C36"/>
    <w:rsid w:val="00EE65EC"/>
    <w:rsid w:val="00EF0E4B"/>
    <w:rsid w:val="00EF24B7"/>
    <w:rsid w:val="00EF48F9"/>
    <w:rsid w:val="00F00B40"/>
    <w:rsid w:val="00F03BF9"/>
    <w:rsid w:val="00F065F4"/>
    <w:rsid w:val="00F06DC3"/>
    <w:rsid w:val="00F16CC6"/>
    <w:rsid w:val="00F318C5"/>
    <w:rsid w:val="00F6320E"/>
    <w:rsid w:val="00F74527"/>
    <w:rsid w:val="00F7617D"/>
    <w:rsid w:val="00F802CE"/>
    <w:rsid w:val="00F81A46"/>
    <w:rsid w:val="00FA5B71"/>
    <w:rsid w:val="00FC4A03"/>
    <w:rsid w:val="00FC5152"/>
    <w:rsid w:val="00FD37A3"/>
    <w:rsid w:val="00FD46E2"/>
    <w:rsid w:val="00FE492E"/>
    <w:rsid w:val="00FF14B3"/>
    <w:rsid w:val="00FF3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DE4"/>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8183C"/>
    <w:pPr>
      <w:keepNext/>
      <w:widowControl w:val="0"/>
      <w:tabs>
        <w:tab w:val="left" w:pos="1720"/>
      </w:tabs>
      <w:outlineLvl w:val="1"/>
    </w:pPr>
    <w:rPr>
      <w:i/>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semiHidden/>
    <w:unhideWhenUsed/>
    <w:rsid w:val="00D72FEE"/>
    <w:rPr>
      <w:sz w:val="16"/>
      <w:szCs w:val="16"/>
    </w:rPr>
  </w:style>
  <w:style w:type="paragraph" w:styleId="Commentaire">
    <w:name w:val="annotation text"/>
    <w:basedOn w:val="Normal"/>
    <w:link w:val="CommentaireCar"/>
    <w:unhideWhenUsed/>
    <w:rsid w:val="00D72FEE"/>
    <w:pPr>
      <w:spacing w:line="240" w:lineRule="auto"/>
    </w:pPr>
    <w:rPr>
      <w:sz w:val="20"/>
      <w:szCs w:val="20"/>
    </w:rPr>
  </w:style>
  <w:style w:type="character" w:customStyle="1" w:styleId="CommentaireCar">
    <w:name w:val="Commentaire Car"/>
    <w:basedOn w:val="Policepardfaut"/>
    <w:link w:val="Commentaire"/>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PARAGA0">
    <w:name w:val="PARAG. A 0"/>
    <w:basedOn w:val="Normal"/>
    <w:rsid w:val="00DA3C1E"/>
    <w:pPr>
      <w:spacing w:after="0" w:line="360" w:lineRule="atLeast"/>
      <w:jc w:val="both"/>
    </w:pPr>
    <w:rPr>
      <w:rFonts w:ascii="Helvetica" w:eastAsia="Times New Roman" w:hAnsi="Helvetica" w:cs="Times New Roman"/>
      <w:sz w:val="20"/>
      <w:szCs w:val="20"/>
      <w:lang w:eastAsia="fr-FR"/>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locked/>
    <w:rsid w:val="00BF7258"/>
  </w:style>
  <w:style w:type="character" w:customStyle="1" w:styleId="Titre2Car">
    <w:name w:val="Titre 2 Car"/>
    <w:basedOn w:val="Policepardfaut"/>
    <w:link w:val="Titre2"/>
    <w:uiPriority w:val="9"/>
    <w:rsid w:val="00C8183C"/>
    <w:rPr>
      <w:i/>
      <w:u w:val="single"/>
    </w:rPr>
  </w:style>
  <w:style w:type="paragraph" w:styleId="Rvision">
    <w:name w:val="Revision"/>
    <w:hidden/>
    <w:uiPriority w:val="99"/>
    <w:semiHidden/>
    <w:rsid w:val="0053730F"/>
    <w:pPr>
      <w:spacing w:after="0" w:line="240" w:lineRule="auto"/>
    </w:pPr>
  </w:style>
  <w:style w:type="paragraph" w:customStyle="1" w:styleId="ANNETitre1">
    <w:name w:val="ANNE Titre 1"/>
    <w:basedOn w:val="En-tte"/>
    <w:link w:val="ANNETitre1Car"/>
    <w:qFormat/>
    <w:rsid w:val="00BC60CF"/>
    <w:pPr>
      <w:pBdr>
        <w:bottom w:val="single" w:sz="4" w:space="1" w:color="2F5496" w:themeColor="accent5" w:themeShade="BF"/>
      </w:pBdr>
      <w:tabs>
        <w:tab w:val="clear" w:pos="4536"/>
        <w:tab w:val="clear" w:pos="9072"/>
      </w:tabs>
      <w:spacing w:after="360" w:line="259" w:lineRule="auto"/>
    </w:pPr>
    <w:rPr>
      <w:rFonts w:ascii="Arial Narrow" w:hAnsi="Arial Narrow"/>
      <w:b/>
    </w:rPr>
  </w:style>
  <w:style w:type="character" w:customStyle="1" w:styleId="ANNETitre1Car">
    <w:name w:val="ANNE Titre 1 Car"/>
    <w:basedOn w:val="Policepardfaut"/>
    <w:link w:val="ANNETitre1"/>
    <w:rsid w:val="00BC60CF"/>
    <w:rPr>
      <w:rFonts w:ascii="Arial Narrow" w:hAnsi="Arial Narrow"/>
      <w:b/>
    </w:rPr>
  </w:style>
  <w:style w:type="paragraph" w:customStyle="1" w:styleId="TextAlt0">
    <w:name w:val="Text (Alt+0)"/>
    <w:rsid w:val="001125DF"/>
    <w:pPr>
      <w:keepLines/>
      <w:spacing w:before="120" w:after="0" w:line="260" w:lineRule="atLeast"/>
      <w:jc w:val="both"/>
    </w:pPr>
    <w:rPr>
      <w:rFonts w:ascii="Arial" w:eastAsia="Times New Roman" w:hAnsi="Arial" w:cs="Times New Roman"/>
      <w:sz w:val="20"/>
      <w:szCs w:val="20"/>
    </w:rPr>
  </w:style>
  <w:style w:type="paragraph" w:styleId="Corpsdetexte3">
    <w:name w:val="Body Text 3"/>
    <w:basedOn w:val="Normal"/>
    <w:link w:val="Corpsdetexte3Car"/>
    <w:uiPriority w:val="99"/>
    <w:semiHidden/>
    <w:unhideWhenUsed/>
    <w:rsid w:val="00A806F0"/>
    <w:pPr>
      <w:spacing w:after="120"/>
    </w:pPr>
    <w:rPr>
      <w:sz w:val="16"/>
      <w:szCs w:val="16"/>
    </w:rPr>
  </w:style>
  <w:style w:type="character" w:customStyle="1" w:styleId="Corpsdetexte3Car">
    <w:name w:val="Corps de texte 3 Car"/>
    <w:basedOn w:val="Policepardfaut"/>
    <w:link w:val="Corpsdetexte3"/>
    <w:uiPriority w:val="99"/>
    <w:semiHidden/>
    <w:rsid w:val="00A806F0"/>
    <w:rPr>
      <w:sz w:val="16"/>
      <w:szCs w:val="16"/>
    </w:rPr>
  </w:style>
  <w:style w:type="paragraph" w:customStyle="1" w:styleId="Listetrait">
    <w:name w:val="Liste trait"/>
    <w:qFormat/>
    <w:rsid w:val="00A85AA3"/>
    <w:pPr>
      <w:numPr>
        <w:numId w:val="17"/>
      </w:numPr>
      <w:spacing w:after="0" w:line="240" w:lineRule="auto"/>
    </w:pPr>
    <w:rPr>
      <w:rFonts w:cs="Times New Roman (Corps CS)"/>
      <w:spacing w:val="-1"/>
      <w:sz w:val="20"/>
      <w:lang w:val="en-US"/>
    </w:rPr>
  </w:style>
  <w:style w:type="paragraph" w:customStyle="1" w:styleId="Default">
    <w:name w:val="Default"/>
    <w:rsid w:val="00682587"/>
    <w:pPr>
      <w:autoSpaceDE w:val="0"/>
      <w:autoSpaceDN w:val="0"/>
      <w:adjustRightInd w:val="0"/>
      <w:spacing w:after="0" w:line="240" w:lineRule="auto"/>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23131">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907301803">
      <w:bodyDiv w:val="1"/>
      <w:marLeft w:val="0"/>
      <w:marRight w:val="0"/>
      <w:marTop w:val="0"/>
      <w:marBottom w:val="0"/>
      <w:divBdr>
        <w:top w:val="none" w:sz="0" w:space="0" w:color="auto"/>
        <w:left w:val="none" w:sz="0" w:space="0" w:color="auto"/>
        <w:bottom w:val="none" w:sz="0" w:space="0" w:color="auto"/>
        <w:right w:val="none" w:sz="0" w:space="0" w:color="auto"/>
      </w:divBdr>
    </w:div>
    <w:div w:id="107423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Corp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Corps CS)">
    <w:altName w:val="Times New Roman"/>
    <w:charset w:val="00"/>
    <w:family w:val="roman"/>
    <w:pitch w:val="default"/>
  </w:font>
  <w:font w:name="Marianne">
    <w:altName w:val="Times New Roman"/>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43183"/>
    <w:rsid w:val="00334F47"/>
    <w:rsid w:val="0038590B"/>
    <w:rsid w:val="005A3E7F"/>
    <w:rsid w:val="00864732"/>
    <w:rsid w:val="00865F7E"/>
    <w:rsid w:val="008E7CAF"/>
    <w:rsid w:val="009E2391"/>
    <w:rsid w:val="00AC31B5"/>
    <w:rsid w:val="00B14DD2"/>
    <w:rsid w:val="00B32E5C"/>
    <w:rsid w:val="00B90D7C"/>
    <w:rsid w:val="00C60EC9"/>
    <w:rsid w:val="00CB08D0"/>
    <w:rsid w:val="00E25CA0"/>
    <w:rsid w:val="00F43661"/>
    <w:rsid w:val="00F70DF2"/>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FC5F1-4F31-4801-9761-413D60B4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5169</Words>
  <Characters>28431</Characters>
  <Application>Microsoft Office Word</Application>
  <DocSecurity>0</DocSecurity>
  <Lines>236</Lines>
  <Paragraphs>67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4</cp:revision>
  <cp:lastPrinted>2023-07-31T07:12:00Z</cp:lastPrinted>
  <dcterms:created xsi:type="dcterms:W3CDTF">2025-03-10T09:30:00Z</dcterms:created>
  <dcterms:modified xsi:type="dcterms:W3CDTF">2025-03-10T15:13:00Z</dcterms:modified>
</cp:coreProperties>
</file>