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F3F" w:rsidRDefault="000D5F3F" w:rsidP="000D5F3F">
      <w:pPr>
        <w:pStyle w:val="Default"/>
      </w:pPr>
    </w:p>
    <w:p w:rsidR="004E2569" w:rsidRDefault="000D5F3F" w:rsidP="00303669">
      <w:pPr>
        <w:jc w:val="center"/>
        <w:rPr>
          <w:b/>
          <w:bCs/>
          <w:sz w:val="23"/>
          <w:szCs w:val="23"/>
        </w:rPr>
      </w:pPr>
      <w:r>
        <w:rPr>
          <w:b/>
          <w:bCs/>
          <w:sz w:val="23"/>
          <w:szCs w:val="23"/>
        </w:rPr>
        <w:t>CADRE DE REPONSE TECH</w:t>
      </w:r>
      <w:r w:rsidR="001C5298">
        <w:rPr>
          <w:b/>
          <w:bCs/>
          <w:sz w:val="23"/>
          <w:szCs w:val="23"/>
        </w:rPr>
        <w:t>NIQUE</w:t>
      </w:r>
      <w:r>
        <w:rPr>
          <w:b/>
          <w:bCs/>
          <w:sz w:val="23"/>
          <w:szCs w:val="23"/>
        </w:rPr>
        <w:t xml:space="preserve"> </w:t>
      </w:r>
      <w:r w:rsidR="00303669">
        <w:rPr>
          <w:b/>
          <w:bCs/>
          <w:sz w:val="23"/>
          <w:szCs w:val="23"/>
        </w:rPr>
        <w:t>RELATIF AU REMPLACEMENT SSI DU BATIMENT PSYCHIATRIE AU</w:t>
      </w:r>
      <w:r>
        <w:rPr>
          <w:b/>
          <w:bCs/>
          <w:sz w:val="23"/>
          <w:szCs w:val="23"/>
        </w:rPr>
        <w:t xml:space="preserve"> CENTRE HOSPITALIER DE MACON</w:t>
      </w:r>
    </w:p>
    <w:p w:rsidR="000D5F3F" w:rsidRDefault="000D5F3F" w:rsidP="000D5F3F">
      <w:pPr>
        <w:rPr>
          <w:b/>
          <w:bCs/>
          <w:sz w:val="23"/>
          <w:szCs w:val="23"/>
        </w:rPr>
      </w:pPr>
    </w:p>
    <w:p w:rsidR="008E2366" w:rsidRPr="008E2366" w:rsidRDefault="008E2366" w:rsidP="008E2366">
      <w:pPr>
        <w:shd w:val="clear" w:color="auto" w:fill="FFFFFF"/>
        <w:spacing w:after="0" w:line="240" w:lineRule="auto"/>
        <w:jc w:val="both"/>
        <w:rPr>
          <w:rFonts w:ascii="Arial" w:eastAsia="Times New Roman" w:hAnsi="Arial" w:cs="Arial"/>
          <w:color w:val="212121"/>
          <w:sz w:val="18"/>
          <w:szCs w:val="18"/>
          <w:lang w:eastAsia="fr-FR"/>
        </w:rPr>
      </w:pPr>
    </w:p>
    <w:p w:rsidR="008E2366" w:rsidRPr="008E2366" w:rsidRDefault="008E2366" w:rsidP="008E2366">
      <w:pPr>
        <w:keepNext/>
        <w:autoSpaceDE w:val="0"/>
        <w:autoSpaceDN w:val="0"/>
        <w:spacing w:after="0" w:line="240" w:lineRule="auto"/>
        <w:jc w:val="both"/>
        <w:rPr>
          <w:rFonts w:eastAsia="Times New Roman" w:cstheme="minorHAnsi"/>
          <w:b/>
          <w:bCs/>
          <w:lang w:eastAsia="fr-FR"/>
        </w:rPr>
      </w:pPr>
      <w:r w:rsidRPr="008E2366">
        <w:rPr>
          <w:rFonts w:eastAsia="Times New Roman" w:cstheme="minorHAnsi"/>
          <w:b/>
          <w:bCs/>
          <w:lang w:eastAsia="fr-FR"/>
        </w:rPr>
        <w:t>Consignes pour remplir le présent document</w:t>
      </w:r>
    </w:p>
    <w:p w:rsidR="008E2366" w:rsidRPr="008E2366" w:rsidRDefault="008E2366" w:rsidP="008E2366">
      <w:pPr>
        <w:tabs>
          <w:tab w:val="left" w:pos="432"/>
        </w:tabs>
        <w:spacing w:after="0" w:line="240" w:lineRule="auto"/>
        <w:jc w:val="both"/>
        <w:rPr>
          <w:rFonts w:eastAsia="Times New Roman" w:cstheme="minorHAnsi"/>
          <w:lang w:eastAsia="fr-FR"/>
        </w:rPr>
      </w:pPr>
    </w:p>
    <w:p w:rsidR="008E2366" w:rsidRPr="008E2366" w:rsidRDefault="008E2366" w:rsidP="008E2366">
      <w:pPr>
        <w:tabs>
          <w:tab w:val="left" w:pos="432"/>
        </w:tabs>
        <w:spacing w:after="0" w:line="240" w:lineRule="auto"/>
        <w:jc w:val="both"/>
        <w:rPr>
          <w:rFonts w:eastAsia="Times New Roman" w:cstheme="minorHAnsi"/>
          <w:lang w:eastAsia="fr-FR"/>
        </w:rPr>
      </w:pPr>
      <w:r w:rsidRPr="008E2366">
        <w:rPr>
          <w:rFonts w:eastAsia="Times New Roman" w:cstheme="minorHAnsi"/>
          <w:lang w:eastAsia="fr-FR"/>
        </w:rPr>
        <w:t xml:space="preserve">Le candidat devra remplir intégralement chaque rubrique du présent cadre de réponse technique en apportant une réponse rédigée et adaptée au présent marché sans procéder seulement à un renvoi systématique à un document annexe. </w:t>
      </w:r>
    </w:p>
    <w:p w:rsidR="008E2366" w:rsidRPr="008E2366" w:rsidRDefault="008E2366" w:rsidP="008E2366">
      <w:pPr>
        <w:tabs>
          <w:tab w:val="left" w:pos="432"/>
        </w:tabs>
        <w:spacing w:after="0" w:line="240" w:lineRule="auto"/>
        <w:jc w:val="both"/>
        <w:rPr>
          <w:rFonts w:eastAsia="Times New Roman" w:cstheme="minorHAnsi"/>
          <w:lang w:eastAsia="fr-FR"/>
        </w:rPr>
      </w:pPr>
    </w:p>
    <w:p w:rsidR="008E2366" w:rsidRPr="008E2366" w:rsidRDefault="008E2366" w:rsidP="008E2366">
      <w:pPr>
        <w:tabs>
          <w:tab w:val="left" w:pos="432"/>
        </w:tabs>
        <w:spacing w:after="0" w:line="240" w:lineRule="auto"/>
        <w:jc w:val="both"/>
        <w:rPr>
          <w:rFonts w:eastAsia="Times New Roman" w:cstheme="minorHAnsi"/>
          <w:lang w:eastAsia="fr-FR"/>
        </w:rPr>
      </w:pPr>
      <w:r w:rsidRPr="008E2366">
        <w:rPr>
          <w:rFonts w:eastAsia="Times New Roman" w:cstheme="minorHAnsi"/>
          <w:lang w:eastAsia="fr-FR"/>
        </w:rPr>
        <w:t>Les éléments inscrits ci-dessous engagent</w:t>
      </w:r>
      <w:r w:rsidR="00303669">
        <w:rPr>
          <w:rFonts w:eastAsia="Times New Roman" w:cstheme="minorHAnsi"/>
          <w:lang w:eastAsia="fr-FR"/>
        </w:rPr>
        <w:t xml:space="preserve"> les candidats pour ce</w:t>
      </w:r>
      <w:r w:rsidR="009D2B36">
        <w:rPr>
          <w:rFonts w:eastAsia="Times New Roman" w:cstheme="minorHAnsi"/>
          <w:lang w:eastAsia="fr-FR"/>
        </w:rPr>
        <w:t xml:space="preserve"> </w:t>
      </w:r>
      <w:bookmarkStart w:id="0" w:name="_GoBack"/>
      <w:bookmarkEnd w:id="0"/>
      <w:r w:rsidRPr="008E2366">
        <w:rPr>
          <w:rFonts w:eastAsia="Times New Roman" w:cstheme="minorHAnsi"/>
          <w:lang w:eastAsia="fr-FR"/>
        </w:rPr>
        <w:t>marché. En cas de modifications, un accord devra être trouvé entre les différentes parties au marché et formalisé par le biais d’un avenant.</w:t>
      </w:r>
    </w:p>
    <w:p w:rsidR="008E2366" w:rsidRPr="008E2366" w:rsidRDefault="008E2366" w:rsidP="008E2366">
      <w:pPr>
        <w:tabs>
          <w:tab w:val="left" w:pos="432"/>
        </w:tabs>
        <w:spacing w:after="0" w:line="240" w:lineRule="auto"/>
        <w:jc w:val="both"/>
        <w:rPr>
          <w:rFonts w:eastAsia="Times New Roman" w:cstheme="minorHAnsi"/>
          <w:lang w:eastAsia="fr-FR"/>
        </w:rPr>
      </w:pPr>
    </w:p>
    <w:p w:rsidR="008E2366" w:rsidRPr="008E2366" w:rsidRDefault="008E2366" w:rsidP="008E2366">
      <w:pPr>
        <w:autoSpaceDE w:val="0"/>
        <w:autoSpaceDN w:val="0"/>
        <w:spacing w:after="0" w:line="240" w:lineRule="auto"/>
        <w:jc w:val="both"/>
        <w:rPr>
          <w:rFonts w:eastAsia="Times New Roman" w:cstheme="minorHAnsi"/>
          <w:lang w:eastAsia="fr-FR"/>
        </w:rPr>
      </w:pPr>
      <w:r w:rsidRPr="008E2366">
        <w:rPr>
          <w:rFonts w:eastAsia="Times New Roman" w:cstheme="minorHAnsi"/>
          <w:lang w:eastAsia="fr-FR"/>
        </w:rPr>
        <w:t>Le soumissionnaire devra répondre à l’ensemble des items indiqués dans ce mémoire technique et environnemental type et dans l’ordre où elles sont listées.</w:t>
      </w:r>
    </w:p>
    <w:p w:rsidR="008E2366" w:rsidRPr="008E2366" w:rsidRDefault="008E2366" w:rsidP="008E2366">
      <w:pPr>
        <w:autoSpaceDE w:val="0"/>
        <w:autoSpaceDN w:val="0"/>
        <w:spacing w:after="0" w:line="240" w:lineRule="auto"/>
        <w:jc w:val="both"/>
        <w:rPr>
          <w:rFonts w:eastAsia="Times New Roman" w:cstheme="minorHAnsi"/>
          <w:lang w:eastAsia="fr-FR"/>
        </w:rPr>
      </w:pPr>
    </w:p>
    <w:p w:rsidR="008E2366" w:rsidRPr="008E2366" w:rsidRDefault="008E2366" w:rsidP="008E2366">
      <w:pPr>
        <w:autoSpaceDE w:val="0"/>
        <w:autoSpaceDN w:val="0"/>
        <w:spacing w:after="0" w:line="240" w:lineRule="auto"/>
        <w:jc w:val="both"/>
        <w:rPr>
          <w:rFonts w:eastAsia="Times New Roman" w:cstheme="minorHAnsi"/>
          <w:lang w:eastAsia="fr-FR"/>
        </w:rPr>
      </w:pPr>
      <w:r w:rsidRPr="008E2366">
        <w:rPr>
          <w:rFonts w:eastAsia="Times New Roman" w:cstheme="minorHAnsi"/>
          <w:lang w:eastAsia="fr-FR"/>
        </w:rPr>
        <w:t>Le mémoire devra être transmis dans l’offre du soumissionnaire, sous peine de rejet d’offre.</w:t>
      </w:r>
    </w:p>
    <w:p w:rsidR="008E2366" w:rsidRDefault="008E2366" w:rsidP="008E2366">
      <w:pPr>
        <w:autoSpaceDE w:val="0"/>
        <w:autoSpaceDN w:val="0"/>
        <w:spacing w:after="0" w:line="240" w:lineRule="auto"/>
        <w:jc w:val="both"/>
        <w:rPr>
          <w:rFonts w:eastAsia="Times New Roman" w:cstheme="minorHAnsi"/>
          <w:lang w:eastAsia="fr-FR"/>
        </w:rPr>
      </w:pPr>
      <w:r w:rsidRPr="008E2366">
        <w:rPr>
          <w:rFonts w:eastAsia="Times New Roman" w:cstheme="minorHAnsi"/>
          <w:lang w:eastAsia="fr-FR"/>
        </w:rPr>
        <w:t>Le mémoire ne devra pas dépasser 60 pages recto (page de garde et annexes non comprises, le cas échéant). En cas de dépassement du nombre de pages, seules les 60 premières pages seront analysées.</w:t>
      </w:r>
    </w:p>
    <w:p w:rsidR="008E2366" w:rsidRPr="008E2366" w:rsidRDefault="008E2366" w:rsidP="008E2366">
      <w:pPr>
        <w:autoSpaceDE w:val="0"/>
        <w:autoSpaceDN w:val="0"/>
        <w:spacing w:after="0" w:line="240" w:lineRule="auto"/>
        <w:jc w:val="both"/>
        <w:rPr>
          <w:rFonts w:eastAsia="Times New Roman" w:cstheme="minorHAnsi"/>
          <w:lang w:eastAsia="fr-FR"/>
        </w:rPr>
      </w:pPr>
    </w:p>
    <w:p w:rsidR="008E2366" w:rsidRPr="008E2366" w:rsidRDefault="008E2366" w:rsidP="008E2366">
      <w:pPr>
        <w:tabs>
          <w:tab w:val="left" w:pos="432"/>
        </w:tabs>
        <w:spacing w:after="0" w:line="240" w:lineRule="auto"/>
        <w:jc w:val="both"/>
        <w:rPr>
          <w:rFonts w:ascii="Arial" w:eastAsia="Times New Roman" w:hAnsi="Arial" w:cs="Arial"/>
          <w:sz w:val="18"/>
          <w:szCs w:val="18"/>
          <w:lang w:eastAsia="fr-FR"/>
        </w:rPr>
      </w:pPr>
    </w:p>
    <w:p w:rsidR="000D5F3F" w:rsidRDefault="000D5F3F" w:rsidP="008E2366">
      <w:pPr>
        <w:keepNext/>
        <w:widowControl w:val="0"/>
        <w:autoSpaceDE w:val="0"/>
        <w:autoSpaceDN w:val="0"/>
        <w:spacing w:after="0" w:line="240" w:lineRule="auto"/>
        <w:jc w:val="both"/>
      </w:pPr>
      <w:r w:rsidRPr="008E2366">
        <w:rPr>
          <w:u w:val="single"/>
        </w:rPr>
        <w:t>Identification du candidat</w:t>
      </w:r>
      <w:r w:rsidRPr="000D5F3F">
        <w:t xml:space="preserve"> :</w:t>
      </w:r>
    </w:p>
    <w:p w:rsidR="00303669" w:rsidRPr="008E2366" w:rsidRDefault="00303669" w:rsidP="008E2366">
      <w:pPr>
        <w:keepNext/>
        <w:widowControl w:val="0"/>
        <w:autoSpaceDE w:val="0"/>
        <w:autoSpaceDN w:val="0"/>
        <w:spacing w:after="0" w:line="240" w:lineRule="auto"/>
        <w:jc w:val="both"/>
        <w:rPr>
          <w:rFonts w:ascii="Arial" w:eastAsia="Times New Roman" w:hAnsi="Arial" w:cs="Arial"/>
          <w:b/>
          <w:sz w:val="18"/>
          <w:szCs w:val="18"/>
          <w:lang w:eastAsia="fr-FR"/>
        </w:rPr>
      </w:pPr>
    </w:p>
    <w:p w:rsidR="00955F62" w:rsidRDefault="00955F62" w:rsidP="00955F62">
      <w:r>
        <w:t xml:space="preserve">Nom : </w:t>
      </w:r>
    </w:p>
    <w:p w:rsidR="00955F62" w:rsidRDefault="00955F62" w:rsidP="00955F62">
      <w:r>
        <w:t xml:space="preserve">Adresse : </w:t>
      </w:r>
    </w:p>
    <w:p w:rsidR="00955F62" w:rsidRDefault="00955F62" w:rsidP="00955F62">
      <w:r>
        <w:t xml:space="preserve">Tél : </w:t>
      </w:r>
    </w:p>
    <w:p w:rsidR="00955F62" w:rsidRDefault="00955F62" w:rsidP="00955F62">
      <w:r>
        <w:t xml:space="preserve">Fax : </w:t>
      </w:r>
    </w:p>
    <w:p w:rsidR="00955F62" w:rsidRDefault="00955F62" w:rsidP="00955F62">
      <w:r>
        <w:t xml:space="preserve">Courriel : </w:t>
      </w:r>
    </w:p>
    <w:p w:rsidR="00955F62" w:rsidRDefault="00955F62" w:rsidP="00955F62">
      <w:r>
        <w:t>Indiquer les coordonnées de la personne référente sur cette consultation :</w:t>
      </w:r>
    </w:p>
    <w:p w:rsidR="00303669" w:rsidRDefault="00303669" w:rsidP="00303669">
      <w:r>
        <w:t>Au niveau de la valeur technique :</w:t>
      </w:r>
    </w:p>
    <w:p w:rsidR="00303669" w:rsidRDefault="00303669" w:rsidP="00303669">
      <w:r w:rsidRPr="00303669">
        <w:t xml:space="preserve">·         </w:t>
      </w:r>
      <w:r w:rsidRPr="00303669">
        <w:rPr>
          <w:u w:val="single"/>
        </w:rPr>
        <w:t>Le matériel proposé</w:t>
      </w:r>
      <w:r>
        <w:t xml:space="preserve"> (25%)</w:t>
      </w:r>
    </w:p>
    <w:p w:rsidR="00303669" w:rsidRDefault="00303669" w:rsidP="00303669"/>
    <w:p w:rsidR="00303669" w:rsidRDefault="00303669" w:rsidP="00303669">
      <w:r w:rsidRPr="00303669">
        <w:t xml:space="preserve">·         </w:t>
      </w:r>
      <w:r w:rsidRPr="00303669">
        <w:rPr>
          <w:u w:val="single"/>
        </w:rPr>
        <w:t>Le mode opératoire en site occupé</w:t>
      </w:r>
      <w:r>
        <w:t xml:space="preserve"> (25%)</w:t>
      </w:r>
    </w:p>
    <w:p w:rsidR="00303669" w:rsidRDefault="00303669" w:rsidP="00303669"/>
    <w:p w:rsidR="00303669" w:rsidRDefault="00303669" w:rsidP="00303669">
      <w:r>
        <w:t xml:space="preserve">·         </w:t>
      </w:r>
      <w:r w:rsidRPr="00303669">
        <w:rPr>
          <w:u w:val="single"/>
        </w:rPr>
        <w:t>Le planning et le respect des délais</w:t>
      </w:r>
      <w:r>
        <w:t xml:space="preserve"> (25%) </w:t>
      </w:r>
    </w:p>
    <w:p w:rsidR="00303669" w:rsidRDefault="00303669" w:rsidP="00303669"/>
    <w:p w:rsidR="00303669" w:rsidRDefault="00303669" w:rsidP="00303669">
      <w:r>
        <w:t xml:space="preserve">·         </w:t>
      </w:r>
      <w:r w:rsidRPr="00303669">
        <w:rPr>
          <w:u w:val="single"/>
        </w:rPr>
        <w:t>L’environnement (gestion des déchets et démarche RSE)</w:t>
      </w:r>
      <w:r>
        <w:t xml:space="preserve"> </w:t>
      </w:r>
      <w:proofErr w:type="gramStart"/>
      <w:r>
        <w:t>( 15</w:t>
      </w:r>
      <w:proofErr w:type="gramEnd"/>
      <w:r>
        <w:t>%)</w:t>
      </w:r>
    </w:p>
    <w:p w:rsidR="00303669" w:rsidRDefault="00303669" w:rsidP="00303669"/>
    <w:p w:rsidR="00955F62" w:rsidRPr="001C5298" w:rsidRDefault="00303669" w:rsidP="00303669">
      <w:r>
        <w:t xml:space="preserve">·         </w:t>
      </w:r>
      <w:r w:rsidRPr="00303669">
        <w:rPr>
          <w:u w:val="single"/>
        </w:rPr>
        <w:t>Les références de travaux</w:t>
      </w:r>
      <w:r>
        <w:t xml:space="preserve"> (10%)</w:t>
      </w:r>
    </w:p>
    <w:sectPr w:rsidR="00955F62" w:rsidRPr="001C5298" w:rsidSect="005362E9">
      <w:pgSz w:w="11906" w:h="16838"/>
      <w:pgMar w:top="426" w:right="849"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7C90"/>
    <w:multiLevelType w:val="hybridMultilevel"/>
    <w:tmpl w:val="BCC46046"/>
    <w:lvl w:ilvl="0" w:tplc="AB402F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F3F"/>
    <w:rsid w:val="00025743"/>
    <w:rsid w:val="000D5F3F"/>
    <w:rsid w:val="001C5298"/>
    <w:rsid w:val="00303669"/>
    <w:rsid w:val="003C0603"/>
    <w:rsid w:val="004E2569"/>
    <w:rsid w:val="005362E9"/>
    <w:rsid w:val="00612E3A"/>
    <w:rsid w:val="008E2366"/>
    <w:rsid w:val="00955F62"/>
    <w:rsid w:val="009D2B36"/>
    <w:rsid w:val="00CA1D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BA3B3"/>
  <w15:docId w15:val="{D15C76D0-A93E-47C8-96AB-8791A64E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D5F3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1253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Centre Hospitalier de Mâcon</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COLOMBO Laurent</dc:creator>
  <cp:lastModifiedBy>Marie-Helene GRANGE</cp:lastModifiedBy>
  <cp:revision>2</cp:revision>
  <dcterms:created xsi:type="dcterms:W3CDTF">2025-03-13T12:46:00Z</dcterms:created>
  <dcterms:modified xsi:type="dcterms:W3CDTF">2025-03-13T12:46:00Z</dcterms:modified>
</cp:coreProperties>
</file>