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tmp" ContentType="image/gi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F0AFC0B" w14:textId="77777777" w:rsidR="004A4BCA" w:rsidRDefault="00DB24F1">
      <w:r>
        <w:rPr>
          <w:noProof/>
        </w:rPr>
        <w:drawing>
          <wp:anchor distT="0" distB="0" distL="0" distR="0" simplePos="0" relativeHeight="2" behindDoc="1" locked="0" layoutInCell="1" allowOverlap="1" wp14:anchorId="37AD66A1" wp14:editId="124711C6">
            <wp:simplePos x="0" y="0"/>
            <wp:positionH relativeFrom="column">
              <wp:posOffset>-615950</wp:posOffset>
            </wp:positionH>
            <wp:positionV relativeFrom="paragraph">
              <wp:posOffset>-493395</wp:posOffset>
            </wp:positionV>
            <wp:extent cx="1828800" cy="69469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stretch>
                      <a:fillRect/>
                    </a:stretch>
                  </pic:blipFill>
                  <pic:spPr bwMode="auto">
                    <a:xfrm>
                      <a:off x="0" y="0"/>
                      <a:ext cx="1828800" cy="694690"/>
                    </a:xfrm>
                    <a:prstGeom prst="rect">
                      <a:avLst/>
                    </a:prstGeom>
                  </pic:spPr>
                </pic:pic>
              </a:graphicData>
            </a:graphic>
          </wp:anchor>
        </w:drawing>
      </w:r>
    </w:p>
    <w:tbl>
      <w:tblPr>
        <w:tblW w:w="9874" w:type="dxa"/>
        <w:jc w:val="center"/>
        <w:tblCellMar>
          <w:left w:w="98" w:type="dxa"/>
        </w:tblCellMar>
        <w:tblLook w:val="04A0" w:firstRow="1" w:lastRow="0" w:firstColumn="1" w:lastColumn="0" w:noHBand="0" w:noVBand="1"/>
      </w:tblPr>
      <w:tblGrid>
        <w:gridCol w:w="3254"/>
        <w:gridCol w:w="6620"/>
      </w:tblGrid>
      <w:tr w:rsidR="004A4BCA" w14:paraId="69ACC7B9" w14:textId="77777777" w:rsidTr="00541F05">
        <w:trPr>
          <w:trHeight w:val="1027"/>
          <w:jc w:val="center"/>
        </w:trPr>
        <w:tc>
          <w:tcPr>
            <w:tcW w:w="3254" w:type="dxa"/>
            <w:tcBorders>
              <w:top w:val="single" w:sz="4" w:space="0" w:color="000000"/>
              <w:left w:val="single" w:sz="4" w:space="0" w:color="000000"/>
              <w:bottom w:val="single" w:sz="4" w:space="0" w:color="000000"/>
              <w:right w:val="single" w:sz="4" w:space="0" w:color="000000"/>
            </w:tcBorders>
            <w:shd w:val="clear" w:color="auto" w:fill="auto"/>
          </w:tcPr>
          <w:p w14:paraId="637420D0" w14:textId="77777777" w:rsidR="004A4BCA" w:rsidRDefault="004A4BCA"/>
          <w:p w14:paraId="791BBE46" w14:textId="77777777" w:rsidR="004A4BCA" w:rsidRDefault="00DB24F1">
            <w:r>
              <w:t>UTBM – Site de Sevenans</w:t>
            </w:r>
          </w:p>
          <w:p w14:paraId="385F8728" w14:textId="77777777" w:rsidR="004A4BCA" w:rsidRDefault="00DB24F1">
            <w:r>
              <w:t>90010 BELFORT Cedex</w:t>
            </w:r>
          </w:p>
        </w:tc>
        <w:tc>
          <w:tcPr>
            <w:tcW w:w="6620" w:type="dxa"/>
            <w:tcBorders>
              <w:top w:val="single" w:sz="4" w:space="0" w:color="000000"/>
              <w:left w:val="single" w:sz="4" w:space="0" w:color="000000"/>
              <w:bottom w:val="single" w:sz="4" w:space="0" w:color="000000"/>
              <w:right w:val="single" w:sz="4" w:space="0" w:color="000000"/>
            </w:tcBorders>
            <w:shd w:val="clear" w:color="auto" w:fill="auto"/>
          </w:tcPr>
          <w:p w14:paraId="43D0C998" w14:textId="52D5D959" w:rsidR="004A4BCA" w:rsidRDefault="00DB24F1">
            <w:r>
              <w:t>Identité d</w:t>
            </w:r>
            <w:r w:rsidR="005C0DD3">
              <w:t xml:space="preserve">e l’occupant </w:t>
            </w:r>
            <w:r>
              <w:t>:</w:t>
            </w:r>
          </w:p>
          <w:p w14:paraId="3BD2B1AC" w14:textId="77777777" w:rsidR="004A4BCA" w:rsidRDefault="004A4BCA"/>
          <w:p w14:paraId="1CF6EB14" w14:textId="77777777" w:rsidR="004A4BCA" w:rsidRDefault="004A4BCA"/>
          <w:p w14:paraId="47A51EB4" w14:textId="77777777" w:rsidR="004A4BCA" w:rsidRDefault="004A4BCA"/>
          <w:p w14:paraId="2497C153" w14:textId="77777777" w:rsidR="004A4BCA" w:rsidRDefault="004A4BCA"/>
          <w:p w14:paraId="6CE05023" w14:textId="77777777" w:rsidR="004A4BCA" w:rsidRDefault="004A4BCA"/>
          <w:p w14:paraId="746F3763" w14:textId="77777777" w:rsidR="004A4BCA" w:rsidRDefault="004A4BCA"/>
        </w:tc>
      </w:tr>
      <w:tr w:rsidR="004A4BCA" w14:paraId="0EC9426D" w14:textId="77777777">
        <w:trPr>
          <w:trHeight w:val="5037"/>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D9D9D9"/>
          </w:tcPr>
          <w:p w14:paraId="247700AA" w14:textId="77777777" w:rsidR="004A4BCA" w:rsidRDefault="004A4BCA"/>
          <w:p w14:paraId="04614849" w14:textId="709FA847" w:rsidR="004A4BCA" w:rsidRDefault="00313C8F">
            <w:pPr>
              <w:jc w:val="center"/>
            </w:pPr>
            <w:r>
              <w:rPr>
                <w:rFonts w:cs="Times New Roman"/>
                <w:b/>
                <w:color w:val="0076CC"/>
                <w:sz w:val="40"/>
                <w:lang w:eastAsia="ar-SA"/>
              </w:rPr>
              <w:t>AOT</w:t>
            </w:r>
            <w:r w:rsidR="00DB24F1">
              <w:rPr>
                <w:rFonts w:cs="Times New Roman"/>
                <w:b/>
                <w:color w:val="0076CC"/>
                <w:sz w:val="40"/>
                <w:lang w:eastAsia="ar-SA"/>
              </w:rPr>
              <w:t xml:space="preserve"> n°</w:t>
            </w:r>
            <w:r w:rsidR="00983BB7">
              <w:rPr>
                <w:rFonts w:cs="Times New Roman"/>
                <w:b/>
                <w:color w:val="0076CC"/>
                <w:sz w:val="40"/>
                <w:lang w:eastAsia="ar-SA"/>
              </w:rPr>
              <w:t>2</w:t>
            </w:r>
            <w:r>
              <w:rPr>
                <w:rFonts w:cs="Times New Roman"/>
                <w:b/>
                <w:color w:val="0076CC"/>
                <w:sz w:val="40"/>
                <w:lang w:eastAsia="ar-SA"/>
              </w:rPr>
              <w:t>02</w:t>
            </w:r>
            <w:r w:rsidR="005F670E">
              <w:rPr>
                <w:rFonts w:cs="Times New Roman"/>
                <w:b/>
                <w:color w:val="0076CC"/>
                <w:sz w:val="40"/>
                <w:lang w:eastAsia="ar-SA"/>
              </w:rPr>
              <w:t>5</w:t>
            </w:r>
            <w:r>
              <w:rPr>
                <w:rFonts w:cs="Times New Roman"/>
                <w:b/>
                <w:color w:val="0076CC"/>
                <w:sz w:val="40"/>
                <w:lang w:eastAsia="ar-SA"/>
              </w:rPr>
              <w:t>01</w:t>
            </w:r>
          </w:p>
          <w:p w14:paraId="231ED9C9" w14:textId="77777777" w:rsidR="004A4BCA" w:rsidRDefault="004A4BCA"/>
          <w:p w14:paraId="541C7D87" w14:textId="77777777" w:rsidR="00313C8F" w:rsidRPr="007B242A" w:rsidRDefault="00313C8F" w:rsidP="00313C8F">
            <w:pPr>
              <w:jc w:val="center"/>
              <w:rPr>
                <w:rFonts w:asciiTheme="minorHAnsi" w:hAnsiTheme="minorHAnsi" w:cstheme="minorHAnsi"/>
                <w:i/>
                <w:sz w:val="32"/>
                <w:lang w:eastAsia="ar-SA"/>
              </w:rPr>
            </w:pPr>
            <w:r w:rsidRPr="007B242A">
              <w:rPr>
                <w:rFonts w:asciiTheme="minorHAnsi" w:hAnsiTheme="minorHAnsi" w:cstheme="minorHAnsi"/>
                <w:i/>
                <w:sz w:val="32"/>
                <w:lang w:eastAsia="ar-SA"/>
              </w:rPr>
              <w:t xml:space="preserve">Autorisation d’occupation du domaine public </w:t>
            </w:r>
          </w:p>
          <w:p w14:paraId="632A39A8" w14:textId="65F2D32C" w:rsidR="00A2238D" w:rsidRDefault="00A2238D">
            <w:pPr>
              <w:jc w:val="center"/>
              <w:rPr>
                <w:rFonts w:cs="Times New Roman"/>
                <w:i/>
                <w:sz w:val="32"/>
                <w:lang w:eastAsia="ar-SA"/>
              </w:rPr>
            </w:pPr>
          </w:p>
          <w:p w14:paraId="460AE091" w14:textId="77777777" w:rsidR="00A2238D" w:rsidRDefault="00A2238D">
            <w:pPr>
              <w:jc w:val="center"/>
              <w:rPr>
                <w:rFonts w:cs="Times New Roman"/>
                <w:i/>
                <w:sz w:val="32"/>
                <w:lang w:eastAsia="ar-SA"/>
              </w:rPr>
            </w:pPr>
          </w:p>
          <w:p w14:paraId="167B16F9" w14:textId="77777777" w:rsidR="004A4BCA" w:rsidRDefault="004A4BCA"/>
          <w:p w14:paraId="60DBA620" w14:textId="77777777" w:rsidR="00313C8F" w:rsidRPr="007B242A" w:rsidRDefault="00313C8F" w:rsidP="00313C8F">
            <w:pPr>
              <w:jc w:val="center"/>
              <w:rPr>
                <w:rFonts w:asciiTheme="minorHAnsi" w:hAnsiTheme="minorHAnsi" w:cstheme="minorHAnsi"/>
                <w:b/>
                <w:highlight w:val="yellow"/>
                <w:lang w:eastAsia="ar-SA"/>
              </w:rPr>
            </w:pPr>
            <w:r w:rsidRPr="007B242A">
              <w:rPr>
                <w:rFonts w:asciiTheme="minorHAnsi" w:hAnsiTheme="minorHAnsi" w:cstheme="minorHAnsi"/>
                <w:b/>
                <w:i/>
                <w:color w:val="00B0F0"/>
                <w:sz w:val="32"/>
                <w:lang w:eastAsia="ar-SA"/>
              </w:rPr>
              <w:t>Convention d’occupation du domaine public pour l’exploitation des distributeurs automatiques dans les locaux de l’Université de technologie de Belfort-Montbéliard (UTBM)</w:t>
            </w:r>
          </w:p>
          <w:p w14:paraId="688C0FD1" w14:textId="77777777" w:rsidR="00983BB7" w:rsidRDefault="00983BB7">
            <w:pPr>
              <w:spacing w:line="360" w:lineRule="auto"/>
              <w:rPr>
                <w:sz w:val="24"/>
                <w:szCs w:val="24"/>
                <w:bdr w:val="single" w:sz="4" w:space="0" w:color="000000"/>
              </w:rPr>
            </w:pPr>
          </w:p>
          <w:p w14:paraId="6047A97A" w14:textId="77777777" w:rsidR="00983BB7" w:rsidRDefault="00983BB7">
            <w:pPr>
              <w:spacing w:line="360" w:lineRule="auto"/>
              <w:rPr>
                <w:sz w:val="24"/>
                <w:szCs w:val="24"/>
                <w:bdr w:val="single" w:sz="4" w:space="0" w:color="000000"/>
              </w:rPr>
            </w:pPr>
          </w:p>
          <w:p w14:paraId="383DA462" w14:textId="77777777" w:rsidR="00983BB7" w:rsidRDefault="00983BB7">
            <w:pPr>
              <w:spacing w:line="360" w:lineRule="auto"/>
              <w:rPr>
                <w:sz w:val="24"/>
                <w:szCs w:val="24"/>
                <w:bdr w:val="single" w:sz="4" w:space="0" w:color="000000"/>
              </w:rPr>
            </w:pPr>
          </w:p>
          <w:p w14:paraId="2FD80F21" w14:textId="77777777" w:rsidR="00983BB7" w:rsidRDefault="00983BB7">
            <w:pPr>
              <w:spacing w:line="360" w:lineRule="auto"/>
              <w:rPr>
                <w:sz w:val="24"/>
                <w:szCs w:val="24"/>
                <w:bdr w:val="single" w:sz="4" w:space="0" w:color="000000"/>
              </w:rPr>
            </w:pPr>
          </w:p>
        </w:tc>
      </w:tr>
      <w:tr w:rsidR="004A4BCA" w14:paraId="0D90477E"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5A06167B" w14:textId="77777777" w:rsidR="004A4BCA" w:rsidRPr="005E1BB1" w:rsidRDefault="004A4BCA"/>
          <w:p w14:paraId="36994014" w14:textId="77777777" w:rsidR="004A4BCA" w:rsidRPr="005E1BB1" w:rsidRDefault="00DB24F1">
            <w:r w:rsidRPr="005E1BB1">
              <w:t xml:space="preserve">Le représentant légal du pouvoir adjudicateur est Ghislain </w:t>
            </w:r>
            <w:proofErr w:type="spellStart"/>
            <w:r w:rsidRPr="005E1BB1">
              <w:t>Montavon</w:t>
            </w:r>
            <w:proofErr w:type="spellEnd"/>
            <w:r w:rsidRPr="005E1BB1">
              <w:t>, directeur de l’UTBM</w:t>
            </w:r>
          </w:p>
          <w:p w14:paraId="303C1F7A" w14:textId="77777777" w:rsidR="004A4BCA" w:rsidRPr="005E1BB1" w:rsidRDefault="004A4BCA"/>
        </w:tc>
      </w:tr>
      <w:tr w:rsidR="004A4BCA" w14:paraId="1CC01DEC" w14:textId="77777777">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tcPr>
          <w:p w14:paraId="73135AC7" w14:textId="77777777" w:rsidR="004A4BCA" w:rsidRPr="005E1BB1" w:rsidRDefault="004A4BCA"/>
          <w:p w14:paraId="488E725D" w14:textId="5FE5FDBB" w:rsidR="004A4BCA" w:rsidRPr="005E1BB1" w:rsidRDefault="00A2238D">
            <w:r w:rsidRPr="005E1BB1">
              <w:rPr>
                <w:lang w:eastAsia="ar-SA"/>
              </w:rPr>
              <w:t xml:space="preserve">Le comptable assignataire est </w:t>
            </w:r>
            <w:r w:rsidR="00F31525" w:rsidRPr="005E1BB1">
              <w:rPr>
                <w:lang w:eastAsia="ar-SA"/>
              </w:rPr>
              <w:t>Sophie VAULOT-DROIT (service.comptable@utbm.fr</w:t>
            </w:r>
            <w:r w:rsidRPr="005E1BB1">
              <w:rPr>
                <w:rStyle w:val="ListLabel11"/>
                <w:rFonts w:eastAsiaTheme="minorHAnsi"/>
              </w:rPr>
              <w:t xml:space="preserve">/ </w:t>
            </w:r>
            <w:r w:rsidRPr="005E1BB1">
              <w:rPr>
                <w:lang w:eastAsia="ar-SA"/>
              </w:rPr>
              <w:t>03.84.58.30.84).</w:t>
            </w:r>
          </w:p>
          <w:p w14:paraId="1BC62D2F" w14:textId="77777777" w:rsidR="004A4BCA" w:rsidRPr="005E1BB1" w:rsidRDefault="00DB24F1">
            <w:r w:rsidRPr="005E1BB1">
              <w:tab/>
            </w:r>
          </w:p>
        </w:tc>
      </w:tr>
      <w:tr w:rsidR="00313C8F" w14:paraId="0BE3D147" w14:textId="77777777" w:rsidTr="005E1BB1">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472859" w14:textId="1EF91C1E" w:rsidR="00313C8F" w:rsidRPr="005E1BB1" w:rsidRDefault="005E1BB1" w:rsidP="005E1BB1">
            <w:pPr>
              <w:jc w:val="left"/>
            </w:pPr>
            <w:r w:rsidRPr="005E1BB1">
              <w:t>L’exécution de la convention est assurée par le service communication de l’UTBM (service.communication@utbm.fr)</w:t>
            </w:r>
          </w:p>
        </w:tc>
      </w:tr>
      <w:tr w:rsidR="00313C8F" w14:paraId="032FFC2C" w14:textId="77777777" w:rsidTr="005E1BB1">
        <w:trPr>
          <w:trHeight w:val="873"/>
          <w:jc w:val="center"/>
        </w:trPr>
        <w:tc>
          <w:tcPr>
            <w:tcW w:w="98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6F488" w14:textId="2DDF852D" w:rsidR="00313C8F" w:rsidRPr="005E1BB1" w:rsidRDefault="005E1BB1" w:rsidP="005E1BB1">
            <w:pPr>
              <w:jc w:val="left"/>
            </w:pPr>
            <w:r w:rsidRPr="005E1BB1">
              <w:t>Le suivi de la procédure de mise en concurrence est assuré par le service des affaires juridiques (marches@utbm.fr)</w:t>
            </w:r>
          </w:p>
        </w:tc>
      </w:tr>
    </w:tbl>
    <w:p w14:paraId="4B55C1C5" w14:textId="19D24284" w:rsidR="00A2238D" w:rsidRDefault="00A2238D"/>
    <w:p w14:paraId="6923B48C" w14:textId="77777777" w:rsidR="004A4BCA" w:rsidRPr="00A2238D" w:rsidRDefault="004A4BCA"/>
    <w:p w14:paraId="36C30698" w14:textId="2ABEC48B" w:rsidR="004A4BCA" w:rsidRPr="00A2238D" w:rsidRDefault="00313C8F" w:rsidP="005C0DD3">
      <w:pPr>
        <w:widowControl/>
        <w:suppressAutoHyphens w:val="0"/>
        <w:jc w:val="left"/>
      </w:pPr>
      <w:r>
        <w:br w:type="page"/>
      </w:r>
    </w:p>
    <w:p w14:paraId="78B9844C" w14:textId="5852E45F" w:rsidR="00527873" w:rsidRDefault="00DB24F1">
      <w:pPr>
        <w:pStyle w:val="TM1"/>
        <w:tabs>
          <w:tab w:val="right" w:leader="dot" w:pos="9060"/>
        </w:tabs>
        <w:rPr>
          <w:rFonts w:asciiTheme="minorHAnsi" w:eastAsiaTheme="minorEastAsia" w:hAnsiTheme="minorHAnsi" w:cstheme="minorBidi"/>
          <w:b w:val="0"/>
          <w:bCs w:val="0"/>
          <w:caps w:val="0"/>
          <w:noProof/>
          <w:kern w:val="2"/>
          <w:sz w:val="24"/>
          <w:szCs w:val="24"/>
          <w14:ligatures w14:val="standardContextual"/>
        </w:rPr>
      </w:pPr>
      <w:r>
        <w:lastRenderedPageBreak/>
        <w:fldChar w:fldCharType="begin"/>
      </w:r>
      <w:r>
        <w:rPr>
          <w:rStyle w:val="Sautdindex"/>
        </w:rPr>
        <w:instrText>TOC \o "1-3" \h</w:instrText>
      </w:r>
      <w:r>
        <w:rPr>
          <w:rStyle w:val="Sautdindex"/>
        </w:rPr>
        <w:fldChar w:fldCharType="separate"/>
      </w:r>
      <w:hyperlink w:anchor="_Toc192771828" w:history="1">
        <w:r w:rsidR="00527873" w:rsidRPr="00E57510">
          <w:rPr>
            <w:rStyle w:val="Lienhypertexte"/>
            <w:noProof/>
          </w:rPr>
          <w:t>Convention d’occupation du domaine public pour l’exploitation des distributeurs automatiques dans les locaux de l’Université de technologie de Belfort-Montbéliard (UTBM)</w:t>
        </w:r>
        <w:r w:rsidR="00527873">
          <w:rPr>
            <w:noProof/>
          </w:rPr>
          <w:tab/>
        </w:r>
        <w:r w:rsidR="00527873">
          <w:rPr>
            <w:noProof/>
          </w:rPr>
          <w:fldChar w:fldCharType="begin"/>
        </w:r>
        <w:r w:rsidR="00527873">
          <w:rPr>
            <w:noProof/>
          </w:rPr>
          <w:instrText xml:space="preserve"> PAGEREF _Toc192771828 \h </w:instrText>
        </w:r>
        <w:r w:rsidR="00527873">
          <w:rPr>
            <w:noProof/>
          </w:rPr>
        </w:r>
        <w:r w:rsidR="00527873">
          <w:rPr>
            <w:noProof/>
          </w:rPr>
          <w:fldChar w:fldCharType="separate"/>
        </w:r>
        <w:r w:rsidR="00527873">
          <w:rPr>
            <w:noProof/>
          </w:rPr>
          <w:t>4</w:t>
        </w:r>
        <w:r w:rsidR="00527873">
          <w:rPr>
            <w:noProof/>
          </w:rPr>
          <w:fldChar w:fldCharType="end"/>
        </w:r>
      </w:hyperlink>
    </w:p>
    <w:p w14:paraId="00155591" w14:textId="0F5CB2A6"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29" w:history="1">
        <w:r w:rsidRPr="00E57510">
          <w:rPr>
            <w:rStyle w:val="Lienhypertexte"/>
            <w:noProof/>
          </w:rPr>
          <w:t>Article 1 – Contexte et objet de la convention</w:t>
        </w:r>
        <w:r>
          <w:rPr>
            <w:noProof/>
          </w:rPr>
          <w:tab/>
        </w:r>
        <w:r>
          <w:rPr>
            <w:noProof/>
          </w:rPr>
          <w:fldChar w:fldCharType="begin"/>
        </w:r>
        <w:r>
          <w:rPr>
            <w:noProof/>
          </w:rPr>
          <w:instrText xml:space="preserve"> PAGEREF _Toc192771829 \h </w:instrText>
        </w:r>
        <w:r>
          <w:rPr>
            <w:noProof/>
          </w:rPr>
        </w:r>
        <w:r>
          <w:rPr>
            <w:noProof/>
          </w:rPr>
          <w:fldChar w:fldCharType="separate"/>
        </w:r>
        <w:r>
          <w:rPr>
            <w:noProof/>
          </w:rPr>
          <w:t>4</w:t>
        </w:r>
        <w:r>
          <w:rPr>
            <w:noProof/>
          </w:rPr>
          <w:fldChar w:fldCharType="end"/>
        </w:r>
      </w:hyperlink>
    </w:p>
    <w:p w14:paraId="4D805C30" w14:textId="17C3C169"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30" w:history="1">
        <w:r w:rsidRPr="00E57510">
          <w:rPr>
            <w:rStyle w:val="Lienhypertexte"/>
            <w:noProof/>
          </w:rPr>
          <w:t>1.1 – Contexte</w:t>
        </w:r>
        <w:r>
          <w:rPr>
            <w:noProof/>
          </w:rPr>
          <w:tab/>
        </w:r>
        <w:r>
          <w:rPr>
            <w:noProof/>
          </w:rPr>
          <w:fldChar w:fldCharType="begin"/>
        </w:r>
        <w:r>
          <w:rPr>
            <w:noProof/>
          </w:rPr>
          <w:instrText xml:space="preserve"> PAGEREF _Toc192771830 \h </w:instrText>
        </w:r>
        <w:r>
          <w:rPr>
            <w:noProof/>
          </w:rPr>
        </w:r>
        <w:r>
          <w:rPr>
            <w:noProof/>
          </w:rPr>
          <w:fldChar w:fldCharType="separate"/>
        </w:r>
        <w:r>
          <w:rPr>
            <w:noProof/>
          </w:rPr>
          <w:t>5</w:t>
        </w:r>
        <w:r>
          <w:rPr>
            <w:noProof/>
          </w:rPr>
          <w:fldChar w:fldCharType="end"/>
        </w:r>
      </w:hyperlink>
    </w:p>
    <w:p w14:paraId="505D8656" w14:textId="3F171F9E"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31" w:history="1">
        <w:r w:rsidRPr="00E57510">
          <w:rPr>
            <w:rStyle w:val="Lienhypertexte"/>
            <w:noProof/>
          </w:rPr>
          <w:t>1.2 - Objet de la convention</w:t>
        </w:r>
        <w:r>
          <w:rPr>
            <w:noProof/>
          </w:rPr>
          <w:tab/>
        </w:r>
        <w:r>
          <w:rPr>
            <w:noProof/>
          </w:rPr>
          <w:fldChar w:fldCharType="begin"/>
        </w:r>
        <w:r>
          <w:rPr>
            <w:noProof/>
          </w:rPr>
          <w:instrText xml:space="preserve"> PAGEREF _Toc192771831 \h </w:instrText>
        </w:r>
        <w:r>
          <w:rPr>
            <w:noProof/>
          </w:rPr>
        </w:r>
        <w:r>
          <w:rPr>
            <w:noProof/>
          </w:rPr>
          <w:fldChar w:fldCharType="separate"/>
        </w:r>
        <w:r>
          <w:rPr>
            <w:noProof/>
          </w:rPr>
          <w:t>5</w:t>
        </w:r>
        <w:r>
          <w:rPr>
            <w:noProof/>
          </w:rPr>
          <w:fldChar w:fldCharType="end"/>
        </w:r>
      </w:hyperlink>
    </w:p>
    <w:p w14:paraId="2EF7841C" w14:textId="01E1CD2D"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32" w:history="1">
        <w:r w:rsidRPr="00E57510">
          <w:rPr>
            <w:rStyle w:val="Lienhypertexte"/>
            <w:noProof/>
          </w:rPr>
          <w:t>Article 2 - Dispositions administratives</w:t>
        </w:r>
        <w:r>
          <w:rPr>
            <w:noProof/>
          </w:rPr>
          <w:tab/>
        </w:r>
        <w:r>
          <w:rPr>
            <w:noProof/>
          </w:rPr>
          <w:fldChar w:fldCharType="begin"/>
        </w:r>
        <w:r>
          <w:rPr>
            <w:noProof/>
          </w:rPr>
          <w:instrText xml:space="preserve"> PAGEREF _Toc192771832 \h </w:instrText>
        </w:r>
        <w:r>
          <w:rPr>
            <w:noProof/>
          </w:rPr>
        </w:r>
        <w:r>
          <w:rPr>
            <w:noProof/>
          </w:rPr>
          <w:fldChar w:fldCharType="separate"/>
        </w:r>
        <w:r>
          <w:rPr>
            <w:noProof/>
          </w:rPr>
          <w:t>5</w:t>
        </w:r>
        <w:r>
          <w:rPr>
            <w:noProof/>
          </w:rPr>
          <w:fldChar w:fldCharType="end"/>
        </w:r>
      </w:hyperlink>
    </w:p>
    <w:p w14:paraId="6893EB1B" w14:textId="750B9886"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33" w:history="1">
        <w:r w:rsidRPr="00E57510">
          <w:rPr>
            <w:rStyle w:val="Lienhypertexte"/>
            <w:noProof/>
          </w:rPr>
          <w:t>2.1 - Nature de la convention</w:t>
        </w:r>
        <w:r>
          <w:rPr>
            <w:noProof/>
          </w:rPr>
          <w:tab/>
        </w:r>
        <w:r>
          <w:rPr>
            <w:noProof/>
          </w:rPr>
          <w:fldChar w:fldCharType="begin"/>
        </w:r>
        <w:r>
          <w:rPr>
            <w:noProof/>
          </w:rPr>
          <w:instrText xml:space="preserve"> PAGEREF _Toc192771833 \h </w:instrText>
        </w:r>
        <w:r>
          <w:rPr>
            <w:noProof/>
          </w:rPr>
        </w:r>
        <w:r>
          <w:rPr>
            <w:noProof/>
          </w:rPr>
          <w:fldChar w:fldCharType="separate"/>
        </w:r>
        <w:r>
          <w:rPr>
            <w:noProof/>
          </w:rPr>
          <w:t>5</w:t>
        </w:r>
        <w:r>
          <w:rPr>
            <w:noProof/>
          </w:rPr>
          <w:fldChar w:fldCharType="end"/>
        </w:r>
      </w:hyperlink>
    </w:p>
    <w:p w14:paraId="0DAF48D9" w14:textId="0A9EB230"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34" w:history="1">
        <w:r w:rsidRPr="00E57510">
          <w:rPr>
            <w:rStyle w:val="Lienhypertexte"/>
            <w:noProof/>
          </w:rPr>
          <w:t>2.2 - Durée de la convention</w:t>
        </w:r>
        <w:r>
          <w:rPr>
            <w:noProof/>
          </w:rPr>
          <w:tab/>
        </w:r>
        <w:r>
          <w:rPr>
            <w:noProof/>
          </w:rPr>
          <w:fldChar w:fldCharType="begin"/>
        </w:r>
        <w:r>
          <w:rPr>
            <w:noProof/>
          </w:rPr>
          <w:instrText xml:space="preserve"> PAGEREF _Toc192771834 \h </w:instrText>
        </w:r>
        <w:r>
          <w:rPr>
            <w:noProof/>
          </w:rPr>
        </w:r>
        <w:r>
          <w:rPr>
            <w:noProof/>
          </w:rPr>
          <w:fldChar w:fldCharType="separate"/>
        </w:r>
        <w:r>
          <w:rPr>
            <w:noProof/>
          </w:rPr>
          <w:t>5</w:t>
        </w:r>
        <w:r>
          <w:rPr>
            <w:noProof/>
          </w:rPr>
          <w:fldChar w:fldCharType="end"/>
        </w:r>
      </w:hyperlink>
    </w:p>
    <w:p w14:paraId="188A5EBD" w14:textId="7F0F7D92"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35" w:history="1">
        <w:r w:rsidRPr="00E57510">
          <w:rPr>
            <w:rStyle w:val="Lienhypertexte"/>
            <w:noProof/>
          </w:rPr>
          <w:t>2.3 - Pièces contractuelles</w:t>
        </w:r>
        <w:r>
          <w:rPr>
            <w:noProof/>
          </w:rPr>
          <w:tab/>
        </w:r>
        <w:r>
          <w:rPr>
            <w:noProof/>
          </w:rPr>
          <w:fldChar w:fldCharType="begin"/>
        </w:r>
        <w:r>
          <w:rPr>
            <w:noProof/>
          </w:rPr>
          <w:instrText xml:space="preserve"> PAGEREF _Toc192771835 \h </w:instrText>
        </w:r>
        <w:r>
          <w:rPr>
            <w:noProof/>
          </w:rPr>
        </w:r>
        <w:r>
          <w:rPr>
            <w:noProof/>
          </w:rPr>
          <w:fldChar w:fldCharType="separate"/>
        </w:r>
        <w:r>
          <w:rPr>
            <w:noProof/>
          </w:rPr>
          <w:t>5</w:t>
        </w:r>
        <w:r>
          <w:rPr>
            <w:noProof/>
          </w:rPr>
          <w:fldChar w:fldCharType="end"/>
        </w:r>
      </w:hyperlink>
    </w:p>
    <w:p w14:paraId="0F612B17" w14:textId="3595551A"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36" w:history="1">
        <w:r w:rsidRPr="00E57510">
          <w:rPr>
            <w:rStyle w:val="Lienhypertexte"/>
            <w:noProof/>
          </w:rPr>
          <w:t>Article 3 - Prestations attendues</w:t>
        </w:r>
        <w:r>
          <w:rPr>
            <w:noProof/>
          </w:rPr>
          <w:tab/>
        </w:r>
        <w:r>
          <w:rPr>
            <w:noProof/>
          </w:rPr>
          <w:fldChar w:fldCharType="begin"/>
        </w:r>
        <w:r>
          <w:rPr>
            <w:noProof/>
          </w:rPr>
          <w:instrText xml:space="preserve"> PAGEREF _Toc192771836 \h </w:instrText>
        </w:r>
        <w:r>
          <w:rPr>
            <w:noProof/>
          </w:rPr>
        </w:r>
        <w:r>
          <w:rPr>
            <w:noProof/>
          </w:rPr>
          <w:fldChar w:fldCharType="separate"/>
        </w:r>
        <w:r>
          <w:rPr>
            <w:noProof/>
          </w:rPr>
          <w:t>6</w:t>
        </w:r>
        <w:r>
          <w:rPr>
            <w:noProof/>
          </w:rPr>
          <w:fldChar w:fldCharType="end"/>
        </w:r>
      </w:hyperlink>
    </w:p>
    <w:p w14:paraId="1DBECE33" w14:textId="559FF526"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37" w:history="1">
        <w:r w:rsidRPr="00E57510">
          <w:rPr>
            <w:rStyle w:val="Lienhypertexte"/>
            <w:noProof/>
          </w:rPr>
          <w:t>3.1 - Description des locaux</w:t>
        </w:r>
        <w:r>
          <w:rPr>
            <w:noProof/>
          </w:rPr>
          <w:tab/>
        </w:r>
        <w:r>
          <w:rPr>
            <w:noProof/>
          </w:rPr>
          <w:fldChar w:fldCharType="begin"/>
        </w:r>
        <w:r>
          <w:rPr>
            <w:noProof/>
          </w:rPr>
          <w:instrText xml:space="preserve"> PAGEREF _Toc192771837 \h </w:instrText>
        </w:r>
        <w:r>
          <w:rPr>
            <w:noProof/>
          </w:rPr>
        </w:r>
        <w:r>
          <w:rPr>
            <w:noProof/>
          </w:rPr>
          <w:fldChar w:fldCharType="separate"/>
        </w:r>
        <w:r>
          <w:rPr>
            <w:noProof/>
          </w:rPr>
          <w:t>6</w:t>
        </w:r>
        <w:r>
          <w:rPr>
            <w:noProof/>
          </w:rPr>
          <w:fldChar w:fldCharType="end"/>
        </w:r>
      </w:hyperlink>
    </w:p>
    <w:p w14:paraId="3BF940E3" w14:textId="0126584D"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38" w:history="1">
        <w:r w:rsidRPr="00E57510">
          <w:rPr>
            <w:rStyle w:val="Lienhypertexte"/>
            <w:noProof/>
          </w:rPr>
          <w:t>3.2 - Emplacement des distributeurs</w:t>
        </w:r>
        <w:r>
          <w:rPr>
            <w:noProof/>
          </w:rPr>
          <w:tab/>
        </w:r>
        <w:r>
          <w:rPr>
            <w:noProof/>
          </w:rPr>
          <w:fldChar w:fldCharType="begin"/>
        </w:r>
        <w:r>
          <w:rPr>
            <w:noProof/>
          </w:rPr>
          <w:instrText xml:space="preserve"> PAGEREF _Toc192771838 \h </w:instrText>
        </w:r>
        <w:r>
          <w:rPr>
            <w:noProof/>
          </w:rPr>
        </w:r>
        <w:r>
          <w:rPr>
            <w:noProof/>
          </w:rPr>
          <w:fldChar w:fldCharType="separate"/>
        </w:r>
        <w:r>
          <w:rPr>
            <w:noProof/>
          </w:rPr>
          <w:t>6</w:t>
        </w:r>
        <w:r>
          <w:rPr>
            <w:noProof/>
          </w:rPr>
          <w:fldChar w:fldCharType="end"/>
        </w:r>
      </w:hyperlink>
    </w:p>
    <w:p w14:paraId="643B0D71" w14:textId="179A9166"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39" w:history="1">
        <w:r w:rsidRPr="00E57510">
          <w:rPr>
            <w:rStyle w:val="Lienhypertexte"/>
            <w:noProof/>
          </w:rPr>
          <w:t>3.3 – Clientèle</w:t>
        </w:r>
        <w:r>
          <w:rPr>
            <w:noProof/>
          </w:rPr>
          <w:tab/>
        </w:r>
        <w:r>
          <w:rPr>
            <w:noProof/>
          </w:rPr>
          <w:fldChar w:fldCharType="begin"/>
        </w:r>
        <w:r>
          <w:rPr>
            <w:noProof/>
          </w:rPr>
          <w:instrText xml:space="preserve"> PAGEREF _Toc192771839 \h </w:instrText>
        </w:r>
        <w:r>
          <w:rPr>
            <w:noProof/>
          </w:rPr>
        </w:r>
        <w:r>
          <w:rPr>
            <w:noProof/>
          </w:rPr>
          <w:fldChar w:fldCharType="separate"/>
        </w:r>
        <w:r>
          <w:rPr>
            <w:noProof/>
          </w:rPr>
          <w:t>7</w:t>
        </w:r>
        <w:r>
          <w:rPr>
            <w:noProof/>
          </w:rPr>
          <w:fldChar w:fldCharType="end"/>
        </w:r>
      </w:hyperlink>
    </w:p>
    <w:p w14:paraId="487FA51B" w14:textId="3125FF26"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40" w:history="1">
        <w:r w:rsidRPr="00E57510">
          <w:rPr>
            <w:rStyle w:val="Lienhypertexte"/>
            <w:noProof/>
          </w:rPr>
          <w:t>3.4 - Moyens de paiement</w:t>
        </w:r>
        <w:r>
          <w:rPr>
            <w:noProof/>
          </w:rPr>
          <w:tab/>
        </w:r>
        <w:r>
          <w:rPr>
            <w:noProof/>
          </w:rPr>
          <w:fldChar w:fldCharType="begin"/>
        </w:r>
        <w:r>
          <w:rPr>
            <w:noProof/>
          </w:rPr>
          <w:instrText xml:space="preserve"> PAGEREF _Toc192771840 \h </w:instrText>
        </w:r>
        <w:r>
          <w:rPr>
            <w:noProof/>
          </w:rPr>
        </w:r>
        <w:r>
          <w:rPr>
            <w:noProof/>
          </w:rPr>
          <w:fldChar w:fldCharType="separate"/>
        </w:r>
        <w:r>
          <w:rPr>
            <w:noProof/>
          </w:rPr>
          <w:t>7</w:t>
        </w:r>
        <w:r>
          <w:rPr>
            <w:noProof/>
          </w:rPr>
          <w:fldChar w:fldCharType="end"/>
        </w:r>
      </w:hyperlink>
    </w:p>
    <w:p w14:paraId="63EDDCB7" w14:textId="36F2F8CC"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41" w:history="1">
        <w:r w:rsidRPr="00E57510">
          <w:rPr>
            <w:rStyle w:val="Lienhypertexte"/>
            <w:noProof/>
          </w:rPr>
          <w:t>3.5 - Accessibilité</w:t>
        </w:r>
        <w:r>
          <w:rPr>
            <w:noProof/>
          </w:rPr>
          <w:tab/>
        </w:r>
        <w:r>
          <w:rPr>
            <w:noProof/>
          </w:rPr>
          <w:fldChar w:fldCharType="begin"/>
        </w:r>
        <w:r>
          <w:rPr>
            <w:noProof/>
          </w:rPr>
          <w:instrText xml:space="preserve"> PAGEREF _Toc192771841 \h </w:instrText>
        </w:r>
        <w:r>
          <w:rPr>
            <w:noProof/>
          </w:rPr>
        </w:r>
        <w:r>
          <w:rPr>
            <w:noProof/>
          </w:rPr>
          <w:fldChar w:fldCharType="separate"/>
        </w:r>
        <w:r>
          <w:rPr>
            <w:noProof/>
          </w:rPr>
          <w:t>7</w:t>
        </w:r>
        <w:r>
          <w:rPr>
            <w:noProof/>
          </w:rPr>
          <w:fldChar w:fldCharType="end"/>
        </w:r>
      </w:hyperlink>
    </w:p>
    <w:p w14:paraId="37394581" w14:textId="1895217E"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42" w:history="1">
        <w:r w:rsidRPr="00E57510">
          <w:rPr>
            <w:rStyle w:val="Lienhypertexte"/>
            <w:noProof/>
          </w:rPr>
          <w:t>3.6 - Développement durable</w:t>
        </w:r>
        <w:r>
          <w:rPr>
            <w:noProof/>
          </w:rPr>
          <w:tab/>
        </w:r>
        <w:r>
          <w:rPr>
            <w:noProof/>
          </w:rPr>
          <w:fldChar w:fldCharType="begin"/>
        </w:r>
        <w:r>
          <w:rPr>
            <w:noProof/>
          </w:rPr>
          <w:instrText xml:space="preserve"> PAGEREF _Toc192771842 \h </w:instrText>
        </w:r>
        <w:r>
          <w:rPr>
            <w:noProof/>
          </w:rPr>
        </w:r>
        <w:r>
          <w:rPr>
            <w:noProof/>
          </w:rPr>
          <w:fldChar w:fldCharType="separate"/>
        </w:r>
        <w:r>
          <w:rPr>
            <w:noProof/>
          </w:rPr>
          <w:t>7</w:t>
        </w:r>
        <w:r>
          <w:rPr>
            <w:noProof/>
          </w:rPr>
          <w:fldChar w:fldCharType="end"/>
        </w:r>
      </w:hyperlink>
    </w:p>
    <w:p w14:paraId="2B2C245B" w14:textId="5CA9CB00"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43" w:history="1">
        <w:r w:rsidRPr="00E57510">
          <w:rPr>
            <w:rStyle w:val="Lienhypertexte"/>
            <w:noProof/>
          </w:rPr>
          <w:t>Article 4 - Conditions d’exploitation</w:t>
        </w:r>
        <w:r>
          <w:rPr>
            <w:noProof/>
          </w:rPr>
          <w:tab/>
        </w:r>
        <w:r>
          <w:rPr>
            <w:noProof/>
          </w:rPr>
          <w:fldChar w:fldCharType="begin"/>
        </w:r>
        <w:r>
          <w:rPr>
            <w:noProof/>
          </w:rPr>
          <w:instrText xml:space="preserve"> PAGEREF _Toc192771843 \h </w:instrText>
        </w:r>
        <w:r>
          <w:rPr>
            <w:noProof/>
          </w:rPr>
        </w:r>
        <w:r>
          <w:rPr>
            <w:noProof/>
          </w:rPr>
          <w:fldChar w:fldCharType="separate"/>
        </w:r>
        <w:r>
          <w:rPr>
            <w:noProof/>
          </w:rPr>
          <w:t>7</w:t>
        </w:r>
        <w:r>
          <w:rPr>
            <w:noProof/>
          </w:rPr>
          <w:fldChar w:fldCharType="end"/>
        </w:r>
      </w:hyperlink>
    </w:p>
    <w:p w14:paraId="577B7D44" w14:textId="6972FD17"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44" w:history="1">
        <w:r w:rsidRPr="00E57510">
          <w:rPr>
            <w:rStyle w:val="Lienhypertexte"/>
            <w:noProof/>
          </w:rPr>
          <w:t>4.1 - Installation des distributeurs</w:t>
        </w:r>
        <w:r>
          <w:rPr>
            <w:noProof/>
          </w:rPr>
          <w:tab/>
        </w:r>
        <w:r>
          <w:rPr>
            <w:noProof/>
          </w:rPr>
          <w:fldChar w:fldCharType="begin"/>
        </w:r>
        <w:r>
          <w:rPr>
            <w:noProof/>
          </w:rPr>
          <w:instrText xml:space="preserve"> PAGEREF _Toc192771844 \h </w:instrText>
        </w:r>
        <w:r>
          <w:rPr>
            <w:noProof/>
          </w:rPr>
        </w:r>
        <w:r>
          <w:rPr>
            <w:noProof/>
          </w:rPr>
          <w:fldChar w:fldCharType="separate"/>
        </w:r>
        <w:r>
          <w:rPr>
            <w:noProof/>
          </w:rPr>
          <w:t>7</w:t>
        </w:r>
        <w:r>
          <w:rPr>
            <w:noProof/>
          </w:rPr>
          <w:fldChar w:fldCharType="end"/>
        </w:r>
      </w:hyperlink>
    </w:p>
    <w:p w14:paraId="37817B1C" w14:textId="551D53A1"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45" w:history="1">
        <w:r w:rsidRPr="00E57510">
          <w:rPr>
            <w:rStyle w:val="Lienhypertexte"/>
            <w:noProof/>
          </w:rPr>
          <w:t>4.2 - Approvisionnement &amp; Réassort</w:t>
        </w:r>
        <w:r>
          <w:rPr>
            <w:noProof/>
          </w:rPr>
          <w:tab/>
        </w:r>
        <w:r>
          <w:rPr>
            <w:noProof/>
          </w:rPr>
          <w:fldChar w:fldCharType="begin"/>
        </w:r>
        <w:r>
          <w:rPr>
            <w:noProof/>
          </w:rPr>
          <w:instrText xml:space="preserve"> PAGEREF _Toc192771845 \h </w:instrText>
        </w:r>
        <w:r>
          <w:rPr>
            <w:noProof/>
          </w:rPr>
        </w:r>
        <w:r>
          <w:rPr>
            <w:noProof/>
          </w:rPr>
          <w:fldChar w:fldCharType="separate"/>
        </w:r>
        <w:r>
          <w:rPr>
            <w:noProof/>
          </w:rPr>
          <w:t>8</w:t>
        </w:r>
        <w:r>
          <w:rPr>
            <w:noProof/>
          </w:rPr>
          <w:fldChar w:fldCharType="end"/>
        </w:r>
      </w:hyperlink>
    </w:p>
    <w:p w14:paraId="7D5CC01A" w14:textId="79D990B9"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46" w:history="1">
        <w:r w:rsidRPr="00E57510">
          <w:rPr>
            <w:rStyle w:val="Lienhypertexte"/>
            <w:noProof/>
          </w:rPr>
          <w:t>4.3 - Entretien et maintenance</w:t>
        </w:r>
        <w:r>
          <w:rPr>
            <w:noProof/>
          </w:rPr>
          <w:tab/>
        </w:r>
        <w:r>
          <w:rPr>
            <w:noProof/>
          </w:rPr>
          <w:fldChar w:fldCharType="begin"/>
        </w:r>
        <w:r>
          <w:rPr>
            <w:noProof/>
          </w:rPr>
          <w:instrText xml:space="preserve"> PAGEREF _Toc192771846 \h </w:instrText>
        </w:r>
        <w:r>
          <w:rPr>
            <w:noProof/>
          </w:rPr>
        </w:r>
        <w:r>
          <w:rPr>
            <w:noProof/>
          </w:rPr>
          <w:fldChar w:fldCharType="separate"/>
        </w:r>
        <w:r>
          <w:rPr>
            <w:noProof/>
          </w:rPr>
          <w:t>8</w:t>
        </w:r>
        <w:r>
          <w:rPr>
            <w:noProof/>
          </w:rPr>
          <w:fldChar w:fldCharType="end"/>
        </w:r>
      </w:hyperlink>
    </w:p>
    <w:p w14:paraId="6A42AAF7" w14:textId="76EDD095"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47" w:history="1">
        <w:r w:rsidRPr="00E57510">
          <w:rPr>
            <w:rStyle w:val="Lienhypertexte"/>
            <w:noProof/>
          </w:rPr>
          <w:t>4.4 - Hygiène et sécurité</w:t>
        </w:r>
        <w:r>
          <w:rPr>
            <w:noProof/>
          </w:rPr>
          <w:tab/>
        </w:r>
        <w:r>
          <w:rPr>
            <w:noProof/>
          </w:rPr>
          <w:fldChar w:fldCharType="begin"/>
        </w:r>
        <w:r>
          <w:rPr>
            <w:noProof/>
          </w:rPr>
          <w:instrText xml:space="preserve"> PAGEREF _Toc192771847 \h </w:instrText>
        </w:r>
        <w:r>
          <w:rPr>
            <w:noProof/>
          </w:rPr>
        </w:r>
        <w:r>
          <w:rPr>
            <w:noProof/>
          </w:rPr>
          <w:fldChar w:fldCharType="separate"/>
        </w:r>
        <w:r>
          <w:rPr>
            <w:noProof/>
          </w:rPr>
          <w:t>8</w:t>
        </w:r>
        <w:r>
          <w:rPr>
            <w:noProof/>
          </w:rPr>
          <w:fldChar w:fldCharType="end"/>
        </w:r>
      </w:hyperlink>
    </w:p>
    <w:p w14:paraId="1AA5B9F2" w14:textId="14FD907A"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48" w:history="1">
        <w:r w:rsidRPr="00E57510">
          <w:rPr>
            <w:rStyle w:val="Lienhypertexte"/>
            <w:noProof/>
          </w:rPr>
          <w:t>4.5 - Période d’exploitation</w:t>
        </w:r>
        <w:r>
          <w:rPr>
            <w:noProof/>
          </w:rPr>
          <w:tab/>
        </w:r>
        <w:r>
          <w:rPr>
            <w:noProof/>
          </w:rPr>
          <w:fldChar w:fldCharType="begin"/>
        </w:r>
        <w:r>
          <w:rPr>
            <w:noProof/>
          </w:rPr>
          <w:instrText xml:space="preserve"> PAGEREF _Toc192771848 \h </w:instrText>
        </w:r>
        <w:r>
          <w:rPr>
            <w:noProof/>
          </w:rPr>
        </w:r>
        <w:r>
          <w:rPr>
            <w:noProof/>
          </w:rPr>
          <w:fldChar w:fldCharType="separate"/>
        </w:r>
        <w:r>
          <w:rPr>
            <w:noProof/>
          </w:rPr>
          <w:t>8</w:t>
        </w:r>
        <w:r>
          <w:rPr>
            <w:noProof/>
          </w:rPr>
          <w:fldChar w:fldCharType="end"/>
        </w:r>
      </w:hyperlink>
    </w:p>
    <w:p w14:paraId="62DB4830" w14:textId="5C5CB304"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49" w:history="1">
        <w:r w:rsidRPr="00E57510">
          <w:rPr>
            <w:rStyle w:val="Lienhypertexte"/>
            <w:noProof/>
          </w:rPr>
          <w:t>4.6 - Incident</w:t>
        </w:r>
        <w:r>
          <w:rPr>
            <w:noProof/>
          </w:rPr>
          <w:tab/>
        </w:r>
        <w:r>
          <w:rPr>
            <w:noProof/>
          </w:rPr>
          <w:fldChar w:fldCharType="begin"/>
        </w:r>
        <w:r>
          <w:rPr>
            <w:noProof/>
          </w:rPr>
          <w:instrText xml:space="preserve"> PAGEREF _Toc192771849 \h </w:instrText>
        </w:r>
        <w:r>
          <w:rPr>
            <w:noProof/>
          </w:rPr>
        </w:r>
        <w:r>
          <w:rPr>
            <w:noProof/>
          </w:rPr>
          <w:fldChar w:fldCharType="separate"/>
        </w:r>
        <w:r>
          <w:rPr>
            <w:noProof/>
          </w:rPr>
          <w:t>9</w:t>
        </w:r>
        <w:r>
          <w:rPr>
            <w:noProof/>
          </w:rPr>
          <w:fldChar w:fldCharType="end"/>
        </w:r>
      </w:hyperlink>
    </w:p>
    <w:p w14:paraId="116D3A06" w14:textId="0EBFF6A3"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50" w:history="1">
        <w:r w:rsidRPr="00E57510">
          <w:rPr>
            <w:rStyle w:val="Lienhypertexte"/>
            <w:noProof/>
          </w:rPr>
          <w:t>4.7 - Restitution des locaux</w:t>
        </w:r>
        <w:r>
          <w:rPr>
            <w:noProof/>
          </w:rPr>
          <w:tab/>
        </w:r>
        <w:r>
          <w:rPr>
            <w:noProof/>
          </w:rPr>
          <w:fldChar w:fldCharType="begin"/>
        </w:r>
        <w:r>
          <w:rPr>
            <w:noProof/>
          </w:rPr>
          <w:instrText xml:space="preserve"> PAGEREF _Toc192771850 \h </w:instrText>
        </w:r>
        <w:r>
          <w:rPr>
            <w:noProof/>
          </w:rPr>
        </w:r>
        <w:r>
          <w:rPr>
            <w:noProof/>
          </w:rPr>
          <w:fldChar w:fldCharType="separate"/>
        </w:r>
        <w:r>
          <w:rPr>
            <w:noProof/>
          </w:rPr>
          <w:t>9</w:t>
        </w:r>
        <w:r>
          <w:rPr>
            <w:noProof/>
          </w:rPr>
          <w:fldChar w:fldCharType="end"/>
        </w:r>
      </w:hyperlink>
    </w:p>
    <w:p w14:paraId="2657B0D4" w14:textId="2E7A9484"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51" w:history="1">
        <w:r w:rsidRPr="00E57510">
          <w:rPr>
            <w:rStyle w:val="Lienhypertexte"/>
            <w:noProof/>
          </w:rPr>
          <w:t>Article 5 - Dispositions techniques</w:t>
        </w:r>
        <w:r>
          <w:rPr>
            <w:noProof/>
          </w:rPr>
          <w:tab/>
        </w:r>
        <w:r>
          <w:rPr>
            <w:noProof/>
          </w:rPr>
          <w:fldChar w:fldCharType="begin"/>
        </w:r>
        <w:r>
          <w:rPr>
            <w:noProof/>
          </w:rPr>
          <w:instrText xml:space="preserve"> PAGEREF _Toc192771851 \h </w:instrText>
        </w:r>
        <w:r>
          <w:rPr>
            <w:noProof/>
          </w:rPr>
        </w:r>
        <w:r>
          <w:rPr>
            <w:noProof/>
          </w:rPr>
          <w:fldChar w:fldCharType="separate"/>
        </w:r>
        <w:r>
          <w:rPr>
            <w:noProof/>
          </w:rPr>
          <w:t>10</w:t>
        </w:r>
        <w:r>
          <w:rPr>
            <w:noProof/>
          </w:rPr>
          <w:fldChar w:fldCharType="end"/>
        </w:r>
      </w:hyperlink>
    </w:p>
    <w:p w14:paraId="0D2774C8" w14:textId="70184B7D"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52" w:history="1">
        <w:r w:rsidRPr="00E57510">
          <w:rPr>
            <w:rStyle w:val="Lienhypertexte"/>
            <w:noProof/>
          </w:rPr>
          <w:t>5.1 – Etat et conformité des appareils</w:t>
        </w:r>
        <w:r>
          <w:rPr>
            <w:noProof/>
          </w:rPr>
          <w:tab/>
        </w:r>
        <w:r>
          <w:rPr>
            <w:noProof/>
          </w:rPr>
          <w:fldChar w:fldCharType="begin"/>
        </w:r>
        <w:r>
          <w:rPr>
            <w:noProof/>
          </w:rPr>
          <w:instrText xml:space="preserve"> PAGEREF _Toc192771852 \h </w:instrText>
        </w:r>
        <w:r>
          <w:rPr>
            <w:noProof/>
          </w:rPr>
        </w:r>
        <w:r>
          <w:rPr>
            <w:noProof/>
          </w:rPr>
          <w:fldChar w:fldCharType="separate"/>
        </w:r>
        <w:r>
          <w:rPr>
            <w:noProof/>
          </w:rPr>
          <w:t>10</w:t>
        </w:r>
        <w:r>
          <w:rPr>
            <w:noProof/>
          </w:rPr>
          <w:fldChar w:fldCharType="end"/>
        </w:r>
      </w:hyperlink>
    </w:p>
    <w:p w14:paraId="3DB7E63C" w14:textId="42428634"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53" w:history="1">
        <w:r w:rsidRPr="00E57510">
          <w:rPr>
            <w:rStyle w:val="Lienhypertexte"/>
            <w:noProof/>
          </w:rPr>
          <w:t>5.2 - Distributeurs souhaités</w:t>
        </w:r>
        <w:r>
          <w:rPr>
            <w:noProof/>
          </w:rPr>
          <w:tab/>
        </w:r>
        <w:r>
          <w:rPr>
            <w:noProof/>
          </w:rPr>
          <w:fldChar w:fldCharType="begin"/>
        </w:r>
        <w:r>
          <w:rPr>
            <w:noProof/>
          </w:rPr>
          <w:instrText xml:space="preserve"> PAGEREF _Toc192771853 \h </w:instrText>
        </w:r>
        <w:r>
          <w:rPr>
            <w:noProof/>
          </w:rPr>
        </w:r>
        <w:r>
          <w:rPr>
            <w:noProof/>
          </w:rPr>
          <w:fldChar w:fldCharType="separate"/>
        </w:r>
        <w:r>
          <w:rPr>
            <w:noProof/>
          </w:rPr>
          <w:t>10</w:t>
        </w:r>
        <w:r>
          <w:rPr>
            <w:noProof/>
          </w:rPr>
          <w:fldChar w:fldCharType="end"/>
        </w:r>
      </w:hyperlink>
    </w:p>
    <w:p w14:paraId="530873DF" w14:textId="36659B21"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54" w:history="1">
        <w:r w:rsidRPr="00E57510">
          <w:rPr>
            <w:rStyle w:val="Lienhypertexte"/>
            <w:noProof/>
          </w:rPr>
          <w:t>5.3 - Caractéristiques des appareils</w:t>
        </w:r>
        <w:r>
          <w:rPr>
            <w:noProof/>
          </w:rPr>
          <w:tab/>
        </w:r>
        <w:r>
          <w:rPr>
            <w:noProof/>
          </w:rPr>
          <w:fldChar w:fldCharType="begin"/>
        </w:r>
        <w:r>
          <w:rPr>
            <w:noProof/>
          </w:rPr>
          <w:instrText xml:space="preserve"> PAGEREF _Toc192771854 \h </w:instrText>
        </w:r>
        <w:r>
          <w:rPr>
            <w:noProof/>
          </w:rPr>
        </w:r>
        <w:r>
          <w:rPr>
            <w:noProof/>
          </w:rPr>
          <w:fldChar w:fldCharType="separate"/>
        </w:r>
        <w:r>
          <w:rPr>
            <w:noProof/>
          </w:rPr>
          <w:t>10</w:t>
        </w:r>
        <w:r>
          <w:rPr>
            <w:noProof/>
          </w:rPr>
          <w:fldChar w:fldCharType="end"/>
        </w:r>
      </w:hyperlink>
    </w:p>
    <w:p w14:paraId="06521752" w14:textId="4D6BA887"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55" w:history="1">
        <w:r w:rsidRPr="00E57510">
          <w:rPr>
            <w:rStyle w:val="Lienhypertexte"/>
            <w:noProof/>
          </w:rPr>
          <w:t>5.4 - Produits proposés</w:t>
        </w:r>
        <w:r>
          <w:rPr>
            <w:noProof/>
          </w:rPr>
          <w:tab/>
        </w:r>
        <w:r>
          <w:rPr>
            <w:noProof/>
          </w:rPr>
          <w:fldChar w:fldCharType="begin"/>
        </w:r>
        <w:r>
          <w:rPr>
            <w:noProof/>
          </w:rPr>
          <w:instrText xml:space="preserve"> PAGEREF _Toc192771855 \h </w:instrText>
        </w:r>
        <w:r>
          <w:rPr>
            <w:noProof/>
          </w:rPr>
        </w:r>
        <w:r>
          <w:rPr>
            <w:noProof/>
          </w:rPr>
          <w:fldChar w:fldCharType="separate"/>
        </w:r>
        <w:r>
          <w:rPr>
            <w:noProof/>
          </w:rPr>
          <w:t>11</w:t>
        </w:r>
        <w:r>
          <w:rPr>
            <w:noProof/>
          </w:rPr>
          <w:fldChar w:fldCharType="end"/>
        </w:r>
      </w:hyperlink>
    </w:p>
    <w:p w14:paraId="16554815" w14:textId="64E64C23"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56" w:history="1">
        <w:r w:rsidRPr="00E57510">
          <w:rPr>
            <w:rStyle w:val="Lienhypertexte"/>
            <w:noProof/>
          </w:rPr>
          <w:t>5.5 - Conservation des produits</w:t>
        </w:r>
        <w:r>
          <w:rPr>
            <w:noProof/>
          </w:rPr>
          <w:tab/>
        </w:r>
        <w:r>
          <w:rPr>
            <w:noProof/>
          </w:rPr>
          <w:fldChar w:fldCharType="begin"/>
        </w:r>
        <w:r>
          <w:rPr>
            <w:noProof/>
          </w:rPr>
          <w:instrText xml:space="preserve"> PAGEREF _Toc192771856 \h </w:instrText>
        </w:r>
        <w:r>
          <w:rPr>
            <w:noProof/>
          </w:rPr>
        </w:r>
        <w:r>
          <w:rPr>
            <w:noProof/>
          </w:rPr>
          <w:fldChar w:fldCharType="separate"/>
        </w:r>
        <w:r>
          <w:rPr>
            <w:noProof/>
          </w:rPr>
          <w:t>12</w:t>
        </w:r>
        <w:r>
          <w:rPr>
            <w:noProof/>
          </w:rPr>
          <w:fldChar w:fldCharType="end"/>
        </w:r>
      </w:hyperlink>
    </w:p>
    <w:p w14:paraId="60BB164F" w14:textId="7356C246"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57" w:history="1">
        <w:r w:rsidRPr="00E57510">
          <w:rPr>
            <w:rStyle w:val="Lienhypertexte"/>
            <w:noProof/>
          </w:rPr>
          <w:t>5.6 - Actions liées au développement durable</w:t>
        </w:r>
        <w:r>
          <w:rPr>
            <w:noProof/>
          </w:rPr>
          <w:tab/>
        </w:r>
        <w:r>
          <w:rPr>
            <w:noProof/>
          </w:rPr>
          <w:fldChar w:fldCharType="begin"/>
        </w:r>
        <w:r>
          <w:rPr>
            <w:noProof/>
          </w:rPr>
          <w:instrText xml:space="preserve"> PAGEREF _Toc192771857 \h </w:instrText>
        </w:r>
        <w:r>
          <w:rPr>
            <w:noProof/>
          </w:rPr>
        </w:r>
        <w:r>
          <w:rPr>
            <w:noProof/>
          </w:rPr>
          <w:fldChar w:fldCharType="separate"/>
        </w:r>
        <w:r>
          <w:rPr>
            <w:noProof/>
          </w:rPr>
          <w:t>12</w:t>
        </w:r>
        <w:r>
          <w:rPr>
            <w:noProof/>
          </w:rPr>
          <w:fldChar w:fldCharType="end"/>
        </w:r>
      </w:hyperlink>
    </w:p>
    <w:p w14:paraId="0453B5E3" w14:textId="577B7B48"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58" w:history="1">
        <w:r w:rsidRPr="00E57510">
          <w:rPr>
            <w:rStyle w:val="Lienhypertexte"/>
            <w:noProof/>
          </w:rPr>
          <w:t>Article 6 - Suivi d’exécution</w:t>
        </w:r>
        <w:r>
          <w:rPr>
            <w:noProof/>
          </w:rPr>
          <w:tab/>
        </w:r>
        <w:r>
          <w:rPr>
            <w:noProof/>
          </w:rPr>
          <w:fldChar w:fldCharType="begin"/>
        </w:r>
        <w:r>
          <w:rPr>
            <w:noProof/>
          </w:rPr>
          <w:instrText xml:space="preserve"> PAGEREF _Toc192771858 \h </w:instrText>
        </w:r>
        <w:r>
          <w:rPr>
            <w:noProof/>
          </w:rPr>
        </w:r>
        <w:r>
          <w:rPr>
            <w:noProof/>
          </w:rPr>
          <w:fldChar w:fldCharType="separate"/>
        </w:r>
        <w:r>
          <w:rPr>
            <w:noProof/>
          </w:rPr>
          <w:t>13</w:t>
        </w:r>
        <w:r>
          <w:rPr>
            <w:noProof/>
          </w:rPr>
          <w:fldChar w:fldCharType="end"/>
        </w:r>
      </w:hyperlink>
    </w:p>
    <w:p w14:paraId="1A756922" w14:textId="52313D81"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59" w:history="1">
        <w:r w:rsidRPr="00E57510">
          <w:rPr>
            <w:rStyle w:val="Lienhypertexte"/>
            <w:noProof/>
          </w:rPr>
          <w:t>6.1 – Interlocuteurs</w:t>
        </w:r>
        <w:r>
          <w:rPr>
            <w:noProof/>
          </w:rPr>
          <w:tab/>
        </w:r>
        <w:r>
          <w:rPr>
            <w:noProof/>
          </w:rPr>
          <w:fldChar w:fldCharType="begin"/>
        </w:r>
        <w:r>
          <w:rPr>
            <w:noProof/>
          </w:rPr>
          <w:instrText xml:space="preserve"> PAGEREF _Toc192771859 \h </w:instrText>
        </w:r>
        <w:r>
          <w:rPr>
            <w:noProof/>
          </w:rPr>
        </w:r>
        <w:r>
          <w:rPr>
            <w:noProof/>
          </w:rPr>
          <w:fldChar w:fldCharType="separate"/>
        </w:r>
        <w:r>
          <w:rPr>
            <w:noProof/>
          </w:rPr>
          <w:t>13</w:t>
        </w:r>
        <w:r>
          <w:rPr>
            <w:noProof/>
          </w:rPr>
          <w:fldChar w:fldCharType="end"/>
        </w:r>
      </w:hyperlink>
    </w:p>
    <w:p w14:paraId="254F0283" w14:textId="1208F134"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60" w:history="1">
        <w:r w:rsidRPr="00E57510">
          <w:rPr>
            <w:rStyle w:val="Lienhypertexte"/>
            <w:noProof/>
          </w:rPr>
          <w:t>6.2 - Mise à disposition d’un service client</w:t>
        </w:r>
        <w:r>
          <w:rPr>
            <w:noProof/>
          </w:rPr>
          <w:tab/>
        </w:r>
        <w:r>
          <w:rPr>
            <w:noProof/>
          </w:rPr>
          <w:fldChar w:fldCharType="begin"/>
        </w:r>
        <w:r>
          <w:rPr>
            <w:noProof/>
          </w:rPr>
          <w:instrText xml:space="preserve"> PAGEREF _Toc192771860 \h </w:instrText>
        </w:r>
        <w:r>
          <w:rPr>
            <w:noProof/>
          </w:rPr>
        </w:r>
        <w:r>
          <w:rPr>
            <w:noProof/>
          </w:rPr>
          <w:fldChar w:fldCharType="separate"/>
        </w:r>
        <w:r>
          <w:rPr>
            <w:noProof/>
          </w:rPr>
          <w:t>13</w:t>
        </w:r>
        <w:r>
          <w:rPr>
            <w:noProof/>
          </w:rPr>
          <w:fldChar w:fldCharType="end"/>
        </w:r>
      </w:hyperlink>
    </w:p>
    <w:p w14:paraId="6320282A" w14:textId="3C659EB3"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61" w:history="1">
        <w:r w:rsidRPr="00E57510">
          <w:rPr>
            <w:rStyle w:val="Lienhypertexte"/>
            <w:noProof/>
          </w:rPr>
          <w:t>6.3 - Contrôles et suivi</w:t>
        </w:r>
        <w:r>
          <w:rPr>
            <w:noProof/>
          </w:rPr>
          <w:tab/>
        </w:r>
        <w:r>
          <w:rPr>
            <w:noProof/>
          </w:rPr>
          <w:fldChar w:fldCharType="begin"/>
        </w:r>
        <w:r>
          <w:rPr>
            <w:noProof/>
          </w:rPr>
          <w:instrText xml:space="preserve"> PAGEREF _Toc192771861 \h </w:instrText>
        </w:r>
        <w:r>
          <w:rPr>
            <w:noProof/>
          </w:rPr>
        </w:r>
        <w:r>
          <w:rPr>
            <w:noProof/>
          </w:rPr>
          <w:fldChar w:fldCharType="separate"/>
        </w:r>
        <w:r>
          <w:rPr>
            <w:noProof/>
          </w:rPr>
          <w:t>13</w:t>
        </w:r>
        <w:r>
          <w:rPr>
            <w:noProof/>
          </w:rPr>
          <w:fldChar w:fldCharType="end"/>
        </w:r>
      </w:hyperlink>
    </w:p>
    <w:p w14:paraId="63B1C586" w14:textId="09FA9829"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62" w:history="1">
        <w:r w:rsidRPr="00E57510">
          <w:rPr>
            <w:rStyle w:val="Lienhypertexte"/>
            <w:noProof/>
          </w:rPr>
          <w:t>6.4 - Reporting</w:t>
        </w:r>
        <w:r>
          <w:rPr>
            <w:noProof/>
          </w:rPr>
          <w:tab/>
        </w:r>
        <w:r>
          <w:rPr>
            <w:noProof/>
          </w:rPr>
          <w:fldChar w:fldCharType="begin"/>
        </w:r>
        <w:r>
          <w:rPr>
            <w:noProof/>
          </w:rPr>
          <w:instrText xml:space="preserve"> PAGEREF _Toc192771862 \h </w:instrText>
        </w:r>
        <w:r>
          <w:rPr>
            <w:noProof/>
          </w:rPr>
        </w:r>
        <w:r>
          <w:rPr>
            <w:noProof/>
          </w:rPr>
          <w:fldChar w:fldCharType="separate"/>
        </w:r>
        <w:r>
          <w:rPr>
            <w:noProof/>
          </w:rPr>
          <w:t>14</w:t>
        </w:r>
        <w:r>
          <w:rPr>
            <w:noProof/>
          </w:rPr>
          <w:fldChar w:fldCharType="end"/>
        </w:r>
      </w:hyperlink>
    </w:p>
    <w:p w14:paraId="35F37F98" w14:textId="4E80A67F"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63" w:history="1">
        <w:r w:rsidRPr="00E57510">
          <w:rPr>
            <w:rStyle w:val="Lienhypertexte"/>
            <w:noProof/>
          </w:rPr>
          <w:t>6.5 - Services liés aux potentiels problématiques</w:t>
        </w:r>
        <w:r>
          <w:rPr>
            <w:noProof/>
          </w:rPr>
          <w:tab/>
        </w:r>
        <w:r>
          <w:rPr>
            <w:noProof/>
          </w:rPr>
          <w:fldChar w:fldCharType="begin"/>
        </w:r>
        <w:r>
          <w:rPr>
            <w:noProof/>
          </w:rPr>
          <w:instrText xml:space="preserve"> PAGEREF _Toc192771863 \h </w:instrText>
        </w:r>
        <w:r>
          <w:rPr>
            <w:noProof/>
          </w:rPr>
        </w:r>
        <w:r>
          <w:rPr>
            <w:noProof/>
          </w:rPr>
          <w:fldChar w:fldCharType="separate"/>
        </w:r>
        <w:r>
          <w:rPr>
            <w:noProof/>
          </w:rPr>
          <w:t>14</w:t>
        </w:r>
        <w:r>
          <w:rPr>
            <w:noProof/>
          </w:rPr>
          <w:fldChar w:fldCharType="end"/>
        </w:r>
      </w:hyperlink>
    </w:p>
    <w:p w14:paraId="5972C2DC" w14:textId="7F9E0208"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64" w:history="1">
        <w:r w:rsidRPr="00E57510">
          <w:rPr>
            <w:rStyle w:val="Lienhypertexte"/>
            <w:noProof/>
          </w:rPr>
          <w:t>Article 7 - Conditions financières</w:t>
        </w:r>
        <w:r>
          <w:rPr>
            <w:noProof/>
          </w:rPr>
          <w:tab/>
        </w:r>
        <w:r>
          <w:rPr>
            <w:noProof/>
          </w:rPr>
          <w:fldChar w:fldCharType="begin"/>
        </w:r>
        <w:r>
          <w:rPr>
            <w:noProof/>
          </w:rPr>
          <w:instrText xml:space="preserve"> PAGEREF _Toc192771864 \h </w:instrText>
        </w:r>
        <w:r>
          <w:rPr>
            <w:noProof/>
          </w:rPr>
        </w:r>
        <w:r>
          <w:rPr>
            <w:noProof/>
          </w:rPr>
          <w:fldChar w:fldCharType="separate"/>
        </w:r>
        <w:r>
          <w:rPr>
            <w:noProof/>
          </w:rPr>
          <w:t>14</w:t>
        </w:r>
        <w:r>
          <w:rPr>
            <w:noProof/>
          </w:rPr>
          <w:fldChar w:fldCharType="end"/>
        </w:r>
      </w:hyperlink>
    </w:p>
    <w:p w14:paraId="22AA4731" w14:textId="086D2644"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65" w:history="1">
        <w:r w:rsidRPr="00E57510">
          <w:rPr>
            <w:rStyle w:val="Lienhypertexte"/>
            <w:noProof/>
          </w:rPr>
          <w:t>7.1 - Redevance fixe d’occupation</w:t>
        </w:r>
        <w:r>
          <w:rPr>
            <w:noProof/>
          </w:rPr>
          <w:tab/>
        </w:r>
        <w:r>
          <w:rPr>
            <w:noProof/>
          </w:rPr>
          <w:fldChar w:fldCharType="begin"/>
        </w:r>
        <w:r>
          <w:rPr>
            <w:noProof/>
          </w:rPr>
          <w:instrText xml:space="preserve"> PAGEREF _Toc192771865 \h </w:instrText>
        </w:r>
        <w:r>
          <w:rPr>
            <w:noProof/>
          </w:rPr>
        </w:r>
        <w:r>
          <w:rPr>
            <w:noProof/>
          </w:rPr>
          <w:fldChar w:fldCharType="separate"/>
        </w:r>
        <w:r>
          <w:rPr>
            <w:noProof/>
          </w:rPr>
          <w:t>14</w:t>
        </w:r>
        <w:r>
          <w:rPr>
            <w:noProof/>
          </w:rPr>
          <w:fldChar w:fldCharType="end"/>
        </w:r>
      </w:hyperlink>
    </w:p>
    <w:p w14:paraId="7979F166" w14:textId="3C398F69"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66" w:history="1">
        <w:r w:rsidRPr="00E57510">
          <w:rPr>
            <w:rStyle w:val="Lienhypertexte"/>
            <w:noProof/>
          </w:rPr>
          <w:t>7.2 - Révision de la redevance fixe</w:t>
        </w:r>
        <w:r>
          <w:rPr>
            <w:noProof/>
          </w:rPr>
          <w:tab/>
        </w:r>
        <w:r>
          <w:rPr>
            <w:noProof/>
          </w:rPr>
          <w:fldChar w:fldCharType="begin"/>
        </w:r>
        <w:r>
          <w:rPr>
            <w:noProof/>
          </w:rPr>
          <w:instrText xml:space="preserve"> PAGEREF _Toc192771866 \h </w:instrText>
        </w:r>
        <w:r>
          <w:rPr>
            <w:noProof/>
          </w:rPr>
        </w:r>
        <w:r>
          <w:rPr>
            <w:noProof/>
          </w:rPr>
          <w:fldChar w:fldCharType="separate"/>
        </w:r>
        <w:r>
          <w:rPr>
            <w:noProof/>
          </w:rPr>
          <w:t>15</w:t>
        </w:r>
        <w:r>
          <w:rPr>
            <w:noProof/>
          </w:rPr>
          <w:fldChar w:fldCharType="end"/>
        </w:r>
      </w:hyperlink>
    </w:p>
    <w:p w14:paraId="562EC4A6" w14:textId="7F2991CB"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67" w:history="1">
        <w:r w:rsidRPr="00E57510">
          <w:rPr>
            <w:rStyle w:val="Lienhypertexte"/>
            <w:noProof/>
          </w:rPr>
          <w:t>7.3 - Redevance additionnelle selon chiffre d’affaires</w:t>
        </w:r>
        <w:r>
          <w:rPr>
            <w:noProof/>
          </w:rPr>
          <w:tab/>
        </w:r>
        <w:r>
          <w:rPr>
            <w:noProof/>
          </w:rPr>
          <w:fldChar w:fldCharType="begin"/>
        </w:r>
        <w:r>
          <w:rPr>
            <w:noProof/>
          </w:rPr>
          <w:instrText xml:space="preserve"> PAGEREF _Toc192771867 \h </w:instrText>
        </w:r>
        <w:r>
          <w:rPr>
            <w:noProof/>
          </w:rPr>
        </w:r>
        <w:r>
          <w:rPr>
            <w:noProof/>
          </w:rPr>
          <w:fldChar w:fldCharType="separate"/>
        </w:r>
        <w:r>
          <w:rPr>
            <w:noProof/>
          </w:rPr>
          <w:t>15</w:t>
        </w:r>
        <w:r>
          <w:rPr>
            <w:noProof/>
          </w:rPr>
          <w:fldChar w:fldCharType="end"/>
        </w:r>
      </w:hyperlink>
    </w:p>
    <w:p w14:paraId="5B3AF20A" w14:textId="67DF84FE"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68" w:history="1">
        <w:r w:rsidRPr="00E57510">
          <w:rPr>
            <w:rStyle w:val="Lienhypertexte"/>
            <w:noProof/>
          </w:rPr>
          <w:t>7.4 - Modalités de paiement</w:t>
        </w:r>
        <w:r>
          <w:rPr>
            <w:noProof/>
          </w:rPr>
          <w:tab/>
        </w:r>
        <w:r>
          <w:rPr>
            <w:noProof/>
          </w:rPr>
          <w:fldChar w:fldCharType="begin"/>
        </w:r>
        <w:r>
          <w:rPr>
            <w:noProof/>
          </w:rPr>
          <w:instrText xml:space="preserve"> PAGEREF _Toc192771868 \h </w:instrText>
        </w:r>
        <w:r>
          <w:rPr>
            <w:noProof/>
          </w:rPr>
        </w:r>
        <w:r>
          <w:rPr>
            <w:noProof/>
          </w:rPr>
          <w:fldChar w:fldCharType="separate"/>
        </w:r>
        <w:r>
          <w:rPr>
            <w:noProof/>
          </w:rPr>
          <w:t>15</w:t>
        </w:r>
        <w:r>
          <w:rPr>
            <w:noProof/>
          </w:rPr>
          <w:fldChar w:fldCharType="end"/>
        </w:r>
      </w:hyperlink>
    </w:p>
    <w:p w14:paraId="7F644C62" w14:textId="1553B8C6"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69" w:history="1">
        <w:r w:rsidRPr="00E57510">
          <w:rPr>
            <w:rStyle w:val="Lienhypertexte"/>
            <w:noProof/>
          </w:rPr>
          <w:t>7.5 - Contrôle des prix de vente pratiqués et visibilité des prix</w:t>
        </w:r>
        <w:r>
          <w:rPr>
            <w:noProof/>
          </w:rPr>
          <w:tab/>
        </w:r>
        <w:r>
          <w:rPr>
            <w:noProof/>
          </w:rPr>
          <w:fldChar w:fldCharType="begin"/>
        </w:r>
        <w:r>
          <w:rPr>
            <w:noProof/>
          </w:rPr>
          <w:instrText xml:space="preserve"> PAGEREF _Toc192771869 \h </w:instrText>
        </w:r>
        <w:r>
          <w:rPr>
            <w:noProof/>
          </w:rPr>
        </w:r>
        <w:r>
          <w:rPr>
            <w:noProof/>
          </w:rPr>
          <w:fldChar w:fldCharType="separate"/>
        </w:r>
        <w:r>
          <w:rPr>
            <w:noProof/>
          </w:rPr>
          <w:t>15</w:t>
        </w:r>
        <w:r>
          <w:rPr>
            <w:noProof/>
          </w:rPr>
          <w:fldChar w:fldCharType="end"/>
        </w:r>
      </w:hyperlink>
    </w:p>
    <w:p w14:paraId="45D35B3D" w14:textId="44556F0B"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70" w:history="1">
        <w:r w:rsidRPr="00E57510">
          <w:rPr>
            <w:rStyle w:val="Lienhypertexte"/>
            <w:noProof/>
          </w:rPr>
          <w:t>7.6 - Frais d’installation et maintenance</w:t>
        </w:r>
        <w:r>
          <w:rPr>
            <w:noProof/>
          </w:rPr>
          <w:tab/>
        </w:r>
        <w:r>
          <w:rPr>
            <w:noProof/>
          </w:rPr>
          <w:fldChar w:fldCharType="begin"/>
        </w:r>
        <w:r>
          <w:rPr>
            <w:noProof/>
          </w:rPr>
          <w:instrText xml:space="preserve"> PAGEREF _Toc192771870 \h </w:instrText>
        </w:r>
        <w:r>
          <w:rPr>
            <w:noProof/>
          </w:rPr>
        </w:r>
        <w:r>
          <w:rPr>
            <w:noProof/>
          </w:rPr>
          <w:fldChar w:fldCharType="separate"/>
        </w:r>
        <w:r>
          <w:rPr>
            <w:noProof/>
          </w:rPr>
          <w:t>15</w:t>
        </w:r>
        <w:r>
          <w:rPr>
            <w:noProof/>
          </w:rPr>
          <w:fldChar w:fldCharType="end"/>
        </w:r>
      </w:hyperlink>
    </w:p>
    <w:p w14:paraId="586014F1" w14:textId="219F9F5B"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71" w:history="1">
        <w:r w:rsidRPr="00E57510">
          <w:rPr>
            <w:rStyle w:val="Lienhypertexte"/>
            <w:noProof/>
          </w:rPr>
          <w:t>7.7 - Intérêts moratoires</w:t>
        </w:r>
        <w:r>
          <w:rPr>
            <w:noProof/>
          </w:rPr>
          <w:tab/>
        </w:r>
        <w:r>
          <w:rPr>
            <w:noProof/>
          </w:rPr>
          <w:fldChar w:fldCharType="begin"/>
        </w:r>
        <w:r>
          <w:rPr>
            <w:noProof/>
          </w:rPr>
          <w:instrText xml:space="preserve"> PAGEREF _Toc192771871 \h </w:instrText>
        </w:r>
        <w:r>
          <w:rPr>
            <w:noProof/>
          </w:rPr>
        </w:r>
        <w:r>
          <w:rPr>
            <w:noProof/>
          </w:rPr>
          <w:fldChar w:fldCharType="separate"/>
        </w:r>
        <w:r>
          <w:rPr>
            <w:noProof/>
          </w:rPr>
          <w:t>16</w:t>
        </w:r>
        <w:r>
          <w:rPr>
            <w:noProof/>
          </w:rPr>
          <w:fldChar w:fldCharType="end"/>
        </w:r>
      </w:hyperlink>
    </w:p>
    <w:p w14:paraId="79103CF6" w14:textId="0E3555AB"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72" w:history="1">
        <w:r w:rsidRPr="00E57510">
          <w:rPr>
            <w:rStyle w:val="Lienhypertexte"/>
            <w:noProof/>
          </w:rPr>
          <w:t>Article 8 - Obligations de l’occupant</w:t>
        </w:r>
        <w:r>
          <w:rPr>
            <w:noProof/>
          </w:rPr>
          <w:tab/>
        </w:r>
        <w:r>
          <w:rPr>
            <w:noProof/>
          </w:rPr>
          <w:fldChar w:fldCharType="begin"/>
        </w:r>
        <w:r>
          <w:rPr>
            <w:noProof/>
          </w:rPr>
          <w:instrText xml:space="preserve"> PAGEREF _Toc192771872 \h </w:instrText>
        </w:r>
        <w:r>
          <w:rPr>
            <w:noProof/>
          </w:rPr>
        </w:r>
        <w:r>
          <w:rPr>
            <w:noProof/>
          </w:rPr>
          <w:fldChar w:fldCharType="separate"/>
        </w:r>
        <w:r>
          <w:rPr>
            <w:noProof/>
          </w:rPr>
          <w:t>16</w:t>
        </w:r>
        <w:r>
          <w:rPr>
            <w:noProof/>
          </w:rPr>
          <w:fldChar w:fldCharType="end"/>
        </w:r>
      </w:hyperlink>
    </w:p>
    <w:p w14:paraId="7EFF9A48" w14:textId="3714DD10"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73" w:history="1">
        <w:r w:rsidRPr="00E57510">
          <w:rPr>
            <w:rStyle w:val="Lienhypertexte"/>
            <w:noProof/>
          </w:rPr>
          <w:t>8.1 - Domanialité publique</w:t>
        </w:r>
        <w:r>
          <w:rPr>
            <w:noProof/>
          </w:rPr>
          <w:tab/>
        </w:r>
        <w:r>
          <w:rPr>
            <w:noProof/>
          </w:rPr>
          <w:fldChar w:fldCharType="begin"/>
        </w:r>
        <w:r>
          <w:rPr>
            <w:noProof/>
          </w:rPr>
          <w:instrText xml:space="preserve"> PAGEREF _Toc192771873 \h </w:instrText>
        </w:r>
        <w:r>
          <w:rPr>
            <w:noProof/>
          </w:rPr>
        </w:r>
        <w:r>
          <w:rPr>
            <w:noProof/>
          </w:rPr>
          <w:fldChar w:fldCharType="separate"/>
        </w:r>
        <w:r>
          <w:rPr>
            <w:noProof/>
          </w:rPr>
          <w:t>16</w:t>
        </w:r>
        <w:r>
          <w:rPr>
            <w:noProof/>
          </w:rPr>
          <w:fldChar w:fldCharType="end"/>
        </w:r>
      </w:hyperlink>
    </w:p>
    <w:p w14:paraId="2ECEB22B" w14:textId="3A8AF92C"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74" w:history="1">
        <w:r w:rsidRPr="00E57510">
          <w:rPr>
            <w:rStyle w:val="Lienhypertexte"/>
            <w:noProof/>
          </w:rPr>
          <w:t>8.2 – Assurance</w:t>
        </w:r>
        <w:r>
          <w:rPr>
            <w:noProof/>
          </w:rPr>
          <w:tab/>
        </w:r>
        <w:r>
          <w:rPr>
            <w:noProof/>
          </w:rPr>
          <w:fldChar w:fldCharType="begin"/>
        </w:r>
        <w:r>
          <w:rPr>
            <w:noProof/>
          </w:rPr>
          <w:instrText xml:space="preserve"> PAGEREF _Toc192771874 \h </w:instrText>
        </w:r>
        <w:r>
          <w:rPr>
            <w:noProof/>
          </w:rPr>
        </w:r>
        <w:r>
          <w:rPr>
            <w:noProof/>
          </w:rPr>
          <w:fldChar w:fldCharType="separate"/>
        </w:r>
        <w:r>
          <w:rPr>
            <w:noProof/>
          </w:rPr>
          <w:t>16</w:t>
        </w:r>
        <w:r>
          <w:rPr>
            <w:noProof/>
          </w:rPr>
          <w:fldChar w:fldCharType="end"/>
        </w:r>
      </w:hyperlink>
    </w:p>
    <w:p w14:paraId="4A95F8C2" w14:textId="5F13F96F"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75" w:history="1">
        <w:r w:rsidRPr="00E57510">
          <w:rPr>
            <w:rStyle w:val="Lienhypertexte"/>
            <w:noProof/>
          </w:rPr>
          <w:t>8.3 - Responsabilités</w:t>
        </w:r>
        <w:r>
          <w:rPr>
            <w:noProof/>
          </w:rPr>
          <w:tab/>
        </w:r>
        <w:r>
          <w:rPr>
            <w:noProof/>
          </w:rPr>
          <w:fldChar w:fldCharType="begin"/>
        </w:r>
        <w:r>
          <w:rPr>
            <w:noProof/>
          </w:rPr>
          <w:instrText xml:space="preserve"> PAGEREF _Toc192771875 \h </w:instrText>
        </w:r>
        <w:r>
          <w:rPr>
            <w:noProof/>
          </w:rPr>
        </w:r>
        <w:r>
          <w:rPr>
            <w:noProof/>
          </w:rPr>
          <w:fldChar w:fldCharType="separate"/>
        </w:r>
        <w:r>
          <w:rPr>
            <w:noProof/>
          </w:rPr>
          <w:t>16</w:t>
        </w:r>
        <w:r>
          <w:rPr>
            <w:noProof/>
          </w:rPr>
          <w:fldChar w:fldCharType="end"/>
        </w:r>
      </w:hyperlink>
    </w:p>
    <w:p w14:paraId="7674FBD8" w14:textId="0CDFCB68"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76" w:history="1">
        <w:r w:rsidRPr="00E57510">
          <w:rPr>
            <w:rStyle w:val="Lienhypertexte"/>
            <w:noProof/>
          </w:rPr>
          <w:t>8.4 - Surveillance et sécurité</w:t>
        </w:r>
        <w:r>
          <w:rPr>
            <w:noProof/>
          </w:rPr>
          <w:tab/>
        </w:r>
        <w:r>
          <w:rPr>
            <w:noProof/>
          </w:rPr>
          <w:fldChar w:fldCharType="begin"/>
        </w:r>
        <w:r>
          <w:rPr>
            <w:noProof/>
          </w:rPr>
          <w:instrText xml:space="preserve"> PAGEREF _Toc192771876 \h </w:instrText>
        </w:r>
        <w:r>
          <w:rPr>
            <w:noProof/>
          </w:rPr>
        </w:r>
        <w:r>
          <w:rPr>
            <w:noProof/>
          </w:rPr>
          <w:fldChar w:fldCharType="separate"/>
        </w:r>
        <w:r>
          <w:rPr>
            <w:noProof/>
          </w:rPr>
          <w:t>16</w:t>
        </w:r>
        <w:r>
          <w:rPr>
            <w:noProof/>
          </w:rPr>
          <w:fldChar w:fldCharType="end"/>
        </w:r>
      </w:hyperlink>
    </w:p>
    <w:p w14:paraId="00EE97B7" w14:textId="11CE8310"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77" w:history="1">
        <w:r w:rsidRPr="00E57510">
          <w:rPr>
            <w:rStyle w:val="Lienhypertexte"/>
            <w:noProof/>
          </w:rPr>
          <w:t>8.5 – Réglementation</w:t>
        </w:r>
        <w:r>
          <w:rPr>
            <w:noProof/>
          </w:rPr>
          <w:tab/>
        </w:r>
        <w:r>
          <w:rPr>
            <w:noProof/>
          </w:rPr>
          <w:fldChar w:fldCharType="begin"/>
        </w:r>
        <w:r>
          <w:rPr>
            <w:noProof/>
          </w:rPr>
          <w:instrText xml:space="preserve"> PAGEREF _Toc192771877 \h </w:instrText>
        </w:r>
        <w:r>
          <w:rPr>
            <w:noProof/>
          </w:rPr>
        </w:r>
        <w:r>
          <w:rPr>
            <w:noProof/>
          </w:rPr>
          <w:fldChar w:fldCharType="separate"/>
        </w:r>
        <w:r>
          <w:rPr>
            <w:noProof/>
          </w:rPr>
          <w:t>16</w:t>
        </w:r>
        <w:r>
          <w:rPr>
            <w:noProof/>
          </w:rPr>
          <w:fldChar w:fldCharType="end"/>
        </w:r>
      </w:hyperlink>
    </w:p>
    <w:p w14:paraId="5C3EFFE6" w14:textId="098B865B"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78" w:history="1">
        <w:r w:rsidRPr="00E57510">
          <w:rPr>
            <w:rStyle w:val="Lienhypertexte"/>
            <w:noProof/>
          </w:rPr>
          <w:t>8.6 - Sécurité sanitaire</w:t>
        </w:r>
        <w:r>
          <w:rPr>
            <w:noProof/>
          </w:rPr>
          <w:tab/>
        </w:r>
        <w:r>
          <w:rPr>
            <w:noProof/>
          </w:rPr>
          <w:fldChar w:fldCharType="begin"/>
        </w:r>
        <w:r>
          <w:rPr>
            <w:noProof/>
          </w:rPr>
          <w:instrText xml:space="preserve"> PAGEREF _Toc192771878 \h </w:instrText>
        </w:r>
        <w:r>
          <w:rPr>
            <w:noProof/>
          </w:rPr>
        </w:r>
        <w:r>
          <w:rPr>
            <w:noProof/>
          </w:rPr>
          <w:fldChar w:fldCharType="separate"/>
        </w:r>
        <w:r>
          <w:rPr>
            <w:noProof/>
          </w:rPr>
          <w:t>17</w:t>
        </w:r>
        <w:r>
          <w:rPr>
            <w:noProof/>
          </w:rPr>
          <w:fldChar w:fldCharType="end"/>
        </w:r>
      </w:hyperlink>
    </w:p>
    <w:p w14:paraId="77EC1223" w14:textId="5B65C744"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79" w:history="1">
        <w:r w:rsidRPr="00E57510">
          <w:rPr>
            <w:rStyle w:val="Lienhypertexte"/>
            <w:noProof/>
          </w:rPr>
          <w:t>8.7 - Principe de neutralité et de laïcité</w:t>
        </w:r>
        <w:r>
          <w:rPr>
            <w:noProof/>
          </w:rPr>
          <w:tab/>
        </w:r>
        <w:r>
          <w:rPr>
            <w:noProof/>
          </w:rPr>
          <w:fldChar w:fldCharType="begin"/>
        </w:r>
        <w:r>
          <w:rPr>
            <w:noProof/>
          </w:rPr>
          <w:instrText xml:space="preserve"> PAGEREF _Toc192771879 \h </w:instrText>
        </w:r>
        <w:r>
          <w:rPr>
            <w:noProof/>
          </w:rPr>
        </w:r>
        <w:r>
          <w:rPr>
            <w:noProof/>
          </w:rPr>
          <w:fldChar w:fldCharType="separate"/>
        </w:r>
        <w:r>
          <w:rPr>
            <w:noProof/>
          </w:rPr>
          <w:t>17</w:t>
        </w:r>
        <w:r>
          <w:rPr>
            <w:noProof/>
          </w:rPr>
          <w:fldChar w:fldCharType="end"/>
        </w:r>
      </w:hyperlink>
    </w:p>
    <w:p w14:paraId="3680D07C" w14:textId="69ED9E1C"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80" w:history="1">
        <w:r w:rsidRPr="00E57510">
          <w:rPr>
            <w:rStyle w:val="Lienhypertexte"/>
            <w:noProof/>
          </w:rPr>
          <w:t>8.8 - Personnel de l’occupant</w:t>
        </w:r>
        <w:r>
          <w:rPr>
            <w:noProof/>
          </w:rPr>
          <w:tab/>
        </w:r>
        <w:r>
          <w:rPr>
            <w:noProof/>
          </w:rPr>
          <w:fldChar w:fldCharType="begin"/>
        </w:r>
        <w:r>
          <w:rPr>
            <w:noProof/>
          </w:rPr>
          <w:instrText xml:space="preserve"> PAGEREF _Toc192771880 \h </w:instrText>
        </w:r>
        <w:r>
          <w:rPr>
            <w:noProof/>
          </w:rPr>
        </w:r>
        <w:r>
          <w:rPr>
            <w:noProof/>
          </w:rPr>
          <w:fldChar w:fldCharType="separate"/>
        </w:r>
        <w:r>
          <w:rPr>
            <w:noProof/>
          </w:rPr>
          <w:t>17</w:t>
        </w:r>
        <w:r>
          <w:rPr>
            <w:noProof/>
          </w:rPr>
          <w:fldChar w:fldCharType="end"/>
        </w:r>
      </w:hyperlink>
    </w:p>
    <w:p w14:paraId="06CB03FC" w14:textId="4D3CCBA9"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81" w:history="1">
        <w:r w:rsidRPr="00E57510">
          <w:rPr>
            <w:rStyle w:val="Lienhypertexte"/>
            <w:noProof/>
          </w:rPr>
          <w:t>Article 9 - Obligations de l’UTBM</w:t>
        </w:r>
        <w:r>
          <w:rPr>
            <w:noProof/>
          </w:rPr>
          <w:tab/>
        </w:r>
        <w:r>
          <w:rPr>
            <w:noProof/>
          </w:rPr>
          <w:fldChar w:fldCharType="begin"/>
        </w:r>
        <w:r>
          <w:rPr>
            <w:noProof/>
          </w:rPr>
          <w:instrText xml:space="preserve"> PAGEREF _Toc192771881 \h </w:instrText>
        </w:r>
        <w:r>
          <w:rPr>
            <w:noProof/>
          </w:rPr>
        </w:r>
        <w:r>
          <w:rPr>
            <w:noProof/>
          </w:rPr>
          <w:fldChar w:fldCharType="separate"/>
        </w:r>
        <w:r>
          <w:rPr>
            <w:noProof/>
          </w:rPr>
          <w:t>17</w:t>
        </w:r>
        <w:r>
          <w:rPr>
            <w:noProof/>
          </w:rPr>
          <w:fldChar w:fldCharType="end"/>
        </w:r>
      </w:hyperlink>
    </w:p>
    <w:p w14:paraId="35649358" w14:textId="15A6380D"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82" w:history="1">
        <w:r w:rsidRPr="00E57510">
          <w:rPr>
            <w:rStyle w:val="Lienhypertexte"/>
            <w:noProof/>
          </w:rPr>
          <w:t>9.1 - Fourniture des fluides</w:t>
        </w:r>
        <w:r>
          <w:rPr>
            <w:noProof/>
          </w:rPr>
          <w:tab/>
        </w:r>
        <w:r>
          <w:rPr>
            <w:noProof/>
          </w:rPr>
          <w:fldChar w:fldCharType="begin"/>
        </w:r>
        <w:r>
          <w:rPr>
            <w:noProof/>
          </w:rPr>
          <w:instrText xml:space="preserve"> PAGEREF _Toc192771882 \h </w:instrText>
        </w:r>
        <w:r>
          <w:rPr>
            <w:noProof/>
          </w:rPr>
        </w:r>
        <w:r>
          <w:rPr>
            <w:noProof/>
          </w:rPr>
          <w:fldChar w:fldCharType="separate"/>
        </w:r>
        <w:r>
          <w:rPr>
            <w:noProof/>
          </w:rPr>
          <w:t>17</w:t>
        </w:r>
        <w:r>
          <w:rPr>
            <w:noProof/>
          </w:rPr>
          <w:fldChar w:fldCharType="end"/>
        </w:r>
      </w:hyperlink>
    </w:p>
    <w:p w14:paraId="6E7564AB" w14:textId="18F52130"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83" w:history="1">
        <w:r w:rsidRPr="00E57510">
          <w:rPr>
            <w:rStyle w:val="Lienhypertexte"/>
            <w:noProof/>
          </w:rPr>
          <w:t>9.2 - Accès aux locaux</w:t>
        </w:r>
        <w:r>
          <w:rPr>
            <w:noProof/>
          </w:rPr>
          <w:tab/>
        </w:r>
        <w:r>
          <w:rPr>
            <w:noProof/>
          </w:rPr>
          <w:fldChar w:fldCharType="begin"/>
        </w:r>
        <w:r>
          <w:rPr>
            <w:noProof/>
          </w:rPr>
          <w:instrText xml:space="preserve"> PAGEREF _Toc192771883 \h </w:instrText>
        </w:r>
        <w:r>
          <w:rPr>
            <w:noProof/>
          </w:rPr>
        </w:r>
        <w:r>
          <w:rPr>
            <w:noProof/>
          </w:rPr>
          <w:fldChar w:fldCharType="separate"/>
        </w:r>
        <w:r>
          <w:rPr>
            <w:noProof/>
          </w:rPr>
          <w:t>17</w:t>
        </w:r>
        <w:r>
          <w:rPr>
            <w:noProof/>
          </w:rPr>
          <w:fldChar w:fldCharType="end"/>
        </w:r>
      </w:hyperlink>
    </w:p>
    <w:p w14:paraId="28A3DBD3" w14:textId="6A5B46E1"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84" w:history="1">
        <w:r w:rsidRPr="00E57510">
          <w:rPr>
            <w:rStyle w:val="Lienhypertexte"/>
            <w:noProof/>
          </w:rPr>
          <w:t>9.3 - Exclusivité</w:t>
        </w:r>
        <w:r>
          <w:rPr>
            <w:noProof/>
          </w:rPr>
          <w:tab/>
        </w:r>
        <w:r>
          <w:rPr>
            <w:noProof/>
          </w:rPr>
          <w:fldChar w:fldCharType="begin"/>
        </w:r>
        <w:r>
          <w:rPr>
            <w:noProof/>
          </w:rPr>
          <w:instrText xml:space="preserve"> PAGEREF _Toc192771884 \h </w:instrText>
        </w:r>
        <w:r>
          <w:rPr>
            <w:noProof/>
          </w:rPr>
        </w:r>
        <w:r>
          <w:rPr>
            <w:noProof/>
          </w:rPr>
          <w:fldChar w:fldCharType="separate"/>
        </w:r>
        <w:r>
          <w:rPr>
            <w:noProof/>
          </w:rPr>
          <w:t>17</w:t>
        </w:r>
        <w:r>
          <w:rPr>
            <w:noProof/>
          </w:rPr>
          <w:fldChar w:fldCharType="end"/>
        </w:r>
      </w:hyperlink>
    </w:p>
    <w:p w14:paraId="3134F01D" w14:textId="4FB31B72"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85" w:history="1">
        <w:r w:rsidRPr="00E57510">
          <w:rPr>
            <w:rStyle w:val="Lienhypertexte"/>
            <w:noProof/>
          </w:rPr>
          <w:t>Article 10 - Pénalités et résiliations</w:t>
        </w:r>
        <w:r>
          <w:rPr>
            <w:noProof/>
          </w:rPr>
          <w:tab/>
        </w:r>
        <w:r>
          <w:rPr>
            <w:noProof/>
          </w:rPr>
          <w:fldChar w:fldCharType="begin"/>
        </w:r>
        <w:r>
          <w:rPr>
            <w:noProof/>
          </w:rPr>
          <w:instrText xml:space="preserve"> PAGEREF _Toc192771885 \h </w:instrText>
        </w:r>
        <w:r>
          <w:rPr>
            <w:noProof/>
          </w:rPr>
        </w:r>
        <w:r>
          <w:rPr>
            <w:noProof/>
          </w:rPr>
          <w:fldChar w:fldCharType="separate"/>
        </w:r>
        <w:r>
          <w:rPr>
            <w:noProof/>
          </w:rPr>
          <w:t>18</w:t>
        </w:r>
        <w:r>
          <w:rPr>
            <w:noProof/>
          </w:rPr>
          <w:fldChar w:fldCharType="end"/>
        </w:r>
      </w:hyperlink>
    </w:p>
    <w:p w14:paraId="56EC66CB" w14:textId="35735AA8"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86" w:history="1">
        <w:r w:rsidRPr="00E57510">
          <w:rPr>
            <w:rStyle w:val="Lienhypertexte"/>
            <w:noProof/>
          </w:rPr>
          <w:t>10.1 - Modalités d’application</w:t>
        </w:r>
        <w:r>
          <w:rPr>
            <w:noProof/>
          </w:rPr>
          <w:tab/>
        </w:r>
        <w:r>
          <w:rPr>
            <w:noProof/>
          </w:rPr>
          <w:fldChar w:fldCharType="begin"/>
        </w:r>
        <w:r>
          <w:rPr>
            <w:noProof/>
          </w:rPr>
          <w:instrText xml:space="preserve"> PAGEREF _Toc192771886 \h </w:instrText>
        </w:r>
        <w:r>
          <w:rPr>
            <w:noProof/>
          </w:rPr>
        </w:r>
        <w:r>
          <w:rPr>
            <w:noProof/>
          </w:rPr>
          <w:fldChar w:fldCharType="separate"/>
        </w:r>
        <w:r>
          <w:rPr>
            <w:noProof/>
          </w:rPr>
          <w:t>18</w:t>
        </w:r>
        <w:r>
          <w:rPr>
            <w:noProof/>
          </w:rPr>
          <w:fldChar w:fldCharType="end"/>
        </w:r>
      </w:hyperlink>
    </w:p>
    <w:p w14:paraId="463066EB" w14:textId="2EDC30A8"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87" w:history="1">
        <w:r w:rsidRPr="00E57510">
          <w:rPr>
            <w:rStyle w:val="Lienhypertexte"/>
            <w:noProof/>
          </w:rPr>
          <w:t>10.2 – Pénalités applicables</w:t>
        </w:r>
        <w:r>
          <w:rPr>
            <w:noProof/>
          </w:rPr>
          <w:tab/>
        </w:r>
        <w:r>
          <w:rPr>
            <w:noProof/>
          </w:rPr>
          <w:fldChar w:fldCharType="begin"/>
        </w:r>
        <w:r>
          <w:rPr>
            <w:noProof/>
          </w:rPr>
          <w:instrText xml:space="preserve"> PAGEREF _Toc192771887 \h </w:instrText>
        </w:r>
        <w:r>
          <w:rPr>
            <w:noProof/>
          </w:rPr>
        </w:r>
        <w:r>
          <w:rPr>
            <w:noProof/>
          </w:rPr>
          <w:fldChar w:fldCharType="separate"/>
        </w:r>
        <w:r>
          <w:rPr>
            <w:noProof/>
          </w:rPr>
          <w:t>18</w:t>
        </w:r>
        <w:r>
          <w:rPr>
            <w:noProof/>
          </w:rPr>
          <w:fldChar w:fldCharType="end"/>
        </w:r>
      </w:hyperlink>
    </w:p>
    <w:p w14:paraId="49E911CC" w14:textId="4191006B"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88" w:history="1">
        <w:r w:rsidRPr="00E57510">
          <w:rPr>
            <w:rStyle w:val="Lienhypertexte"/>
            <w:noProof/>
          </w:rPr>
          <w:t>10.3 - Modalités de résiliation</w:t>
        </w:r>
        <w:r>
          <w:rPr>
            <w:noProof/>
          </w:rPr>
          <w:tab/>
        </w:r>
        <w:r>
          <w:rPr>
            <w:noProof/>
          </w:rPr>
          <w:fldChar w:fldCharType="begin"/>
        </w:r>
        <w:r>
          <w:rPr>
            <w:noProof/>
          </w:rPr>
          <w:instrText xml:space="preserve"> PAGEREF _Toc192771888 \h </w:instrText>
        </w:r>
        <w:r>
          <w:rPr>
            <w:noProof/>
          </w:rPr>
        </w:r>
        <w:r>
          <w:rPr>
            <w:noProof/>
          </w:rPr>
          <w:fldChar w:fldCharType="separate"/>
        </w:r>
        <w:r>
          <w:rPr>
            <w:noProof/>
          </w:rPr>
          <w:t>18</w:t>
        </w:r>
        <w:r>
          <w:rPr>
            <w:noProof/>
          </w:rPr>
          <w:fldChar w:fldCharType="end"/>
        </w:r>
      </w:hyperlink>
    </w:p>
    <w:p w14:paraId="0D5CA371" w14:textId="64515822"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89" w:history="1">
        <w:r w:rsidRPr="00E57510">
          <w:rPr>
            <w:rStyle w:val="Lienhypertexte"/>
            <w:noProof/>
          </w:rPr>
          <w:t>10.4 - Résiliation pour faute</w:t>
        </w:r>
        <w:r>
          <w:rPr>
            <w:noProof/>
          </w:rPr>
          <w:tab/>
        </w:r>
        <w:r>
          <w:rPr>
            <w:noProof/>
          </w:rPr>
          <w:fldChar w:fldCharType="begin"/>
        </w:r>
        <w:r>
          <w:rPr>
            <w:noProof/>
          </w:rPr>
          <w:instrText xml:space="preserve"> PAGEREF _Toc192771889 \h </w:instrText>
        </w:r>
        <w:r>
          <w:rPr>
            <w:noProof/>
          </w:rPr>
        </w:r>
        <w:r>
          <w:rPr>
            <w:noProof/>
          </w:rPr>
          <w:fldChar w:fldCharType="separate"/>
        </w:r>
        <w:r>
          <w:rPr>
            <w:noProof/>
          </w:rPr>
          <w:t>18</w:t>
        </w:r>
        <w:r>
          <w:rPr>
            <w:noProof/>
          </w:rPr>
          <w:fldChar w:fldCharType="end"/>
        </w:r>
      </w:hyperlink>
    </w:p>
    <w:p w14:paraId="35F6E1D8" w14:textId="5F1A6A9D"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90" w:history="1">
        <w:r w:rsidRPr="00E57510">
          <w:rPr>
            <w:rStyle w:val="Lienhypertexte"/>
            <w:noProof/>
          </w:rPr>
          <w:t>10.5 - Résiliation pour motif d’intérêt général</w:t>
        </w:r>
        <w:r>
          <w:rPr>
            <w:noProof/>
          </w:rPr>
          <w:tab/>
        </w:r>
        <w:r>
          <w:rPr>
            <w:noProof/>
          </w:rPr>
          <w:fldChar w:fldCharType="begin"/>
        </w:r>
        <w:r>
          <w:rPr>
            <w:noProof/>
          </w:rPr>
          <w:instrText xml:space="preserve"> PAGEREF _Toc192771890 \h </w:instrText>
        </w:r>
        <w:r>
          <w:rPr>
            <w:noProof/>
          </w:rPr>
        </w:r>
        <w:r>
          <w:rPr>
            <w:noProof/>
          </w:rPr>
          <w:fldChar w:fldCharType="separate"/>
        </w:r>
        <w:r>
          <w:rPr>
            <w:noProof/>
          </w:rPr>
          <w:t>19</w:t>
        </w:r>
        <w:r>
          <w:rPr>
            <w:noProof/>
          </w:rPr>
          <w:fldChar w:fldCharType="end"/>
        </w:r>
      </w:hyperlink>
    </w:p>
    <w:p w14:paraId="5B42F35C" w14:textId="7022030A"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91" w:history="1">
        <w:r w:rsidRPr="00E57510">
          <w:rPr>
            <w:rStyle w:val="Lienhypertexte"/>
            <w:noProof/>
          </w:rPr>
          <w:t>10.6 - Résiliation de plein droit</w:t>
        </w:r>
        <w:r>
          <w:rPr>
            <w:noProof/>
          </w:rPr>
          <w:tab/>
        </w:r>
        <w:r>
          <w:rPr>
            <w:noProof/>
          </w:rPr>
          <w:fldChar w:fldCharType="begin"/>
        </w:r>
        <w:r>
          <w:rPr>
            <w:noProof/>
          </w:rPr>
          <w:instrText xml:space="preserve"> PAGEREF _Toc192771891 \h </w:instrText>
        </w:r>
        <w:r>
          <w:rPr>
            <w:noProof/>
          </w:rPr>
        </w:r>
        <w:r>
          <w:rPr>
            <w:noProof/>
          </w:rPr>
          <w:fldChar w:fldCharType="separate"/>
        </w:r>
        <w:r>
          <w:rPr>
            <w:noProof/>
          </w:rPr>
          <w:t>19</w:t>
        </w:r>
        <w:r>
          <w:rPr>
            <w:noProof/>
          </w:rPr>
          <w:fldChar w:fldCharType="end"/>
        </w:r>
      </w:hyperlink>
    </w:p>
    <w:p w14:paraId="327EECBC" w14:textId="430008FD"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92" w:history="1">
        <w:r w:rsidRPr="00E57510">
          <w:rPr>
            <w:rStyle w:val="Lienhypertexte"/>
            <w:noProof/>
          </w:rPr>
          <w:t>Article 11 - Dispositions diverses</w:t>
        </w:r>
        <w:r>
          <w:rPr>
            <w:noProof/>
          </w:rPr>
          <w:tab/>
        </w:r>
        <w:r>
          <w:rPr>
            <w:noProof/>
          </w:rPr>
          <w:fldChar w:fldCharType="begin"/>
        </w:r>
        <w:r>
          <w:rPr>
            <w:noProof/>
          </w:rPr>
          <w:instrText xml:space="preserve"> PAGEREF _Toc192771892 \h </w:instrText>
        </w:r>
        <w:r>
          <w:rPr>
            <w:noProof/>
          </w:rPr>
        </w:r>
        <w:r>
          <w:rPr>
            <w:noProof/>
          </w:rPr>
          <w:fldChar w:fldCharType="separate"/>
        </w:r>
        <w:r>
          <w:rPr>
            <w:noProof/>
          </w:rPr>
          <w:t>19</w:t>
        </w:r>
        <w:r>
          <w:rPr>
            <w:noProof/>
          </w:rPr>
          <w:fldChar w:fldCharType="end"/>
        </w:r>
      </w:hyperlink>
    </w:p>
    <w:p w14:paraId="4A4CB9BE" w14:textId="2F694757"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93" w:history="1">
        <w:r w:rsidRPr="00E57510">
          <w:rPr>
            <w:rStyle w:val="Lienhypertexte"/>
            <w:noProof/>
          </w:rPr>
          <w:t>11.1 - Cession et sous-location</w:t>
        </w:r>
        <w:r>
          <w:rPr>
            <w:noProof/>
          </w:rPr>
          <w:tab/>
        </w:r>
        <w:r>
          <w:rPr>
            <w:noProof/>
          </w:rPr>
          <w:fldChar w:fldCharType="begin"/>
        </w:r>
        <w:r>
          <w:rPr>
            <w:noProof/>
          </w:rPr>
          <w:instrText xml:space="preserve"> PAGEREF _Toc192771893 \h </w:instrText>
        </w:r>
        <w:r>
          <w:rPr>
            <w:noProof/>
          </w:rPr>
        </w:r>
        <w:r>
          <w:rPr>
            <w:noProof/>
          </w:rPr>
          <w:fldChar w:fldCharType="separate"/>
        </w:r>
        <w:r>
          <w:rPr>
            <w:noProof/>
          </w:rPr>
          <w:t>19</w:t>
        </w:r>
        <w:r>
          <w:rPr>
            <w:noProof/>
          </w:rPr>
          <w:fldChar w:fldCharType="end"/>
        </w:r>
      </w:hyperlink>
    </w:p>
    <w:p w14:paraId="7C7E98DE" w14:textId="1ADF5BE0"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94" w:history="1">
        <w:r w:rsidRPr="00E57510">
          <w:rPr>
            <w:rStyle w:val="Lienhypertexte"/>
            <w:noProof/>
          </w:rPr>
          <w:t>11.2 - Modification de la convention</w:t>
        </w:r>
        <w:r>
          <w:rPr>
            <w:noProof/>
          </w:rPr>
          <w:tab/>
        </w:r>
        <w:r>
          <w:rPr>
            <w:noProof/>
          </w:rPr>
          <w:fldChar w:fldCharType="begin"/>
        </w:r>
        <w:r>
          <w:rPr>
            <w:noProof/>
          </w:rPr>
          <w:instrText xml:space="preserve"> PAGEREF _Toc192771894 \h </w:instrText>
        </w:r>
        <w:r>
          <w:rPr>
            <w:noProof/>
          </w:rPr>
        </w:r>
        <w:r>
          <w:rPr>
            <w:noProof/>
          </w:rPr>
          <w:fldChar w:fldCharType="separate"/>
        </w:r>
        <w:r>
          <w:rPr>
            <w:noProof/>
          </w:rPr>
          <w:t>19</w:t>
        </w:r>
        <w:r>
          <w:rPr>
            <w:noProof/>
          </w:rPr>
          <w:fldChar w:fldCharType="end"/>
        </w:r>
      </w:hyperlink>
    </w:p>
    <w:p w14:paraId="1FBB7D9A" w14:textId="31C8A2F1"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95" w:history="1">
        <w:r w:rsidRPr="00E57510">
          <w:rPr>
            <w:rStyle w:val="Lienhypertexte"/>
            <w:noProof/>
          </w:rPr>
          <w:t>11.3 - Propriété</w:t>
        </w:r>
        <w:r>
          <w:rPr>
            <w:noProof/>
          </w:rPr>
          <w:tab/>
        </w:r>
        <w:r>
          <w:rPr>
            <w:noProof/>
          </w:rPr>
          <w:fldChar w:fldCharType="begin"/>
        </w:r>
        <w:r>
          <w:rPr>
            <w:noProof/>
          </w:rPr>
          <w:instrText xml:space="preserve"> PAGEREF _Toc192771895 \h </w:instrText>
        </w:r>
        <w:r>
          <w:rPr>
            <w:noProof/>
          </w:rPr>
        </w:r>
        <w:r>
          <w:rPr>
            <w:noProof/>
          </w:rPr>
          <w:fldChar w:fldCharType="separate"/>
        </w:r>
        <w:r>
          <w:rPr>
            <w:noProof/>
          </w:rPr>
          <w:t>19</w:t>
        </w:r>
        <w:r>
          <w:rPr>
            <w:noProof/>
          </w:rPr>
          <w:fldChar w:fldCharType="end"/>
        </w:r>
      </w:hyperlink>
    </w:p>
    <w:p w14:paraId="76CE47A5" w14:textId="3756D8C8" w:rsidR="00527873" w:rsidRDefault="00527873">
      <w:pPr>
        <w:pStyle w:val="TM2"/>
        <w:tabs>
          <w:tab w:val="right" w:leader="dot" w:pos="9060"/>
        </w:tabs>
        <w:rPr>
          <w:rFonts w:asciiTheme="minorHAnsi" w:eastAsiaTheme="minorEastAsia" w:hAnsiTheme="minorHAnsi" w:cstheme="minorBidi"/>
          <w:smallCaps w:val="0"/>
          <w:noProof/>
          <w:kern w:val="2"/>
          <w:sz w:val="24"/>
          <w:szCs w:val="24"/>
          <w14:ligatures w14:val="standardContextual"/>
        </w:rPr>
      </w:pPr>
      <w:hyperlink w:anchor="_Toc192771896" w:history="1">
        <w:r w:rsidRPr="00E57510">
          <w:rPr>
            <w:rStyle w:val="Lienhypertexte"/>
            <w:noProof/>
          </w:rPr>
          <w:t>Article 12 - Litiges et contentieux</w:t>
        </w:r>
        <w:r>
          <w:rPr>
            <w:noProof/>
          </w:rPr>
          <w:tab/>
        </w:r>
        <w:r>
          <w:rPr>
            <w:noProof/>
          </w:rPr>
          <w:fldChar w:fldCharType="begin"/>
        </w:r>
        <w:r>
          <w:rPr>
            <w:noProof/>
          </w:rPr>
          <w:instrText xml:space="preserve"> PAGEREF _Toc192771896 \h </w:instrText>
        </w:r>
        <w:r>
          <w:rPr>
            <w:noProof/>
          </w:rPr>
        </w:r>
        <w:r>
          <w:rPr>
            <w:noProof/>
          </w:rPr>
          <w:fldChar w:fldCharType="separate"/>
        </w:r>
        <w:r>
          <w:rPr>
            <w:noProof/>
          </w:rPr>
          <w:t>19</w:t>
        </w:r>
        <w:r>
          <w:rPr>
            <w:noProof/>
          </w:rPr>
          <w:fldChar w:fldCharType="end"/>
        </w:r>
      </w:hyperlink>
    </w:p>
    <w:p w14:paraId="629F88D0" w14:textId="41602291"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97" w:history="1">
        <w:r w:rsidRPr="00E57510">
          <w:rPr>
            <w:rStyle w:val="Lienhypertexte"/>
            <w:noProof/>
          </w:rPr>
          <w:t>12.1 - Contentieux entre occupant et un usager / consommateur</w:t>
        </w:r>
        <w:r>
          <w:rPr>
            <w:noProof/>
          </w:rPr>
          <w:tab/>
        </w:r>
        <w:r>
          <w:rPr>
            <w:noProof/>
          </w:rPr>
          <w:fldChar w:fldCharType="begin"/>
        </w:r>
        <w:r>
          <w:rPr>
            <w:noProof/>
          </w:rPr>
          <w:instrText xml:space="preserve"> PAGEREF _Toc192771897 \h </w:instrText>
        </w:r>
        <w:r>
          <w:rPr>
            <w:noProof/>
          </w:rPr>
        </w:r>
        <w:r>
          <w:rPr>
            <w:noProof/>
          </w:rPr>
          <w:fldChar w:fldCharType="separate"/>
        </w:r>
        <w:r>
          <w:rPr>
            <w:noProof/>
          </w:rPr>
          <w:t>19</w:t>
        </w:r>
        <w:r>
          <w:rPr>
            <w:noProof/>
          </w:rPr>
          <w:fldChar w:fldCharType="end"/>
        </w:r>
      </w:hyperlink>
    </w:p>
    <w:p w14:paraId="1D5087C7" w14:textId="38296266"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98" w:history="1">
        <w:r w:rsidRPr="00E57510">
          <w:rPr>
            <w:rStyle w:val="Lienhypertexte"/>
            <w:noProof/>
          </w:rPr>
          <w:t>12.2 - Contentieux entre UTBM et occupant</w:t>
        </w:r>
        <w:r>
          <w:rPr>
            <w:noProof/>
          </w:rPr>
          <w:tab/>
        </w:r>
        <w:r>
          <w:rPr>
            <w:noProof/>
          </w:rPr>
          <w:fldChar w:fldCharType="begin"/>
        </w:r>
        <w:r>
          <w:rPr>
            <w:noProof/>
          </w:rPr>
          <w:instrText xml:space="preserve"> PAGEREF _Toc192771898 \h </w:instrText>
        </w:r>
        <w:r>
          <w:rPr>
            <w:noProof/>
          </w:rPr>
        </w:r>
        <w:r>
          <w:rPr>
            <w:noProof/>
          </w:rPr>
          <w:fldChar w:fldCharType="separate"/>
        </w:r>
        <w:r>
          <w:rPr>
            <w:noProof/>
          </w:rPr>
          <w:t>19</w:t>
        </w:r>
        <w:r>
          <w:rPr>
            <w:noProof/>
          </w:rPr>
          <w:fldChar w:fldCharType="end"/>
        </w:r>
      </w:hyperlink>
    </w:p>
    <w:p w14:paraId="3575AC91" w14:textId="08ABCBFF"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899" w:history="1">
        <w:r w:rsidRPr="00E57510">
          <w:rPr>
            <w:rStyle w:val="Lienhypertexte"/>
            <w:noProof/>
          </w:rPr>
          <w:t>12.3 - Conciliation</w:t>
        </w:r>
        <w:r>
          <w:rPr>
            <w:noProof/>
          </w:rPr>
          <w:tab/>
        </w:r>
        <w:r>
          <w:rPr>
            <w:noProof/>
          </w:rPr>
          <w:fldChar w:fldCharType="begin"/>
        </w:r>
        <w:r>
          <w:rPr>
            <w:noProof/>
          </w:rPr>
          <w:instrText xml:space="preserve"> PAGEREF _Toc192771899 \h </w:instrText>
        </w:r>
        <w:r>
          <w:rPr>
            <w:noProof/>
          </w:rPr>
        </w:r>
        <w:r>
          <w:rPr>
            <w:noProof/>
          </w:rPr>
          <w:fldChar w:fldCharType="separate"/>
        </w:r>
        <w:r>
          <w:rPr>
            <w:noProof/>
          </w:rPr>
          <w:t>20</w:t>
        </w:r>
        <w:r>
          <w:rPr>
            <w:noProof/>
          </w:rPr>
          <w:fldChar w:fldCharType="end"/>
        </w:r>
      </w:hyperlink>
    </w:p>
    <w:p w14:paraId="7E6A1741" w14:textId="42E3503E" w:rsidR="00527873" w:rsidRDefault="00527873">
      <w:pPr>
        <w:pStyle w:val="TM3"/>
        <w:tabs>
          <w:tab w:val="right" w:leader="dot" w:pos="9060"/>
        </w:tabs>
        <w:rPr>
          <w:rFonts w:asciiTheme="minorHAnsi" w:eastAsiaTheme="minorEastAsia" w:hAnsiTheme="minorHAnsi" w:cstheme="minorBidi"/>
          <w:i w:val="0"/>
          <w:iCs w:val="0"/>
          <w:noProof/>
          <w:kern w:val="2"/>
          <w:sz w:val="24"/>
          <w:szCs w:val="24"/>
          <w14:ligatures w14:val="standardContextual"/>
        </w:rPr>
      </w:pPr>
      <w:hyperlink w:anchor="_Toc192771900" w:history="1">
        <w:r w:rsidRPr="00E57510">
          <w:rPr>
            <w:rStyle w:val="Lienhypertexte"/>
            <w:noProof/>
          </w:rPr>
          <w:t>12.4 - Tribunal compétent</w:t>
        </w:r>
        <w:r>
          <w:rPr>
            <w:noProof/>
          </w:rPr>
          <w:tab/>
        </w:r>
        <w:r>
          <w:rPr>
            <w:noProof/>
          </w:rPr>
          <w:fldChar w:fldCharType="begin"/>
        </w:r>
        <w:r>
          <w:rPr>
            <w:noProof/>
          </w:rPr>
          <w:instrText xml:space="preserve"> PAGEREF _Toc192771900 \h </w:instrText>
        </w:r>
        <w:r>
          <w:rPr>
            <w:noProof/>
          </w:rPr>
        </w:r>
        <w:r>
          <w:rPr>
            <w:noProof/>
          </w:rPr>
          <w:fldChar w:fldCharType="separate"/>
        </w:r>
        <w:r>
          <w:rPr>
            <w:noProof/>
          </w:rPr>
          <w:t>20</w:t>
        </w:r>
        <w:r>
          <w:rPr>
            <w:noProof/>
          </w:rPr>
          <w:fldChar w:fldCharType="end"/>
        </w:r>
      </w:hyperlink>
    </w:p>
    <w:p w14:paraId="6E281619" w14:textId="470B1DFC" w:rsidR="004A4BCA" w:rsidRDefault="00DB24F1">
      <w:pPr>
        <w:rPr>
          <w:sz w:val="22"/>
        </w:rPr>
      </w:pPr>
      <w:r>
        <w:rPr>
          <w:sz w:val="22"/>
        </w:rPr>
        <w:fldChar w:fldCharType="end"/>
      </w:r>
    </w:p>
    <w:p w14:paraId="7A910300" w14:textId="10EEEFE6" w:rsidR="007D2CF4" w:rsidRDefault="007D2CF4" w:rsidP="002B5EFD">
      <w:pPr>
        <w:pStyle w:val="Titre1"/>
        <w:ind w:left="0" w:firstLine="0"/>
        <w:jc w:val="center"/>
      </w:pPr>
      <w:bookmarkStart w:id="0" w:name="_Toc477252700"/>
      <w:r>
        <w:br w:type="page"/>
      </w:r>
      <w:bookmarkStart w:id="1" w:name="_Toc192771828"/>
      <w:r w:rsidRPr="007D2CF4">
        <w:lastRenderedPageBreak/>
        <w:t>Convention d’occupation du domaine public pour l’exploitation des distributeurs automatiques dans les locaux de l’Université de technologie de Belfort-Montbéliard (UTBM)</w:t>
      </w:r>
      <w:bookmarkEnd w:id="1"/>
    </w:p>
    <w:p w14:paraId="68751E07" w14:textId="77777777" w:rsidR="007D2CF4" w:rsidRDefault="007D2CF4" w:rsidP="002B5EFD">
      <w:pPr>
        <w:pStyle w:val="Titre1"/>
        <w:ind w:left="0" w:firstLine="0"/>
        <w:jc w:val="center"/>
        <w:rPr>
          <w:rFonts w:asciiTheme="minorHAnsi" w:hAnsiTheme="minorHAnsi" w:cstheme="minorHAnsi"/>
          <w:iCs/>
          <w:sz w:val="32"/>
          <w:lang w:eastAsia="ar-SA"/>
        </w:rPr>
      </w:pPr>
    </w:p>
    <w:p w14:paraId="61C1BF95" w14:textId="56CACF35" w:rsidR="007D2CF4" w:rsidRPr="007D2CF4" w:rsidRDefault="007D2CF4" w:rsidP="007D2CF4">
      <w:pPr>
        <w:jc w:val="left"/>
        <w:rPr>
          <w:rFonts w:asciiTheme="minorHAnsi" w:hAnsiTheme="minorHAnsi" w:cstheme="minorHAnsi"/>
          <w:b/>
          <w:iCs/>
          <w:sz w:val="24"/>
          <w:szCs w:val="16"/>
          <w:lang w:eastAsia="ar-SA"/>
        </w:rPr>
      </w:pPr>
      <w:r w:rsidRPr="007D2CF4">
        <w:rPr>
          <w:rFonts w:asciiTheme="minorHAnsi" w:hAnsiTheme="minorHAnsi" w:cstheme="minorHAnsi"/>
          <w:b/>
          <w:iCs/>
          <w:sz w:val="24"/>
          <w:szCs w:val="16"/>
          <w:lang w:eastAsia="ar-SA"/>
        </w:rPr>
        <w:t xml:space="preserve">Entre </w:t>
      </w:r>
    </w:p>
    <w:p w14:paraId="5C114AE2" w14:textId="77777777" w:rsidR="007D2CF4" w:rsidRDefault="007D2CF4" w:rsidP="007D2CF4">
      <w:pPr>
        <w:jc w:val="left"/>
        <w:rPr>
          <w:rFonts w:asciiTheme="minorHAnsi" w:hAnsiTheme="minorHAnsi" w:cstheme="minorHAnsi"/>
          <w:b/>
          <w:iCs/>
          <w:sz w:val="32"/>
          <w:lang w:eastAsia="ar-SA"/>
        </w:rPr>
      </w:pPr>
    </w:p>
    <w:p w14:paraId="6C6AAB88" w14:textId="77777777" w:rsidR="007D2CF4" w:rsidRDefault="007D2CF4" w:rsidP="007D2CF4">
      <w:pPr>
        <w:rPr>
          <w:rFonts w:asciiTheme="minorHAnsi" w:hAnsiTheme="minorHAnsi" w:cstheme="minorHAnsi"/>
        </w:rPr>
      </w:pPr>
      <w:r w:rsidRPr="007B242A">
        <w:rPr>
          <w:rFonts w:asciiTheme="minorHAnsi" w:hAnsiTheme="minorHAnsi" w:cstheme="minorHAnsi"/>
        </w:rPr>
        <w:t xml:space="preserve">L’UNIVERSITÉ DE TECHNOLOGIE DE BELFORT-MONTBÉLIARD (UTBM), Établissement public à caractère scientifique, culturel et professionnel, dont le siège est situé Site de Sevenans – 90010 Belfort cedex, enregistré sous le n° SIRET : 19900356700013, représentée par Monsieur Ghislain </w:t>
      </w:r>
      <w:proofErr w:type="spellStart"/>
      <w:r w:rsidRPr="007B242A">
        <w:rPr>
          <w:rFonts w:asciiTheme="minorHAnsi" w:hAnsiTheme="minorHAnsi" w:cstheme="minorHAnsi"/>
        </w:rPr>
        <w:t>Montavon</w:t>
      </w:r>
      <w:proofErr w:type="spellEnd"/>
      <w:r w:rsidRPr="007B242A">
        <w:rPr>
          <w:rFonts w:asciiTheme="minorHAnsi" w:hAnsiTheme="minorHAnsi" w:cstheme="minorHAnsi"/>
        </w:rPr>
        <w:t xml:space="preserve">, agissant en qualité de directeur. </w:t>
      </w:r>
    </w:p>
    <w:p w14:paraId="5C739768" w14:textId="77777777" w:rsidR="007D2CF4" w:rsidRDefault="007D2CF4" w:rsidP="007D2CF4">
      <w:pPr>
        <w:rPr>
          <w:rFonts w:asciiTheme="minorHAnsi" w:hAnsiTheme="minorHAnsi" w:cstheme="minorHAnsi"/>
        </w:rPr>
      </w:pPr>
    </w:p>
    <w:p w14:paraId="451629BA" w14:textId="77777777" w:rsidR="006935D5" w:rsidRDefault="006935D5" w:rsidP="007D2CF4">
      <w:pPr>
        <w:rPr>
          <w:rFonts w:asciiTheme="minorHAnsi" w:hAnsiTheme="minorHAnsi" w:cstheme="minorHAnsi"/>
        </w:rPr>
      </w:pPr>
    </w:p>
    <w:p w14:paraId="27E79C18" w14:textId="53436B2E" w:rsidR="007D2CF4" w:rsidRDefault="007D2CF4" w:rsidP="00B06FF0">
      <w:pPr>
        <w:rPr>
          <w:rFonts w:asciiTheme="minorHAnsi" w:hAnsiTheme="minorHAnsi" w:cstheme="minorHAnsi"/>
        </w:rPr>
      </w:pPr>
      <w:r w:rsidRPr="007B242A">
        <w:rPr>
          <w:rFonts w:asciiTheme="minorHAnsi" w:hAnsiTheme="minorHAnsi" w:cstheme="minorHAnsi"/>
        </w:rPr>
        <w:t>Ci-après dénommée « l’UTBM ».</w:t>
      </w:r>
    </w:p>
    <w:p w14:paraId="61E7198F" w14:textId="3F6EDF7A" w:rsidR="00B06FF0" w:rsidRPr="007B242A" w:rsidRDefault="00B06FF0" w:rsidP="00B06FF0">
      <w:pPr>
        <w:jc w:val="right"/>
        <w:rPr>
          <w:rFonts w:asciiTheme="minorHAnsi" w:hAnsiTheme="minorHAnsi" w:cstheme="minorHAnsi"/>
        </w:rPr>
      </w:pPr>
      <w:r>
        <w:rPr>
          <w:rFonts w:asciiTheme="minorHAnsi" w:hAnsiTheme="minorHAnsi" w:cstheme="minorHAnsi"/>
        </w:rPr>
        <w:t>D’une part,</w:t>
      </w:r>
    </w:p>
    <w:p w14:paraId="2FB6AD8E" w14:textId="77777777" w:rsidR="007D2CF4" w:rsidRPr="006935D5" w:rsidRDefault="007D2CF4">
      <w:pPr>
        <w:widowControl/>
        <w:suppressAutoHyphens w:val="0"/>
        <w:jc w:val="left"/>
        <w:rPr>
          <w:rFonts w:asciiTheme="minorHAnsi" w:hAnsiTheme="minorHAnsi" w:cstheme="minorHAnsi"/>
          <w:b/>
          <w:iCs/>
          <w:sz w:val="24"/>
          <w:szCs w:val="16"/>
          <w:lang w:eastAsia="ar-SA"/>
        </w:rPr>
      </w:pPr>
      <w:r w:rsidRPr="006935D5">
        <w:rPr>
          <w:rFonts w:asciiTheme="minorHAnsi" w:hAnsiTheme="minorHAnsi" w:cstheme="minorHAnsi"/>
          <w:b/>
          <w:iCs/>
          <w:sz w:val="24"/>
          <w:szCs w:val="16"/>
          <w:lang w:eastAsia="ar-SA"/>
        </w:rPr>
        <w:t>Et</w:t>
      </w:r>
    </w:p>
    <w:p w14:paraId="2AF336D4" w14:textId="77777777" w:rsidR="007D2CF4" w:rsidRDefault="007D2CF4">
      <w:pPr>
        <w:widowControl/>
        <w:suppressAutoHyphens w:val="0"/>
        <w:jc w:val="left"/>
        <w:rPr>
          <w:rFonts w:asciiTheme="minorHAnsi" w:hAnsiTheme="minorHAnsi" w:cstheme="minorHAnsi"/>
          <w:b/>
          <w:iCs/>
          <w:sz w:val="28"/>
          <w:szCs w:val="18"/>
          <w:lang w:eastAsia="ar-SA"/>
        </w:rPr>
      </w:pPr>
    </w:p>
    <w:p w14:paraId="15001D4A" w14:textId="5BF84E27" w:rsidR="006935D5" w:rsidRDefault="006935D5" w:rsidP="00B06FF0">
      <w:pPr>
        <w:spacing w:before="120" w:after="240"/>
        <w:rPr>
          <w:rFonts w:asciiTheme="minorHAnsi" w:hAnsiTheme="minorHAnsi" w:cstheme="minorHAnsi"/>
          <w:b/>
        </w:rPr>
      </w:pPr>
      <w:bookmarkStart w:id="2" w:name="Etablissement_exterieur"/>
      <w:r w:rsidRPr="006D305F">
        <w:rPr>
          <w:rFonts w:asciiTheme="minorHAnsi" w:hAnsiTheme="minorHAnsi" w:cstheme="minorHAnsi"/>
          <w:b/>
        </w:rPr>
        <w:t>Dénomination sociale</w:t>
      </w:r>
      <w:r>
        <w:rPr>
          <w:rFonts w:asciiTheme="minorHAnsi" w:hAnsiTheme="minorHAnsi" w:cstheme="minorHAnsi"/>
          <w:b/>
        </w:rPr>
        <w:t> :</w:t>
      </w:r>
      <w:r w:rsidR="00527873">
        <w:rPr>
          <w:rFonts w:asciiTheme="minorHAnsi" w:hAnsiTheme="minorHAnsi" w:cstheme="minorHAnsi"/>
          <w:b/>
        </w:rPr>
        <w:t xml:space="preserve"> </w:t>
      </w:r>
      <w:sdt>
        <w:sdtPr>
          <w:rPr>
            <w:rFonts w:asciiTheme="minorHAnsi" w:hAnsiTheme="minorHAnsi" w:cstheme="minorHAnsi"/>
            <w:b/>
          </w:rPr>
          <w:id w:val="692033015"/>
          <w:placeholder>
            <w:docPart w:val="DefaultPlaceholder_-1854013440"/>
          </w:placeholder>
          <w:showingPlcHdr/>
        </w:sdtPr>
        <w:sdtContent>
          <w:r w:rsidR="00527873" w:rsidRPr="00CB705F">
            <w:rPr>
              <w:rStyle w:val="Textedelespacerserv"/>
            </w:rPr>
            <w:t>Cliquez ou appuyez ici pour entrer du texte.</w:t>
          </w:r>
        </w:sdtContent>
      </w:sdt>
    </w:p>
    <w:bookmarkEnd w:id="2"/>
    <w:p w14:paraId="2E8F786B" w14:textId="69840144" w:rsidR="006935D5" w:rsidRDefault="006935D5" w:rsidP="00B06FF0">
      <w:pPr>
        <w:spacing w:before="120" w:after="240"/>
        <w:rPr>
          <w:rFonts w:asciiTheme="minorHAnsi" w:hAnsiTheme="minorHAnsi" w:cstheme="minorHAnsi"/>
          <w:b/>
        </w:rPr>
      </w:pPr>
      <w:r w:rsidRPr="006D305F">
        <w:rPr>
          <w:rFonts w:asciiTheme="minorHAnsi" w:hAnsiTheme="minorHAnsi" w:cstheme="minorHAnsi"/>
          <w:b/>
        </w:rPr>
        <w:t>Adresse :</w:t>
      </w:r>
      <w:r>
        <w:rPr>
          <w:rFonts w:asciiTheme="minorHAnsi" w:hAnsiTheme="minorHAnsi" w:cstheme="minorHAnsi"/>
        </w:rPr>
        <w:t xml:space="preserve"> </w:t>
      </w:r>
      <w:r w:rsidRPr="006D305F">
        <w:rPr>
          <w:rFonts w:asciiTheme="minorHAnsi" w:hAnsiTheme="minorHAnsi" w:cstheme="minorHAnsi"/>
          <w:b/>
        </w:rPr>
        <w:t xml:space="preserve"> </w:t>
      </w:r>
      <w:sdt>
        <w:sdtPr>
          <w:rPr>
            <w:rFonts w:asciiTheme="minorHAnsi" w:hAnsiTheme="minorHAnsi" w:cstheme="minorHAnsi"/>
            <w:b/>
          </w:rPr>
          <w:id w:val="-1588686053"/>
          <w:placeholder>
            <w:docPart w:val="DefaultPlaceholder_-1854013440"/>
          </w:placeholder>
          <w:showingPlcHdr/>
        </w:sdtPr>
        <w:sdtContent>
          <w:r w:rsidR="00527873" w:rsidRPr="00CB705F">
            <w:rPr>
              <w:rStyle w:val="Textedelespacerserv"/>
            </w:rPr>
            <w:t>Cliquez ou appuyez ici pour entrer du texte.</w:t>
          </w:r>
        </w:sdtContent>
      </w:sdt>
    </w:p>
    <w:p w14:paraId="4553B7A6" w14:textId="77777777" w:rsidR="00527873" w:rsidRDefault="00527873" w:rsidP="00B06FF0">
      <w:pPr>
        <w:spacing w:before="120" w:after="240"/>
        <w:rPr>
          <w:rFonts w:asciiTheme="minorHAnsi" w:hAnsiTheme="minorHAnsi" w:cstheme="minorHAnsi"/>
          <w:b/>
        </w:rPr>
      </w:pPr>
    </w:p>
    <w:p w14:paraId="3D560D7C" w14:textId="3F0ACAD2" w:rsidR="006935D5" w:rsidRDefault="006935D5" w:rsidP="00B06FF0">
      <w:pPr>
        <w:spacing w:before="120" w:after="240"/>
        <w:rPr>
          <w:rFonts w:asciiTheme="minorHAnsi" w:hAnsiTheme="minorHAnsi" w:cstheme="minorHAnsi"/>
          <w:b/>
        </w:rPr>
      </w:pPr>
      <w:r w:rsidRPr="006D305F">
        <w:rPr>
          <w:rFonts w:asciiTheme="minorHAnsi" w:hAnsiTheme="minorHAnsi" w:cstheme="minorHAnsi"/>
          <w:b/>
        </w:rPr>
        <w:t>Représenté</w:t>
      </w:r>
      <w:r>
        <w:rPr>
          <w:rFonts w:asciiTheme="minorHAnsi" w:hAnsiTheme="minorHAnsi" w:cstheme="minorHAnsi"/>
          <w:b/>
        </w:rPr>
        <w:t>e par :</w:t>
      </w:r>
      <w:r w:rsidR="00527873">
        <w:rPr>
          <w:rFonts w:asciiTheme="minorHAnsi" w:hAnsiTheme="minorHAnsi" w:cstheme="minorHAnsi"/>
          <w:b/>
        </w:rPr>
        <w:t xml:space="preserve"> </w:t>
      </w:r>
      <w:sdt>
        <w:sdtPr>
          <w:rPr>
            <w:rFonts w:asciiTheme="minorHAnsi" w:hAnsiTheme="minorHAnsi" w:cstheme="minorHAnsi"/>
            <w:b/>
          </w:rPr>
          <w:id w:val="1054658577"/>
          <w:placeholder>
            <w:docPart w:val="DefaultPlaceholder_-1854013440"/>
          </w:placeholder>
          <w:showingPlcHdr/>
        </w:sdtPr>
        <w:sdtContent>
          <w:r w:rsidR="00527873" w:rsidRPr="00CB705F">
            <w:rPr>
              <w:rStyle w:val="Textedelespacerserv"/>
            </w:rPr>
            <w:t>Cliquez ou appuyez ici pour entrer du texte.</w:t>
          </w:r>
        </w:sdtContent>
      </w:sdt>
    </w:p>
    <w:p w14:paraId="5CB2D018" w14:textId="0E7D18F4" w:rsidR="00B06FF0" w:rsidRPr="006D305F" w:rsidRDefault="00B06FF0" w:rsidP="00B06FF0">
      <w:pPr>
        <w:spacing w:before="120" w:after="240"/>
        <w:rPr>
          <w:rFonts w:asciiTheme="minorHAnsi" w:hAnsiTheme="minorHAnsi" w:cstheme="minorHAnsi"/>
          <w:b/>
        </w:rPr>
      </w:pPr>
      <w:r>
        <w:rPr>
          <w:rFonts w:asciiTheme="minorHAnsi" w:hAnsiTheme="minorHAnsi" w:cstheme="minorHAnsi"/>
          <w:b/>
        </w:rPr>
        <w:t>En qualité de :</w:t>
      </w:r>
      <w:r w:rsidR="00527873">
        <w:rPr>
          <w:rFonts w:asciiTheme="minorHAnsi" w:hAnsiTheme="minorHAnsi" w:cstheme="minorHAnsi"/>
          <w:b/>
        </w:rPr>
        <w:t xml:space="preserve"> </w:t>
      </w:r>
      <w:sdt>
        <w:sdtPr>
          <w:rPr>
            <w:rFonts w:asciiTheme="minorHAnsi" w:hAnsiTheme="minorHAnsi" w:cstheme="minorHAnsi"/>
            <w:b/>
          </w:rPr>
          <w:id w:val="810212838"/>
          <w:placeholder>
            <w:docPart w:val="DefaultPlaceholder_-1854013440"/>
          </w:placeholder>
          <w:showingPlcHdr/>
        </w:sdtPr>
        <w:sdtContent>
          <w:r w:rsidR="00527873" w:rsidRPr="00CB705F">
            <w:rPr>
              <w:rStyle w:val="Textedelespacerserv"/>
            </w:rPr>
            <w:t>Cliquez ou appuyez ici pour entrer du texte.</w:t>
          </w:r>
        </w:sdtContent>
      </w:sdt>
    </w:p>
    <w:p w14:paraId="01005932" w14:textId="537188CC" w:rsidR="006935D5" w:rsidRPr="006D305F" w:rsidRDefault="006935D5" w:rsidP="00B06FF0">
      <w:pPr>
        <w:spacing w:after="240"/>
        <w:rPr>
          <w:rFonts w:asciiTheme="minorHAnsi" w:hAnsiTheme="minorHAnsi" w:cstheme="minorHAnsi"/>
          <w:b/>
        </w:rPr>
      </w:pPr>
      <w:r>
        <w:rPr>
          <w:rFonts w:asciiTheme="minorHAnsi" w:hAnsiTheme="minorHAnsi" w:cstheme="minorHAnsi"/>
          <w:b/>
        </w:rPr>
        <w:t xml:space="preserve">N° </w:t>
      </w:r>
      <w:r w:rsidRPr="006D305F">
        <w:rPr>
          <w:rFonts w:asciiTheme="minorHAnsi" w:hAnsiTheme="minorHAnsi" w:cstheme="minorHAnsi"/>
          <w:b/>
        </w:rPr>
        <w:t>SIRET :</w:t>
      </w:r>
      <w:r w:rsidR="00527873">
        <w:rPr>
          <w:rFonts w:asciiTheme="minorHAnsi" w:hAnsiTheme="minorHAnsi" w:cstheme="minorHAnsi"/>
          <w:b/>
        </w:rPr>
        <w:t xml:space="preserve"> </w:t>
      </w:r>
      <w:sdt>
        <w:sdtPr>
          <w:rPr>
            <w:rFonts w:asciiTheme="minorHAnsi" w:hAnsiTheme="minorHAnsi" w:cstheme="minorHAnsi"/>
            <w:b/>
          </w:rPr>
          <w:id w:val="-1205638744"/>
          <w:placeholder>
            <w:docPart w:val="DefaultPlaceholder_-1854013440"/>
          </w:placeholder>
          <w:showingPlcHdr/>
        </w:sdtPr>
        <w:sdtContent>
          <w:r w:rsidR="00527873" w:rsidRPr="00CB705F">
            <w:rPr>
              <w:rStyle w:val="Textedelespacerserv"/>
            </w:rPr>
            <w:t>Cliquez ou appuyez ici pour entrer du texte.</w:t>
          </w:r>
        </w:sdtContent>
      </w:sdt>
    </w:p>
    <w:p w14:paraId="2B70F1D2" w14:textId="77777777" w:rsidR="007D2CF4" w:rsidRPr="007D2CF4" w:rsidRDefault="007D2CF4">
      <w:pPr>
        <w:widowControl/>
        <w:suppressAutoHyphens w:val="0"/>
        <w:jc w:val="left"/>
        <w:rPr>
          <w:rFonts w:asciiTheme="minorHAnsi" w:hAnsiTheme="minorHAnsi" w:cstheme="minorHAnsi"/>
          <w:b/>
          <w:iCs/>
          <w:sz w:val="28"/>
          <w:szCs w:val="18"/>
          <w:lang w:eastAsia="ar-SA"/>
        </w:rPr>
      </w:pPr>
    </w:p>
    <w:p w14:paraId="03072F1F" w14:textId="07CF751C" w:rsidR="006935D5" w:rsidRPr="005C0DD3" w:rsidRDefault="006935D5" w:rsidP="00B06FF0">
      <w:pPr>
        <w:rPr>
          <w:rFonts w:asciiTheme="minorHAnsi" w:hAnsiTheme="minorHAnsi" w:cstheme="minorHAnsi"/>
        </w:rPr>
      </w:pPr>
      <w:r w:rsidRPr="005C0DD3">
        <w:rPr>
          <w:rFonts w:asciiTheme="minorHAnsi" w:hAnsiTheme="minorHAnsi" w:cstheme="minorHAnsi"/>
        </w:rPr>
        <w:t>Ci-après dénommée « l’occupant »</w:t>
      </w:r>
      <w:r w:rsidR="005C0DD3" w:rsidRPr="005C0DD3">
        <w:rPr>
          <w:rFonts w:asciiTheme="minorHAnsi" w:hAnsiTheme="minorHAnsi" w:cstheme="minorHAnsi"/>
        </w:rPr>
        <w:t> ;</w:t>
      </w:r>
    </w:p>
    <w:p w14:paraId="6293EEA3" w14:textId="77777777" w:rsidR="006935D5" w:rsidRPr="005C0DD3" w:rsidRDefault="006935D5" w:rsidP="006935D5">
      <w:pPr>
        <w:rPr>
          <w:rFonts w:asciiTheme="minorHAnsi" w:hAnsiTheme="minorHAnsi" w:cstheme="minorHAnsi"/>
        </w:rPr>
      </w:pPr>
    </w:p>
    <w:p w14:paraId="6D6A539D" w14:textId="77777777" w:rsidR="006935D5" w:rsidRPr="005C0DD3" w:rsidRDefault="006935D5" w:rsidP="006935D5">
      <w:pPr>
        <w:rPr>
          <w:rFonts w:asciiTheme="minorHAnsi" w:hAnsiTheme="minorHAnsi" w:cstheme="minorHAnsi"/>
        </w:rPr>
      </w:pPr>
    </w:p>
    <w:p w14:paraId="156770C6" w14:textId="1F25D38C" w:rsidR="002B5EFD" w:rsidRPr="005C0DD3" w:rsidRDefault="002B5EFD" w:rsidP="00B06FF0">
      <w:pPr>
        <w:rPr>
          <w:lang w:eastAsia="ar-SA"/>
        </w:rPr>
      </w:pPr>
      <w:r w:rsidRPr="005C0DD3">
        <w:rPr>
          <w:lang w:eastAsia="ar-SA"/>
        </w:rPr>
        <w:t>Ci</w:t>
      </w:r>
      <w:r w:rsidR="006935D5" w:rsidRPr="005C0DD3">
        <w:rPr>
          <w:lang w:eastAsia="ar-SA"/>
        </w:rPr>
        <w:t>-après dénommés individuellement par la « Partie » ou collectivement par les « Parties ».</w:t>
      </w:r>
    </w:p>
    <w:p w14:paraId="1C669B5B" w14:textId="77777777" w:rsidR="00B06FF0" w:rsidRPr="005C0DD3" w:rsidRDefault="00B06FF0" w:rsidP="00B06FF0">
      <w:pPr>
        <w:rPr>
          <w:lang w:eastAsia="ar-SA"/>
        </w:rPr>
      </w:pPr>
    </w:p>
    <w:p w14:paraId="10E50E61" w14:textId="38628D3A" w:rsidR="00B06FF0" w:rsidRDefault="00B06FF0" w:rsidP="00B06FF0">
      <w:pPr>
        <w:jc w:val="right"/>
        <w:rPr>
          <w:lang w:eastAsia="ar-SA"/>
        </w:rPr>
      </w:pPr>
      <w:r w:rsidRPr="005C0DD3">
        <w:rPr>
          <w:lang w:eastAsia="ar-SA"/>
        </w:rPr>
        <w:t>D’autre part,</w:t>
      </w:r>
      <w:r>
        <w:rPr>
          <w:lang w:eastAsia="ar-SA"/>
        </w:rPr>
        <w:t xml:space="preserve"> </w:t>
      </w:r>
    </w:p>
    <w:p w14:paraId="02649938" w14:textId="77777777" w:rsidR="002B5EFD" w:rsidRDefault="002B5EFD" w:rsidP="006935D5">
      <w:pPr>
        <w:rPr>
          <w:lang w:eastAsia="ar-SA"/>
        </w:rPr>
      </w:pPr>
    </w:p>
    <w:p w14:paraId="2BAD19E6" w14:textId="77777777" w:rsidR="002B5EFD" w:rsidRDefault="002B5EFD" w:rsidP="006935D5">
      <w:pPr>
        <w:rPr>
          <w:lang w:eastAsia="ar-SA"/>
        </w:rPr>
      </w:pPr>
    </w:p>
    <w:p w14:paraId="59437326" w14:textId="38EAE9D5" w:rsidR="0099546B" w:rsidRPr="006D305F" w:rsidRDefault="0099546B" w:rsidP="0099546B">
      <w:pPr>
        <w:spacing w:before="120" w:after="120"/>
        <w:rPr>
          <w:rFonts w:asciiTheme="minorHAnsi" w:hAnsiTheme="minorHAnsi" w:cstheme="minorHAnsi"/>
          <w:i/>
        </w:rPr>
      </w:pPr>
      <w:r w:rsidRPr="006D305F">
        <w:rPr>
          <w:rFonts w:asciiTheme="minorHAnsi" w:hAnsiTheme="minorHAnsi" w:cstheme="minorHAnsi"/>
          <w:i/>
        </w:rPr>
        <w:t>Vu le code général de la propriété des personnes publiques, notamment les articles L2121-1, L2122-1-1, L2122-2, L2122-3,</w:t>
      </w:r>
      <w:r>
        <w:rPr>
          <w:rFonts w:asciiTheme="minorHAnsi" w:hAnsiTheme="minorHAnsi" w:cstheme="minorHAnsi"/>
          <w:i/>
        </w:rPr>
        <w:t xml:space="preserve"> L2122-6, </w:t>
      </w:r>
      <w:r w:rsidRPr="006D305F">
        <w:rPr>
          <w:rFonts w:asciiTheme="minorHAnsi" w:hAnsiTheme="minorHAnsi" w:cstheme="minorHAnsi"/>
          <w:i/>
        </w:rPr>
        <w:t>L2125-1, L2125-3 à L2125-6, L2321-2, R2122-1 à R2122-8, R2125-1 à R2125-6 et R2321-1 à R2321-9,</w:t>
      </w:r>
    </w:p>
    <w:p w14:paraId="5062D7EE" w14:textId="77777777" w:rsidR="002B5EFD" w:rsidRDefault="002B5EFD" w:rsidP="006935D5">
      <w:pPr>
        <w:rPr>
          <w:rFonts w:asciiTheme="minorHAnsi" w:hAnsiTheme="minorHAnsi" w:cstheme="minorHAnsi"/>
          <w:i/>
        </w:rPr>
      </w:pPr>
    </w:p>
    <w:p w14:paraId="2F471767" w14:textId="77777777" w:rsidR="002B5EFD" w:rsidRDefault="002B5EFD" w:rsidP="006935D5">
      <w:pPr>
        <w:rPr>
          <w:lang w:eastAsia="ar-SA"/>
        </w:rPr>
      </w:pPr>
    </w:p>
    <w:p w14:paraId="24A25618" w14:textId="3ED19DA9" w:rsidR="007D2CF4" w:rsidRPr="005C0DD3" w:rsidRDefault="002B5EFD" w:rsidP="002B5EFD">
      <w:pPr>
        <w:rPr>
          <w:rFonts w:asciiTheme="minorHAnsi" w:hAnsiTheme="minorHAnsi" w:cstheme="minorHAnsi"/>
          <w:b/>
          <w:highlight w:val="yellow"/>
          <w:lang w:eastAsia="ar-SA"/>
        </w:rPr>
      </w:pPr>
      <w:r w:rsidRPr="005C0DD3">
        <w:rPr>
          <w:lang w:eastAsia="ar-SA"/>
        </w:rPr>
        <w:t>Il est convenu</w:t>
      </w:r>
      <w:r w:rsidR="00B06FF0" w:rsidRPr="005C0DD3">
        <w:rPr>
          <w:lang w:eastAsia="ar-SA"/>
        </w:rPr>
        <w:t xml:space="preserve"> et arrêté</w:t>
      </w:r>
      <w:r w:rsidRPr="005C0DD3">
        <w:rPr>
          <w:lang w:eastAsia="ar-SA"/>
        </w:rPr>
        <w:t xml:space="preserve"> ce qui suit </w:t>
      </w:r>
      <w:r w:rsidR="00B06FF0" w:rsidRPr="005C0DD3">
        <w:rPr>
          <w:lang w:eastAsia="ar-SA"/>
        </w:rPr>
        <w:t xml:space="preserve">entre les parties </w:t>
      </w:r>
      <w:r w:rsidRPr="005C0DD3">
        <w:rPr>
          <w:lang w:eastAsia="ar-SA"/>
        </w:rPr>
        <w:t>:</w:t>
      </w:r>
    </w:p>
    <w:p w14:paraId="6D62D5EE" w14:textId="282D14E2" w:rsidR="007D2CF4" w:rsidRDefault="007D2CF4">
      <w:pPr>
        <w:widowControl/>
        <w:suppressAutoHyphens w:val="0"/>
        <w:jc w:val="left"/>
        <w:rPr>
          <w:rFonts w:eastAsia="Calibri"/>
          <w:b/>
          <w:color w:val="0076CC"/>
          <w:sz w:val="28"/>
          <w:szCs w:val="22"/>
          <w:lang w:eastAsia="en-US"/>
        </w:rPr>
      </w:pPr>
    </w:p>
    <w:bookmarkEnd w:id="0"/>
    <w:p w14:paraId="184DE9D4" w14:textId="77777777" w:rsidR="004A4BCA" w:rsidRDefault="004A4BCA"/>
    <w:p w14:paraId="00102909" w14:textId="16E5849C" w:rsidR="004A4BCA" w:rsidRDefault="00DB24F1">
      <w:pPr>
        <w:pStyle w:val="Titre2"/>
      </w:pPr>
      <w:bookmarkStart w:id="3" w:name="_Toc477252701"/>
      <w:bookmarkStart w:id="4" w:name="_Toc192771829"/>
      <w:r>
        <w:t xml:space="preserve">Article 1 – Contexte et objet </w:t>
      </w:r>
      <w:bookmarkEnd w:id="3"/>
      <w:r w:rsidR="00320D2C">
        <w:t>de la convention</w:t>
      </w:r>
      <w:bookmarkEnd w:id="4"/>
      <w:r>
        <w:t xml:space="preserve"> </w:t>
      </w:r>
    </w:p>
    <w:p w14:paraId="33160EF2" w14:textId="77777777" w:rsidR="00BA2903" w:rsidRDefault="00BA2903"/>
    <w:p w14:paraId="0702E888" w14:textId="1DADE425" w:rsidR="004A4BCA" w:rsidRDefault="00BA2903">
      <w:r w:rsidRPr="00BA2903">
        <w:t>La présente convention a pour objet de définir les modalités et conditions d'occupation du domaine public de l'Université de technologie de Belfort-Montbéliard (UTBM) par l'occupant, en vue de l'installation, de l'exploitation et de la maintenance de distributeurs automatiques de boissons et de denrées alimentaires. Elle précise les droits et obligations des parties, ainsi que les conditions financières et techniques de cette occupation.</w:t>
      </w:r>
    </w:p>
    <w:p w14:paraId="10ED7760" w14:textId="77777777" w:rsidR="00BA2903" w:rsidRDefault="00BA2903"/>
    <w:p w14:paraId="4D110213" w14:textId="77777777" w:rsidR="005C0DD3" w:rsidRDefault="005C0DD3"/>
    <w:p w14:paraId="2DED20C0" w14:textId="77777777" w:rsidR="005C0DD3" w:rsidRDefault="005C0DD3"/>
    <w:p w14:paraId="159F6DF8" w14:textId="77777777" w:rsidR="004A4BCA" w:rsidRDefault="00DB24F1">
      <w:pPr>
        <w:pStyle w:val="Titre3"/>
      </w:pPr>
      <w:bookmarkStart w:id="5" w:name="_Toc477252702"/>
      <w:bookmarkStart w:id="6" w:name="_Toc192771830"/>
      <w:r>
        <w:t>1.1 – Contexte</w:t>
      </w:r>
      <w:bookmarkEnd w:id="5"/>
      <w:bookmarkEnd w:id="6"/>
      <w:r>
        <w:t xml:space="preserve"> </w:t>
      </w:r>
    </w:p>
    <w:p w14:paraId="204A8BF2" w14:textId="54AB4329" w:rsidR="004A4BCA" w:rsidRDefault="004A4BCA">
      <w:pPr>
        <w:rPr>
          <w:highlight w:val="yellow"/>
        </w:rPr>
      </w:pPr>
    </w:p>
    <w:p w14:paraId="1E0634DA" w14:textId="78CAEF07" w:rsidR="00905278" w:rsidRDefault="00905278" w:rsidP="00905278">
      <w:r w:rsidRPr="00984EC6">
        <w:t>L’U</w:t>
      </w:r>
      <w:r>
        <w:t xml:space="preserve">niversité de Technologie de Belfort-Montbéliard, ci-après dénommée UTBM, est un établissement public à caractère scientifique, culturel et professionnel, dont les missions principales sont la recherche et l’enseignement supérieur. </w:t>
      </w:r>
      <w:r w:rsidRPr="00CE637F">
        <w:t xml:space="preserve">Elle est </w:t>
      </w:r>
      <w:r w:rsidR="005F670E">
        <w:t xml:space="preserve">l’un des </w:t>
      </w:r>
      <w:r w:rsidR="00855D08">
        <w:t xml:space="preserve">deux </w:t>
      </w:r>
      <w:r w:rsidR="005F670E">
        <w:t xml:space="preserve">établissements-composantes </w:t>
      </w:r>
      <w:r w:rsidR="005F670E" w:rsidRPr="005F670E">
        <w:t>de l'établissement public expérimental (EPE) « université Marie et Louis Pasteur » (UMLP)</w:t>
      </w:r>
      <w:r>
        <w:t xml:space="preserve"> </w:t>
      </w:r>
      <w:r w:rsidRPr="00CE637F">
        <w:t xml:space="preserve">et </w:t>
      </w:r>
      <w:r w:rsidR="005F670E">
        <w:t xml:space="preserve">est également membre </w:t>
      </w:r>
      <w:r w:rsidRPr="00CE637F">
        <w:t>du réseau des Universités de Technologie (Compiègne, Troyes et Shanghai)</w:t>
      </w:r>
      <w:r>
        <w:t xml:space="preserve">. L’UTBM est </w:t>
      </w:r>
      <w:r w:rsidRPr="00DC4A4E">
        <w:t xml:space="preserve">la 4ème plus importante formation d’ingénieur </w:t>
      </w:r>
      <w:r>
        <w:t>p</w:t>
      </w:r>
      <w:r w:rsidRPr="00DC4A4E">
        <w:t>ost</w:t>
      </w:r>
      <w:r>
        <w:t>-</w:t>
      </w:r>
      <w:r w:rsidRPr="00DC4A4E">
        <w:t>bac Française</w:t>
      </w:r>
      <w:r>
        <w:t xml:space="preserve">. L’UTBM est répartie sur </w:t>
      </w:r>
      <w:r w:rsidRPr="00984EC6">
        <w:t xml:space="preserve">3 </w:t>
      </w:r>
      <w:r>
        <w:t>campus</w:t>
      </w:r>
      <w:r w:rsidRPr="00984EC6">
        <w:t xml:space="preserve"> et est implantée sur 3 communes distinctes : Sevenans, Montbéliard et Belfort.</w:t>
      </w:r>
      <w:r>
        <w:t xml:space="preserve"> </w:t>
      </w:r>
      <w:r w:rsidRPr="00984EC6">
        <w:t>Son siège est basé sur le site de Sevenans.</w:t>
      </w:r>
    </w:p>
    <w:p w14:paraId="602279DE" w14:textId="77777777" w:rsidR="00622BBD" w:rsidRDefault="00622BBD" w:rsidP="00905278"/>
    <w:p w14:paraId="08899649" w14:textId="77777777" w:rsidR="00622BBD" w:rsidRDefault="00622BBD" w:rsidP="00905278"/>
    <w:p w14:paraId="25AEF199" w14:textId="55D8CFB5" w:rsidR="00622BBD" w:rsidRDefault="003830FC" w:rsidP="003830FC">
      <w:pPr>
        <w:pStyle w:val="Titre3"/>
      </w:pPr>
      <w:bookmarkStart w:id="7" w:name="_Toc192771831"/>
      <w:r>
        <w:t>1.2</w:t>
      </w:r>
      <w:r w:rsidR="00E20EBB">
        <w:t xml:space="preserve"> - </w:t>
      </w:r>
      <w:r w:rsidR="005C69BB">
        <w:t>Objet de la convention</w:t>
      </w:r>
      <w:bookmarkEnd w:id="7"/>
      <w:r w:rsidR="005C69BB">
        <w:t xml:space="preserve"> </w:t>
      </w:r>
    </w:p>
    <w:p w14:paraId="68D0F093" w14:textId="77777777" w:rsidR="003830FC" w:rsidRDefault="003830FC" w:rsidP="00905278"/>
    <w:p w14:paraId="44B722EA" w14:textId="196BECF5" w:rsidR="003830FC" w:rsidRDefault="00BA2903" w:rsidP="00905278">
      <w:r w:rsidRPr="00BA2903">
        <w:t xml:space="preserve">La présente convention a pour objet de définir les conditions dans lesquelles l'occupant est autorisé à occuper le domaine public de l'UTBM pour </w:t>
      </w:r>
      <w:r w:rsidRPr="005C0DD3">
        <w:rPr>
          <w:b/>
          <w:bCs/>
        </w:rPr>
        <w:t>installer, exploiter et maintenir des distributeurs automatiques de boissons et de denrées alimentaires.</w:t>
      </w:r>
      <w:r w:rsidRPr="00BA2903">
        <w:t xml:space="preserve"> Elle précise les obligations de l'occupant en matière de qualité des produits, de maintenance des équipements, de respect des normes d'hygiène et de sécurité, ainsi que les modalités financières de la redevance due à l'UTBM.</w:t>
      </w:r>
    </w:p>
    <w:p w14:paraId="0AB4E901" w14:textId="77777777" w:rsidR="00215E22" w:rsidRDefault="00215E22" w:rsidP="00905278"/>
    <w:p w14:paraId="619C74A7" w14:textId="165D2094" w:rsidR="00215E22" w:rsidRDefault="00E20EBB" w:rsidP="003830FC">
      <w:pPr>
        <w:pStyle w:val="Titre2"/>
      </w:pPr>
      <w:bookmarkStart w:id="8" w:name="_Toc192771832"/>
      <w:r>
        <w:t>Article</w:t>
      </w:r>
      <w:r w:rsidR="008D37A3">
        <w:t xml:space="preserve"> 2 - </w:t>
      </w:r>
      <w:r w:rsidR="00215E22">
        <w:t>Dispositions administratives</w:t>
      </w:r>
      <w:bookmarkEnd w:id="8"/>
    </w:p>
    <w:p w14:paraId="5211E0BB" w14:textId="77777777" w:rsidR="00BF09D2" w:rsidRDefault="00BF09D2" w:rsidP="00905278"/>
    <w:p w14:paraId="6E8DF1D7" w14:textId="504AEE09" w:rsidR="005C69BB" w:rsidRDefault="008D37A3" w:rsidP="003830FC">
      <w:pPr>
        <w:pStyle w:val="Titre3"/>
      </w:pPr>
      <w:bookmarkStart w:id="9" w:name="_Toc192771833"/>
      <w:r>
        <w:t xml:space="preserve">2.1 - </w:t>
      </w:r>
      <w:r w:rsidR="005C69BB">
        <w:t>Nature de la convention</w:t>
      </w:r>
      <w:bookmarkEnd w:id="9"/>
      <w:r w:rsidR="005C69BB">
        <w:t xml:space="preserve"> </w:t>
      </w:r>
    </w:p>
    <w:p w14:paraId="14EF97DF" w14:textId="77777777" w:rsidR="00BF09D2" w:rsidRDefault="00BF09D2" w:rsidP="00905278"/>
    <w:p w14:paraId="4A34FDBA" w14:textId="109742A4" w:rsidR="00BA2903" w:rsidRDefault="00BA2903" w:rsidP="00905278">
      <w:r w:rsidRPr="00BA2903">
        <w:t xml:space="preserve">La présente convention constitue une autorisation d'occupation temporaire du domaine public (AOT) accordée par l'UTBM à l'occupant. Elle est conclue à titre </w:t>
      </w:r>
      <w:r w:rsidR="005F184C">
        <w:t xml:space="preserve">personnel, </w:t>
      </w:r>
      <w:r w:rsidRPr="00BA2903">
        <w:t>précaire et révocable, et ne confère aucun droit réel à l'occupant sur les emplacements mis à disposition. L'occupant ne peut en aucun cas céder, sous-louer ou transférer cette autorisation sans l'accord préalable et écrit de l'UTBM.</w:t>
      </w:r>
    </w:p>
    <w:p w14:paraId="50C74CBE" w14:textId="77777777" w:rsidR="00BF09D2" w:rsidRDefault="00BF09D2" w:rsidP="00905278"/>
    <w:p w14:paraId="4A692394" w14:textId="702B524C" w:rsidR="005C69BB" w:rsidRDefault="003C70C1" w:rsidP="003830FC">
      <w:pPr>
        <w:pStyle w:val="Titre3"/>
      </w:pPr>
      <w:bookmarkStart w:id="10" w:name="_Toc192771834"/>
      <w:r>
        <w:t xml:space="preserve">2.2 - </w:t>
      </w:r>
      <w:r w:rsidR="005C69BB">
        <w:t>Durée de la convention</w:t>
      </w:r>
      <w:bookmarkEnd w:id="10"/>
      <w:r w:rsidR="005C69BB">
        <w:t xml:space="preserve"> </w:t>
      </w:r>
    </w:p>
    <w:p w14:paraId="6077747F" w14:textId="77777777" w:rsidR="00BF09D2" w:rsidRDefault="00BF09D2" w:rsidP="00905278"/>
    <w:p w14:paraId="669CBF8C" w14:textId="37836A0C" w:rsidR="00BA2903" w:rsidRDefault="00BA2903" w:rsidP="00905278">
      <w:r w:rsidRPr="00BA2903">
        <w:t>La durée de la présente convention est définie en deux périodes : une période initiale et des périodes de reconduction éventuelles. Les modalités de ces périodes sont précisées ci-après.</w:t>
      </w:r>
    </w:p>
    <w:p w14:paraId="2E66D94B" w14:textId="77777777" w:rsidR="00BF09D2" w:rsidRDefault="00BF09D2" w:rsidP="00905278"/>
    <w:p w14:paraId="5EC29575" w14:textId="3EFE8A5B" w:rsidR="005C69BB" w:rsidRDefault="003C70C1" w:rsidP="003830FC">
      <w:pPr>
        <w:pStyle w:val="Titre4"/>
      </w:pPr>
      <w:r>
        <w:t xml:space="preserve">2.2.1 - </w:t>
      </w:r>
      <w:r w:rsidR="005C69BB">
        <w:t xml:space="preserve">Période initiale </w:t>
      </w:r>
    </w:p>
    <w:p w14:paraId="45D1ABF9" w14:textId="77777777" w:rsidR="00BF09D2" w:rsidRDefault="00BF09D2" w:rsidP="00905278"/>
    <w:p w14:paraId="64D760FF" w14:textId="737D4E2D" w:rsidR="00BA2903" w:rsidRDefault="00BA2903" w:rsidP="00905278">
      <w:r w:rsidRPr="00BA2903">
        <w:t xml:space="preserve">La période initiale de la convention est fixée </w:t>
      </w:r>
      <w:r w:rsidR="003D7EC2">
        <w:t xml:space="preserve">pour une durée de </w:t>
      </w:r>
      <w:r w:rsidRPr="00BA2903">
        <w:t xml:space="preserve">trois (3) ans </w:t>
      </w:r>
      <w:r w:rsidRPr="003D7EC2">
        <w:rPr>
          <w:b/>
          <w:bCs/>
        </w:rPr>
        <w:t xml:space="preserve">à compter </w:t>
      </w:r>
      <w:r w:rsidR="003D7EC2" w:rsidRPr="003D7EC2">
        <w:rPr>
          <w:b/>
          <w:bCs/>
        </w:rPr>
        <w:t>du 1</w:t>
      </w:r>
      <w:r w:rsidR="003D7EC2" w:rsidRPr="003D7EC2">
        <w:rPr>
          <w:b/>
          <w:bCs/>
          <w:vertAlign w:val="superscript"/>
        </w:rPr>
        <w:t>er</w:t>
      </w:r>
      <w:r w:rsidR="003D7EC2" w:rsidRPr="003D7EC2">
        <w:rPr>
          <w:b/>
          <w:bCs/>
        </w:rPr>
        <w:t xml:space="preserve"> mai 2025</w:t>
      </w:r>
      <w:r w:rsidR="003D7EC2">
        <w:t>.</w:t>
      </w:r>
      <w:r w:rsidRPr="00BA2903">
        <w:t xml:space="preserve"> Durant cette période, l'occupant s'engage à respecter l'ensemble des obligations stipulées dans la présente convention.</w:t>
      </w:r>
    </w:p>
    <w:p w14:paraId="1F212928" w14:textId="77777777" w:rsidR="00BF09D2" w:rsidRDefault="00BF09D2" w:rsidP="00905278"/>
    <w:p w14:paraId="0AF07781" w14:textId="4FFC921C" w:rsidR="005C69BB" w:rsidRDefault="003C70C1" w:rsidP="003830FC">
      <w:pPr>
        <w:pStyle w:val="Titre4"/>
      </w:pPr>
      <w:r>
        <w:t xml:space="preserve">2.2.2 - </w:t>
      </w:r>
      <w:r w:rsidR="005C69BB">
        <w:t xml:space="preserve">Reconduction </w:t>
      </w:r>
    </w:p>
    <w:p w14:paraId="3C8902C4" w14:textId="77777777" w:rsidR="00BF09D2" w:rsidRDefault="00BF09D2" w:rsidP="00905278"/>
    <w:p w14:paraId="6E7B6F8C" w14:textId="3911A886" w:rsidR="00AB77F9" w:rsidRDefault="00BA2903" w:rsidP="00905278">
      <w:r w:rsidRPr="00BA2903">
        <w:t xml:space="preserve">La convention peut être reconduite tacitement pour </w:t>
      </w:r>
      <w:r w:rsidR="00F46322">
        <w:t>trois</w:t>
      </w:r>
      <w:r w:rsidRPr="00BA2903">
        <w:t xml:space="preserve"> (</w:t>
      </w:r>
      <w:r w:rsidR="00F46322">
        <w:t>3</w:t>
      </w:r>
      <w:r w:rsidRPr="00BA2903">
        <w:t xml:space="preserve">) périodes successives d'un (1) an chacune, </w:t>
      </w:r>
      <w:r w:rsidR="00AB77F9">
        <w:t xml:space="preserve">sans que la durée totale ne puisse excéder </w:t>
      </w:r>
      <w:r w:rsidR="00F46322">
        <w:t>six</w:t>
      </w:r>
      <w:r w:rsidR="00AB77F9">
        <w:t xml:space="preserve"> (</w:t>
      </w:r>
      <w:r w:rsidR="00F46322">
        <w:t>6</w:t>
      </w:r>
      <w:r w:rsidR="00AB77F9">
        <w:t xml:space="preserve">) ans. </w:t>
      </w:r>
    </w:p>
    <w:p w14:paraId="30EE5FED" w14:textId="77777777" w:rsidR="00AB77F9" w:rsidRDefault="00AB77F9" w:rsidP="00905278"/>
    <w:p w14:paraId="75B7DD6E" w14:textId="77777777" w:rsidR="00AB77F9" w:rsidRDefault="00AB77F9" w:rsidP="00905278">
      <w:r w:rsidRPr="00BA2903">
        <w:t>La reconduction est soumise à l'évaluation de la qualité du service rendu par l'occupant et au respect des obligations contractuelles</w:t>
      </w:r>
      <w:r>
        <w:t>, et l’occupant ne peut s’y opposer.</w:t>
      </w:r>
    </w:p>
    <w:p w14:paraId="6160C8E7" w14:textId="77777777" w:rsidR="00AB77F9" w:rsidRDefault="00AB77F9" w:rsidP="00905278"/>
    <w:p w14:paraId="6AFE921F" w14:textId="001D9B7E" w:rsidR="00BF09D2" w:rsidRDefault="00AB77F9" w:rsidP="00905278">
      <w:r>
        <w:t>Dans le cas où l’UTBM ne souhaiterait pas reconduire la convention, un avis de d</w:t>
      </w:r>
      <w:r w:rsidR="00BA2903" w:rsidRPr="00BA2903">
        <w:t xml:space="preserve">énonciation </w:t>
      </w:r>
      <w:r>
        <w:t>sera envoyé</w:t>
      </w:r>
      <w:r w:rsidR="00BA2903" w:rsidRPr="00BA2903">
        <w:t xml:space="preserve"> par lettre recommandée avec accusé de réception, </w:t>
      </w:r>
      <w:r>
        <w:t>six</w:t>
      </w:r>
      <w:r w:rsidR="00BA2903" w:rsidRPr="00BA2903">
        <w:t xml:space="preserve"> (</w:t>
      </w:r>
      <w:r>
        <w:t>6</w:t>
      </w:r>
      <w:r w:rsidR="00BA2903" w:rsidRPr="00BA2903">
        <w:t>) mois avant l'échéance de la période en cours</w:t>
      </w:r>
      <w:r>
        <w:t>, en vue de préparer le renouvellement de la nouvelle convention</w:t>
      </w:r>
      <w:r w:rsidR="00BA2903" w:rsidRPr="00BA2903">
        <w:t xml:space="preserve">. </w:t>
      </w:r>
    </w:p>
    <w:p w14:paraId="6D3A8C20" w14:textId="77777777" w:rsidR="00AB77F9" w:rsidRDefault="00AB77F9" w:rsidP="00905278"/>
    <w:p w14:paraId="04F9A31D" w14:textId="77777777" w:rsidR="00AB77F9" w:rsidRDefault="00AB77F9" w:rsidP="00905278"/>
    <w:p w14:paraId="56EF341C" w14:textId="7F4F086C" w:rsidR="00625207" w:rsidRDefault="003C70C1" w:rsidP="003830FC">
      <w:pPr>
        <w:pStyle w:val="Titre3"/>
      </w:pPr>
      <w:bookmarkStart w:id="11" w:name="_Toc192771835"/>
      <w:r>
        <w:t xml:space="preserve">2.3 - </w:t>
      </w:r>
      <w:r w:rsidR="00625207">
        <w:t>Pièces contractuelles</w:t>
      </w:r>
      <w:bookmarkEnd w:id="11"/>
    </w:p>
    <w:p w14:paraId="5EE2D5C6" w14:textId="77777777" w:rsidR="00BF09D2" w:rsidRDefault="00BF09D2" w:rsidP="00905278"/>
    <w:p w14:paraId="24030464" w14:textId="77777777" w:rsidR="00BA2903" w:rsidRPr="003A1AED" w:rsidRDefault="00BA2903" w:rsidP="00BA2903">
      <w:r w:rsidRPr="003A1AED">
        <w:t>Les pièces contractuelles de la présente convention comprennent :</w:t>
      </w:r>
    </w:p>
    <w:p w14:paraId="22CC394F" w14:textId="77777777" w:rsidR="00BA2903" w:rsidRPr="003A1AED" w:rsidRDefault="00BA2903" w:rsidP="00463ACE">
      <w:pPr>
        <w:ind w:left="426"/>
      </w:pPr>
      <w:r w:rsidRPr="003A1AED">
        <w:t>•</w:t>
      </w:r>
      <w:r w:rsidRPr="003A1AED">
        <w:tab/>
        <w:t>La présente convention et ses annexes ;</w:t>
      </w:r>
    </w:p>
    <w:p w14:paraId="0FBF6265" w14:textId="3E812D74" w:rsidR="00BA2903" w:rsidRPr="003A1AED" w:rsidRDefault="00BA2903" w:rsidP="00463ACE">
      <w:pPr>
        <w:ind w:left="426"/>
      </w:pPr>
      <w:r w:rsidRPr="003A1AED">
        <w:t>•</w:t>
      </w:r>
      <w:r w:rsidRPr="003A1AED">
        <w:tab/>
      </w:r>
      <w:r w:rsidR="003A1AED" w:rsidRPr="003A1AED">
        <w:t xml:space="preserve">Le cadre de réponse technique et financier </w:t>
      </w:r>
      <w:r w:rsidRPr="003A1AED">
        <w:t>;</w:t>
      </w:r>
    </w:p>
    <w:p w14:paraId="3C2E763D" w14:textId="00B7A885" w:rsidR="00BA2903" w:rsidRDefault="00BA2903" w:rsidP="00463ACE">
      <w:pPr>
        <w:ind w:left="426"/>
      </w:pPr>
      <w:r w:rsidRPr="003A1AED">
        <w:t>•</w:t>
      </w:r>
      <w:r w:rsidRPr="003A1AED">
        <w:tab/>
        <w:t>L'offre de l'occupant ;</w:t>
      </w:r>
    </w:p>
    <w:p w14:paraId="77E2A3DA" w14:textId="0B13D44D" w:rsidR="003A1AED" w:rsidRPr="003A1AED" w:rsidRDefault="003A1AED" w:rsidP="003A1AED">
      <w:pPr>
        <w:pStyle w:val="Paragraphedeliste"/>
        <w:numPr>
          <w:ilvl w:val="0"/>
          <w:numId w:val="15"/>
        </w:numPr>
      </w:pPr>
      <w:r>
        <w:lastRenderedPageBreak/>
        <w:t>Les états des lieux et inventaires éventuels ;</w:t>
      </w:r>
    </w:p>
    <w:p w14:paraId="306C2EEC" w14:textId="5D7AC8D1" w:rsidR="00BF09D2" w:rsidRDefault="00BA2903" w:rsidP="00463ACE">
      <w:pPr>
        <w:ind w:left="426"/>
      </w:pPr>
      <w:r w:rsidRPr="003A1AED">
        <w:t>•</w:t>
      </w:r>
      <w:r w:rsidRPr="003A1AED">
        <w:tab/>
        <w:t>Les éventuels avenants signés par les deux parties. En cas de contradiction entre les documents, la présente convention prime sur les autres pièces contractuelles.</w:t>
      </w:r>
    </w:p>
    <w:p w14:paraId="1F7379C4" w14:textId="77777777" w:rsidR="005C69BB" w:rsidRDefault="005C69BB" w:rsidP="00905278"/>
    <w:p w14:paraId="71B5A8E5" w14:textId="122B2BBC" w:rsidR="005C69BB" w:rsidRDefault="00E20EBB" w:rsidP="003830FC">
      <w:pPr>
        <w:pStyle w:val="Titre2"/>
      </w:pPr>
      <w:bookmarkStart w:id="12" w:name="_Toc192771836"/>
      <w:r>
        <w:t xml:space="preserve">Article </w:t>
      </w:r>
      <w:r w:rsidR="008D37A3">
        <w:t xml:space="preserve">3 - </w:t>
      </w:r>
      <w:r w:rsidR="005C69BB">
        <w:t>Prestations attendues</w:t>
      </w:r>
      <w:bookmarkEnd w:id="12"/>
    </w:p>
    <w:p w14:paraId="6EA549DA" w14:textId="77777777" w:rsidR="00797F98" w:rsidRDefault="00797F98" w:rsidP="00BA2903"/>
    <w:p w14:paraId="345F148A" w14:textId="77777777" w:rsidR="001B51A3" w:rsidRDefault="00BA2903" w:rsidP="00BA2903">
      <w:r>
        <w:t xml:space="preserve">L'occupant s'engage à fournir, installer, exploiter et maintenir des distributeurs automatiques de boissons et de denrées alimentaires dans les locaux de l'UTBM. </w:t>
      </w:r>
    </w:p>
    <w:p w14:paraId="2ADAF7E4" w14:textId="77777777" w:rsidR="001B51A3" w:rsidRDefault="001B51A3" w:rsidP="00BA2903"/>
    <w:p w14:paraId="39CFFE31" w14:textId="3EA3BEC9" w:rsidR="00BA2903" w:rsidRDefault="00BA2903" w:rsidP="00BA2903">
      <w:r>
        <w:t>Les prestations attendues incluent :</w:t>
      </w:r>
    </w:p>
    <w:p w14:paraId="7B576DBF" w14:textId="77777777" w:rsidR="00BA2903" w:rsidRDefault="00BA2903" w:rsidP="003A1AED">
      <w:pPr>
        <w:ind w:left="851" w:hanging="425"/>
      </w:pPr>
      <w:r>
        <w:t>•</w:t>
      </w:r>
      <w:r>
        <w:tab/>
        <w:t>La fourniture de distributeurs automatiques neufs ou reconditionnés de moins d'un an ;</w:t>
      </w:r>
    </w:p>
    <w:p w14:paraId="641A3152" w14:textId="77777777" w:rsidR="00BA2903" w:rsidRDefault="00BA2903" w:rsidP="003A1AED">
      <w:pPr>
        <w:ind w:left="851" w:hanging="425"/>
      </w:pPr>
      <w:r>
        <w:t>•</w:t>
      </w:r>
      <w:r>
        <w:tab/>
        <w:t>L'approvisionnement régulier des distributeurs en produits de qualité, conformes aux normes d'hygiène et de sécurité ;</w:t>
      </w:r>
    </w:p>
    <w:p w14:paraId="5BE2F738" w14:textId="77777777" w:rsidR="00BA2903" w:rsidRDefault="00BA2903" w:rsidP="003A1AED">
      <w:pPr>
        <w:ind w:left="851" w:hanging="425"/>
      </w:pPr>
      <w:r>
        <w:t>•</w:t>
      </w:r>
      <w:r>
        <w:tab/>
        <w:t>La maintenance préventive et corrective des équipements pour garantir leur bon fonctionnement ;</w:t>
      </w:r>
    </w:p>
    <w:p w14:paraId="2D3316C8" w14:textId="77777777" w:rsidR="00BA2903" w:rsidRDefault="00BA2903" w:rsidP="003A1AED">
      <w:pPr>
        <w:ind w:left="851" w:hanging="425"/>
      </w:pPr>
      <w:r>
        <w:t>•</w:t>
      </w:r>
      <w:r>
        <w:tab/>
        <w:t>La gestion des réclamations des usagers et le remboursement en cas de dysfonctionnement ;</w:t>
      </w:r>
    </w:p>
    <w:p w14:paraId="1BFDBEAA" w14:textId="77777777" w:rsidR="00BA2903" w:rsidRDefault="00BA2903" w:rsidP="003A1AED">
      <w:pPr>
        <w:ind w:left="851" w:hanging="425"/>
      </w:pPr>
      <w:r>
        <w:t>•</w:t>
      </w:r>
      <w:r>
        <w:tab/>
        <w:t>La mise en place de mesures de sécurité pour prévenir les actes de vandalisme et de détérioration des distributeurs ;</w:t>
      </w:r>
    </w:p>
    <w:p w14:paraId="6E37D66D" w14:textId="3CB98660" w:rsidR="00BF09D2" w:rsidRDefault="00BA2903" w:rsidP="003A1AED">
      <w:pPr>
        <w:ind w:left="851" w:hanging="425"/>
      </w:pPr>
      <w:r>
        <w:t>•</w:t>
      </w:r>
      <w:r>
        <w:tab/>
        <w:t xml:space="preserve">La communication régulière avec l'UTBM sur </w:t>
      </w:r>
      <w:r w:rsidR="001B51A3">
        <w:t xml:space="preserve">les statistiques de consommation, les </w:t>
      </w:r>
      <w:proofErr w:type="spellStart"/>
      <w:r w:rsidR="001B51A3">
        <w:t>reportings</w:t>
      </w:r>
      <w:proofErr w:type="spellEnd"/>
      <w:r w:rsidR="001B51A3">
        <w:t xml:space="preserve"> d’exploitation, </w:t>
      </w:r>
      <w:r>
        <w:t>les opérations de maintenance et les interventions techniques réalisées. L'occupant doit également veiller à la propreté des emplacements et à la gestion des déchets générés par les distributeurs.</w:t>
      </w:r>
    </w:p>
    <w:p w14:paraId="3B241E5B" w14:textId="77777777" w:rsidR="00BF09D2" w:rsidRDefault="00BF09D2" w:rsidP="00905278"/>
    <w:p w14:paraId="1B833C98" w14:textId="248D71D5" w:rsidR="005C69BB" w:rsidRDefault="003C70C1" w:rsidP="003830FC">
      <w:pPr>
        <w:pStyle w:val="Titre3"/>
      </w:pPr>
      <w:bookmarkStart w:id="13" w:name="_Toc192771837"/>
      <w:r>
        <w:t xml:space="preserve">3.1 - </w:t>
      </w:r>
      <w:r w:rsidR="005C69BB">
        <w:t>Description des locaux</w:t>
      </w:r>
      <w:bookmarkEnd w:id="13"/>
      <w:r w:rsidR="005C69BB">
        <w:t xml:space="preserve"> </w:t>
      </w:r>
    </w:p>
    <w:p w14:paraId="57F93A9C" w14:textId="77777777" w:rsidR="00BF09D2" w:rsidRDefault="00BF09D2" w:rsidP="00905278"/>
    <w:p w14:paraId="2749456F" w14:textId="15D0238F" w:rsidR="00BA2903" w:rsidRDefault="00BA2903" w:rsidP="00905278">
      <w:r w:rsidRPr="00BA2903">
        <w:t xml:space="preserve">Les locaux mis à disposition pour l'installation et l'exploitation des distributeurs automatiques sont situés dans les différents </w:t>
      </w:r>
      <w:r w:rsidR="00AE2B69">
        <w:t xml:space="preserve">sites et </w:t>
      </w:r>
      <w:r w:rsidRPr="00BA2903">
        <w:t xml:space="preserve">bâtiments de </w:t>
      </w:r>
      <w:r w:rsidR="00AE2B69">
        <w:t>l’</w:t>
      </w:r>
      <w:r w:rsidRPr="00BA2903">
        <w:t xml:space="preserve">UTBM. Ces locaux comprennent des espaces communs tels que les halls d'entrée, </w:t>
      </w:r>
      <w:r w:rsidR="00AE2B69">
        <w:t xml:space="preserve">les circulations, les bureaux, </w:t>
      </w:r>
      <w:r w:rsidRPr="00BA2903">
        <w:t xml:space="preserve">les salles de </w:t>
      </w:r>
      <w:r w:rsidR="00AE2B69">
        <w:t xml:space="preserve">réunion, les salles de cours et </w:t>
      </w:r>
      <w:r w:rsidRPr="00BA2903">
        <w:t>autres zones de passage fréquentées par les étudiants, le personnel et les visiteurs. Les locaux sont équipés des infrastructures nécessaires pour accueillir les distributeurs automatiques, notamment des prises électriques et des arrivées d'eau si nécessaire. L'UTBM s'engage à maintenir ces locaux en bon état de propreté et de fonctionnement.</w:t>
      </w:r>
    </w:p>
    <w:p w14:paraId="30D90A17" w14:textId="77777777" w:rsidR="00BF09D2" w:rsidRDefault="00BF09D2" w:rsidP="00905278"/>
    <w:p w14:paraId="5EE71526" w14:textId="0C9D5C02" w:rsidR="008944C8" w:rsidRDefault="003C70C1" w:rsidP="003830FC">
      <w:pPr>
        <w:pStyle w:val="Titre3"/>
      </w:pPr>
      <w:bookmarkStart w:id="14" w:name="_Toc192771838"/>
      <w:r>
        <w:t xml:space="preserve">3.2 - </w:t>
      </w:r>
      <w:r w:rsidR="005C69BB">
        <w:t>Emplacement des distributeurs</w:t>
      </w:r>
      <w:bookmarkEnd w:id="14"/>
      <w:r w:rsidR="005C69BB">
        <w:t xml:space="preserve"> </w:t>
      </w:r>
    </w:p>
    <w:p w14:paraId="664C9A44" w14:textId="77777777" w:rsidR="00BF09D2" w:rsidRDefault="00BF09D2" w:rsidP="008944C8"/>
    <w:p w14:paraId="51A7A529" w14:textId="7595E2E3" w:rsidR="001C6912" w:rsidRDefault="00BA2903" w:rsidP="008944C8">
      <w:r w:rsidRPr="00BA2903">
        <w:t xml:space="preserve">Les distributeurs automatiques seront installés aux emplacements </w:t>
      </w:r>
      <w:r w:rsidR="001C6912">
        <w:t>ci-dessous</w:t>
      </w:r>
      <w:r w:rsidRPr="00BA2903">
        <w:t xml:space="preserve">. Les emplacements sont choisis en fonction de la fréquentation des zones, de la facilité d'accès pour les utilisateurs et de la disponibilité des infrastructures nécessaires. </w:t>
      </w:r>
    </w:p>
    <w:p w14:paraId="4199156C" w14:textId="77777777" w:rsidR="001C6912" w:rsidRDefault="001C6912" w:rsidP="008944C8"/>
    <w:tbl>
      <w:tblPr>
        <w:tblStyle w:val="Grilledutableau"/>
        <w:tblW w:w="0" w:type="auto"/>
        <w:tblLook w:val="04A0" w:firstRow="1" w:lastRow="0" w:firstColumn="1" w:lastColumn="0" w:noHBand="0" w:noVBand="1"/>
      </w:tblPr>
      <w:tblGrid>
        <w:gridCol w:w="1696"/>
        <w:gridCol w:w="1418"/>
        <w:gridCol w:w="2977"/>
        <w:gridCol w:w="2969"/>
      </w:tblGrid>
      <w:tr w:rsidR="001C6912" w14:paraId="6C3E57B5" w14:textId="77777777" w:rsidTr="006F3E23">
        <w:tc>
          <w:tcPr>
            <w:tcW w:w="1696" w:type="dxa"/>
            <w:shd w:val="clear" w:color="auto" w:fill="D0CECE" w:themeFill="background2" w:themeFillShade="E6"/>
          </w:tcPr>
          <w:p w14:paraId="2E8A3528" w14:textId="0DFA628C" w:rsidR="001C6912" w:rsidRPr="00D11605" w:rsidRDefault="001C6912" w:rsidP="00D11605">
            <w:pPr>
              <w:jc w:val="center"/>
              <w:rPr>
                <w:b/>
                <w:bCs/>
              </w:rPr>
            </w:pPr>
            <w:r w:rsidRPr="00D11605">
              <w:rPr>
                <w:b/>
                <w:bCs/>
              </w:rPr>
              <w:t>Site UTBM</w:t>
            </w:r>
          </w:p>
        </w:tc>
        <w:tc>
          <w:tcPr>
            <w:tcW w:w="1418" w:type="dxa"/>
            <w:shd w:val="clear" w:color="auto" w:fill="D0CECE" w:themeFill="background2" w:themeFillShade="E6"/>
          </w:tcPr>
          <w:p w14:paraId="07261567" w14:textId="7CEBE37D" w:rsidR="001C6912" w:rsidRPr="00D11605" w:rsidRDefault="001C6912" w:rsidP="00D11605">
            <w:pPr>
              <w:jc w:val="center"/>
              <w:rPr>
                <w:b/>
                <w:bCs/>
              </w:rPr>
            </w:pPr>
            <w:r w:rsidRPr="00D11605">
              <w:rPr>
                <w:b/>
                <w:bCs/>
              </w:rPr>
              <w:t>Bâtiment</w:t>
            </w:r>
          </w:p>
        </w:tc>
        <w:tc>
          <w:tcPr>
            <w:tcW w:w="2977" w:type="dxa"/>
            <w:shd w:val="clear" w:color="auto" w:fill="D0CECE" w:themeFill="background2" w:themeFillShade="E6"/>
          </w:tcPr>
          <w:p w14:paraId="5B0FCA09" w14:textId="6D96A1D2" w:rsidR="001C6912" w:rsidRPr="00D11605" w:rsidRDefault="00642A05" w:rsidP="00D11605">
            <w:pPr>
              <w:jc w:val="center"/>
              <w:rPr>
                <w:b/>
                <w:bCs/>
              </w:rPr>
            </w:pPr>
            <w:r>
              <w:rPr>
                <w:b/>
                <w:bCs/>
              </w:rPr>
              <w:t xml:space="preserve">Etage et </w:t>
            </w:r>
            <w:r w:rsidR="001C6912" w:rsidRPr="00D11605">
              <w:rPr>
                <w:b/>
                <w:bCs/>
              </w:rPr>
              <w:t>Emplacement</w:t>
            </w:r>
          </w:p>
        </w:tc>
        <w:tc>
          <w:tcPr>
            <w:tcW w:w="2969" w:type="dxa"/>
            <w:shd w:val="clear" w:color="auto" w:fill="D0CECE" w:themeFill="background2" w:themeFillShade="E6"/>
          </w:tcPr>
          <w:p w14:paraId="07C6AF43" w14:textId="13AF1FEA" w:rsidR="001C6912" w:rsidRPr="00D11605" w:rsidRDefault="001C6912" w:rsidP="00D11605">
            <w:pPr>
              <w:jc w:val="center"/>
              <w:rPr>
                <w:b/>
                <w:bCs/>
              </w:rPr>
            </w:pPr>
            <w:r w:rsidRPr="00D11605">
              <w:rPr>
                <w:b/>
                <w:bCs/>
              </w:rPr>
              <w:t>Type de distributeur</w:t>
            </w:r>
          </w:p>
        </w:tc>
      </w:tr>
      <w:tr w:rsidR="006F3E23" w14:paraId="60CCEE4A" w14:textId="77777777" w:rsidTr="006F3E23">
        <w:tc>
          <w:tcPr>
            <w:tcW w:w="1696" w:type="dxa"/>
            <w:vMerge w:val="restart"/>
            <w:vAlign w:val="center"/>
          </w:tcPr>
          <w:p w14:paraId="2EB7A7B3" w14:textId="5730ECCE" w:rsidR="006F3E23" w:rsidRDefault="006F3E23" w:rsidP="006F3E23">
            <w:pPr>
              <w:jc w:val="center"/>
            </w:pPr>
            <w:r>
              <w:t>Site de Sevenans</w:t>
            </w:r>
          </w:p>
        </w:tc>
        <w:tc>
          <w:tcPr>
            <w:tcW w:w="1418" w:type="dxa"/>
            <w:vMerge w:val="restart"/>
            <w:vAlign w:val="center"/>
          </w:tcPr>
          <w:p w14:paraId="56A95C10" w14:textId="583ACC40" w:rsidR="006F3E23" w:rsidRDefault="006F3E23" w:rsidP="006F3E23">
            <w:pPr>
              <w:jc w:val="center"/>
            </w:pPr>
            <w:r>
              <w:t>Pont</w:t>
            </w:r>
          </w:p>
        </w:tc>
        <w:tc>
          <w:tcPr>
            <w:tcW w:w="2977" w:type="dxa"/>
            <w:vMerge w:val="restart"/>
            <w:vAlign w:val="center"/>
          </w:tcPr>
          <w:p w14:paraId="0E2303AA" w14:textId="77777777" w:rsidR="000742BD" w:rsidRPr="007532E1" w:rsidRDefault="006F3E23" w:rsidP="000742BD">
            <w:pPr>
              <w:jc w:val="center"/>
            </w:pPr>
            <w:r w:rsidRPr="007532E1">
              <w:t xml:space="preserve">Niveau 1 </w:t>
            </w:r>
            <w:r w:rsidR="000742BD" w:rsidRPr="007532E1">
              <w:t xml:space="preserve">– </w:t>
            </w:r>
            <w:r w:rsidRPr="007532E1">
              <w:t>Ziggourat</w:t>
            </w:r>
            <w:r w:rsidR="000742BD" w:rsidRPr="007532E1">
              <w:t xml:space="preserve"> - P 180</w:t>
            </w:r>
          </w:p>
          <w:p w14:paraId="3A3DAA14" w14:textId="5AC27D99" w:rsidR="000742BD" w:rsidRPr="007532E1" w:rsidRDefault="000742BD" w:rsidP="000742BD">
            <w:pPr>
              <w:jc w:val="center"/>
            </w:pPr>
            <w:r w:rsidRPr="007532E1">
              <w:t>Près de la salle P 107</w:t>
            </w:r>
          </w:p>
        </w:tc>
        <w:tc>
          <w:tcPr>
            <w:tcW w:w="2969" w:type="dxa"/>
            <w:vAlign w:val="center"/>
          </w:tcPr>
          <w:p w14:paraId="6AB29A0E" w14:textId="054F9DAF" w:rsidR="006F3E23" w:rsidRDefault="006F3E23" w:rsidP="006F3E23">
            <w:pPr>
              <w:jc w:val="center"/>
            </w:pPr>
            <w:r>
              <w:t>Mixte : Boissons fraîches et snacks</w:t>
            </w:r>
          </w:p>
        </w:tc>
      </w:tr>
      <w:tr w:rsidR="006F3E23" w14:paraId="132E9BB9" w14:textId="77777777" w:rsidTr="006F3E23">
        <w:tc>
          <w:tcPr>
            <w:tcW w:w="1696" w:type="dxa"/>
            <w:vMerge/>
            <w:vAlign w:val="center"/>
          </w:tcPr>
          <w:p w14:paraId="30DE799B" w14:textId="77777777" w:rsidR="006F3E23" w:rsidRDefault="006F3E23" w:rsidP="006F3E23">
            <w:pPr>
              <w:jc w:val="center"/>
            </w:pPr>
          </w:p>
        </w:tc>
        <w:tc>
          <w:tcPr>
            <w:tcW w:w="1418" w:type="dxa"/>
            <w:vMerge/>
            <w:vAlign w:val="center"/>
          </w:tcPr>
          <w:p w14:paraId="61EBF849" w14:textId="77777777" w:rsidR="006F3E23" w:rsidRDefault="006F3E23" w:rsidP="006F3E23">
            <w:pPr>
              <w:jc w:val="center"/>
            </w:pPr>
          </w:p>
        </w:tc>
        <w:tc>
          <w:tcPr>
            <w:tcW w:w="2977" w:type="dxa"/>
            <w:vMerge/>
            <w:vAlign w:val="center"/>
          </w:tcPr>
          <w:p w14:paraId="34A10593" w14:textId="77777777" w:rsidR="006F3E23" w:rsidRPr="007532E1" w:rsidRDefault="006F3E23" w:rsidP="006F3E23">
            <w:pPr>
              <w:jc w:val="center"/>
            </w:pPr>
          </w:p>
        </w:tc>
        <w:tc>
          <w:tcPr>
            <w:tcW w:w="2969" w:type="dxa"/>
            <w:vAlign w:val="center"/>
          </w:tcPr>
          <w:p w14:paraId="205FB850" w14:textId="28AEC63B" w:rsidR="006F3E23" w:rsidRDefault="006F3E23" w:rsidP="006F3E23">
            <w:pPr>
              <w:jc w:val="center"/>
            </w:pPr>
            <w:r>
              <w:t>Boissons chaudes</w:t>
            </w:r>
          </w:p>
        </w:tc>
      </w:tr>
      <w:tr w:rsidR="006F3E23" w14:paraId="780B06B3" w14:textId="77777777" w:rsidTr="006F3E23">
        <w:tc>
          <w:tcPr>
            <w:tcW w:w="1696" w:type="dxa"/>
            <w:vMerge/>
            <w:vAlign w:val="center"/>
          </w:tcPr>
          <w:p w14:paraId="7E18C6B2" w14:textId="77777777" w:rsidR="006F3E23" w:rsidRDefault="006F3E23" w:rsidP="006F3E23">
            <w:pPr>
              <w:jc w:val="center"/>
            </w:pPr>
          </w:p>
        </w:tc>
        <w:tc>
          <w:tcPr>
            <w:tcW w:w="1418" w:type="dxa"/>
            <w:vMerge/>
            <w:vAlign w:val="center"/>
          </w:tcPr>
          <w:p w14:paraId="178B873D" w14:textId="77777777" w:rsidR="006F3E23" w:rsidRDefault="006F3E23" w:rsidP="006F3E23">
            <w:pPr>
              <w:jc w:val="center"/>
            </w:pPr>
          </w:p>
        </w:tc>
        <w:tc>
          <w:tcPr>
            <w:tcW w:w="2977" w:type="dxa"/>
            <w:vMerge w:val="restart"/>
            <w:vAlign w:val="center"/>
          </w:tcPr>
          <w:p w14:paraId="5ECFEA47" w14:textId="17E8543C" w:rsidR="006F3E23" w:rsidRPr="007532E1" w:rsidRDefault="006F3E23" w:rsidP="006F3E23">
            <w:pPr>
              <w:jc w:val="center"/>
              <w:rPr>
                <w:lang w:val="en-US"/>
              </w:rPr>
            </w:pPr>
            <w:proofErr w:type="spellStart"/>
            <w:r w:rsidRPr="007532E1">
              <w:rPr>
                <w:lang w:val="en-US"/>
              </w:rPr>
              <w:t>Niveau</w:t>
            </w:r>
            <w:proofErr w:type="spellEnd"/>
            <w:r w:rsidRPr="007532E1">
              <w:rPr>
                <w:lang w:val="en-US"/>
              </w:rPr>
              <w:t xml:space="preserve"> 3 </w:t>
            </w:r>
            <w:r w:rsidR="000742BD" w:rsidRPr="007532E1">
              <w:rPr>
                <w:lang w:val="en-US"/>
              </w:rPr>
              <w:t xml:space="preserve">- </w:t>
            </w:r>
            <w:r w:rsidRPr="007532E1">
              <w:rPr>
                <w:lang w:val="en-US"/>
              </w:rPr>
              <w:t xml:space="preserve">Hall </w:t>
            </w:r>
            <w:proofErr w:type="spellStart"/>
            <w:r w:rsidRPr="007532E1">
              <w:rPr>
                <w:lang w:val="en-US"/>
              </w:rPr>
              <w:t>d’accueil</w:t>
            </w:r>
            <w:proofErr w:type="spellEnd"/>
            <w:r w:rsidRPr="007532E1">
              <w:rPr>
                <w:lang w:val="en-US"/>
              </w:rPr>
              <w:t xml:space="preserve"> Showroom</w:t>
            </w:r>
            <w:r w:rsidR="000742BD" w:rsidRPr="007532E1">
              <w:rPr>
                <w:lang w:val="en-US"/>
              </w:rPr>
              <w:t xml:space="preserve"> – P 302</w:t>
            </w:r>
          </w:p>
        </w:tc>
        <w:tc>
          <w:tcPr>
            <w:tcW w:w="2969" w:type="dxa"/>
            <w:vAlign w:val="center"/>
          </w:tcPr>
          <w:p w14:paraId="695B8BB1" w14:textId="62AA0DE8" w:rsidR="006F3E23" w:rsidRDefault="006F3E23" w:rsidP="006F3E23">
            <w:pPr>
              <w:jc w:val="center"/>
            </w:pPr>
            <w:r>
              <w:t>Mixte : Boissons fraîches et snacks</w:t>
            </w:r>
          </w:p>
        </w:tc>
      </w:tr>
      <w:tr w:rsidR="006F3E23" w14:paraId="15483A05" w14:textId="77777777" w:rsidTr="006F3E23">
        <w:tc>
          <w:tcPr>
            <w:tcW w:w="1696" w:type="dxa"/>
            <w:vMerge/>
            <w:vAlign w:val="center"/>
          </w:tcPr>
          <w:p w14:paraId="72B23E18" w14:textId="77777777" w:rsidR="006F3E23" w:rsidRDefault="006F3E23" w:rsidP="006F3E23">
            <w:pPr>
              <w:jc w:val="center"/>
            </w:pPr>
          </w:p>
        </w:tc>
        <w:tc>
          <w:tcPr>
            <w:tcW w:w="1418" w:type="dxa"/>
            <w:vMerge/>
            <w:vAlign w:val="center"/>
          </w:tcPr>
          <w:p w14:paraId="3B051CAD" w14:textId="77777777" w:rsidR="006F3E23" w:rsidRDefault="006F3E23" w:rsidP="006F3E23">
            <w:pPr>
              <w:jc w:val="center"/>
            </w:pPr>
          </w:p>
        </w:tc>
        <w:tc>
          <w:tcPr>
            <w:tcW w:w="2977" w:type="dxa"/>
            <w:vMerge/>
            <w:vAlign w:val="center"/>
          </w:tcPr>
          <w:p w14:paraId="4E29D95C" w14:textId="77777777" w:rsidR="006F3E23" w:rsidRPr="007532E1" w:rsidRDefault="006F3E23" w:rsidP="006F3E23">
            <w:pPr>
              <w:jc w:val="center"/>
            </w:pPr>
          </w:p>
        </w:tc>
        <w:tc>
          <w:tcPr>
            <w:tcW w:w="2969" w:type="dxa"/>
            <w:vAlign w:val="center"/>
          </w:tcPr>
          <w:p w14:paraId="36848753" w14:textId="53F79FF2" w:rsidR="006F3E23" w:rsidRDefault="006F3E23" w:rsidP="006F3E23">
            <w:pPr>
              <w:jc w:val="center"/>
            </w:pPr>
            <w:r>
              <w:t>Machine à café en grain</w:t>
            </w:r>
          </w:p>
        </w:tc>
      </w:tr>
      <w:tr w:rsidR="006F3E23" w14:paraId="0B39198E" w14:textId="77777777" w:rsidTr="006F3E23">
        <w:tc>
          <w:tcPr>
            <w:tcW w:w="1696" w:type="dxa"/>
            <w:vMerge w:val="restart"/>
            <w:vAlign w:val="center"/>
          </w:tcPr>
          <w:p w14:paraId="229315D6" w14:textId="6017C819" w:rsidR="006F3E23" w:rsidRDefault="006F3E23" w:rsidP="006F3E23">
            <w:pPr>
              <w:jc w:val="center"/>
            </w:pPr>
            <w:r>
              <w:t>Site de Belfort</w:t>
            </w:r>
          </w:p>
        </w:tc>
        <w:tc>
          <w:tcPr>
            <w:tcW w:w="1418" w:type="dxa"/>
            <w:vMerge w:val="restart"/>
            <w:vAlign w:val="center"/>
          </w:tcPr>
          <w:p w14:paraId="7FB97D71" w14:textId="237F28B7" w:rsidR="006F3E23" w:rsidRDefault="006F3E23" w:rsidP="006F3E23">
            <w:pPr>
              <w:jc w:val="center"/>
            </w:pPr>
            <w:r>
              <w:t>Bâtiment A</w:t>
            </w:r>
          </w:p>
        </w:tc>
        <w:tc>
          <w:tcPr>
            <w:tcW w:w="2977" w:type="dxa"/>
            <w:vMerge w:val="restart"/>
            <w:vAlign w:val="center"/>
          </w:tcPr>
          <w:p w14:paraId="1C8064B8" w14:textId="77777777" w:rsidR="006F3E23" w:rsidRPr="007532E1" w:rsidRDefault="00E25993" w:rsidP="006F3E23">
            <w:pPr>
              <w:jc w:val="center"/>
            </w:pPr>
            <w:proofErr w:type="spellStart"/>
            <w:r w:rsidRPr="007532E1">
              <w:t>Rez</w:t>
            </w:r>
            <w:proofErr w:type="spellEnd"/>
            <w:r w:rsidRPr="007532E1">
              <w:t xml:space="preserve"> de jardin</w:t>
            </w:r>
            <w:r w:rsidR="006F3E23" w:rsidRPr="007532E1">
              <w:t xml:space="preserve"> – </w:t>
            </w:r>
            <w:r w:rsidR="000742BD" w:rsidRPr="007532E1">
              <w:t>Espace Coworking</w:t>
            </w:r>
          </w:p>
          <w:p w14:paraId="0A0E5BEE" w14:textId="73F25DD5" w:rsidR="000742BD" w:rsidRPr="007532E1" w:rsidRDefault="000742BD" w:rsidP="006F3E23">
            <w:pPr>
              <w:jc w:val="center"/>
            </w:pPr>
            <w:r w:rsidRPr="007532E1">
              <w:t>A 002</w:t>
            </w:r>
          </w:p>
        </w:tc>
        <w:tc>
          <w:tcPr>
            <w:tcW w:w="2969" w:type="dxa"/>
            <w:vAlign w:val="center"/>
          </w:tcPr>
          <w:p w14:paraId="63E960F2" w14:textId="0AD1BAE8" w:rsidR="006F3E23" w:rsidRDefault="006F3E23" w:rsidP="006F3E23">
            <w:pPr>
              <w:jc w:val="center"/>
            </w:pPr>
            <w:r>
              <w:t>Boissons chaudes</w:t>
            </w:r>
          </w:p>
        </w:tc>
      </w:tr>
      <w:tr w:rsidR="006F3E23" w14:paraId="2BA3A0AA" w14:textId="77777777" w:rsidTr="006F3E23">
        <w:tc>
          <w:tcPr>
            <w:tcW w:w="1696" w:type="dxa"/>
            <w:vMerge/>
            <w:vAlign w:val="center"/>
          </w:tcPr>
          <w:p w14:paraId="01D992F9" w14:textId="77777777" w:rsidR="006F3E23" w:rsidRDefault="006F3E23" w:rsidP="006F3E23">
            <w:pPr>
              <w:jc w:val="center"/>
            </w:pPr>
          </w:p>
        </w:tc>
        <w:tc>
          <w:tcPr>
            <w:tcW w:w="1418" w:type="dxa"/>
            <w:vMerge/>
            <w:vAlign w:val="center"/>
          </w:tcPr>
          <w:p w14:paraId="12E81966" w14:textId="77777777" w:rsidR="006F3E23" w:rsidRDefault="006F3E23" w:rsidP="006F3E23">
            <w:pPr>
              <w:jc w:val="center"/>
            </w:pPr>
          </w:p>
        </w:tc>
        <w:tc>
          <w:tcPr>
            <w:tcW w:w="2977" w:type="dxa"/>
            <w:vMerge/>
            <w:vAlign w:val="center"/>
          </w:tcPr>
          <w:p w14:paraId="6D2327B6" w14:textId="77777777" w:rsidR="006F3E23" w:rsidRPr="007532E1" w:rsidRDefault="006F3E23" w:rsidP="006F3E23">
            <w:pPr>
              <w:jc w:val="center"/>
            </w:pPr>
          </w:p>
        </w:tc>
        <w:tc>
          <w:tcPr>
            <w:tcW w:w="2969" w:type="dxa"/>
            <w:vAlign w:val="center"/>
          </w:tcPr>
          <w:p w14:paraId="78B750CC" w14:textId="3D38285B" w:rsidR="006F3E23" w:rsidRDefault="006F3E23" w:rsidP="006F3E23">
            <w:pPr>
              <w:jc w:val="center"/>
            </w:pPr>
            <w:r>
              <w:t>Boissons fraîches</w:t>
            </w:r>
          </w:p>
        </w:tc>
      </w:tr>
      <w:tr w:rsidR="006F3E23" w14:paraId="3199B95B" w14:textId="77777777" w:rsidTr="006F3E23">
        <w:tc>
          <w:tcPr>
            <w:tcW w:w="1696" w:type="dxa"/>
            <w:vMerge/>
            <w:vAlign w:val="center"/>
          </w:tcPr>
          <w:p w14:paraId="5F43107E" w14:textId="77777777" w:rsidR="006F3E23" w:rsidRDefault="006F3E23" w:rsidP="006F3E23">
            <w:pPr>
              <w:jc w:val="center"/>
            </w:pPr>
          </w:p>
        </w:tc>
        <w:tc>
          <w:tcPr>
            <w:tcW w:w="1418" w:type="dxa"/>
            <w:vMerge/>
            <w:vAlign w:val="center"/>
          </w:tcPr>
          <w:p w14:paraId="2ADCA1A5" w14:textId="77777777" w:rsidR="006F3E23" w:rsidRDefault="006F3E23" w:rsidP="006F3E23">
            <w:pPr>
              <w:jc w:val="center"/>
            </w:pPr>
          </w:p>
        </w:tc>
        <w:tc>
          <w:tcPr>
            <w:tcW w:w="2977" w:type="dxa"/>
            <w:vAlign w:val="center"/>
          </w:tcPr>
          <w:p w14:paraId="7F4AB575" w14:textId="21371C66" w:rsidR="006F3E23" w:rsidRPr="007532E1" w:rsidRDefault="00E25993" w:rsidP="006F3E23">
            <w:pPr>
              <w:jc w:val="center"/>
            </w:pPr>
            <w:proofErr w:type="spellStart"/>
            <w:r w:rsidRPr="007532E1">
              <w:t>Rez</w:t>
            </w:r>
            <w:proofErr w:type="spellEnd"/>
            <w:r w:rsidRPr="007532E1">
              <w:t xml:space="preserve"> de jardin</w:t>
            </w:r>
            <w:r w:rsidR="006F3E23" w:rsidRPr="007532E1">
              <w:t xml:space="preserve"> </w:t>
            </w:r>
            <w:r w:rsidR="000742BD" w:rsidRPr="007532E1">
              <w:t>–</w:t>
            </w:r>
            <w:r w:rsidR="006F3E23" w:rsidRPr="007532E1">
              <w:t xml:space="preserve"> Bibliothèque</w:t>
            </w:r>
          </w:p>
          <w:p w14:paraId="6D31F1AF" w14:textId="56ADE127" w:rsidR="000742BD" w:rsidRPr="007532E1" w:rsidRDefault="000742BD" w:rsidP="006F3E23">
            <w:pPr>
              <w:jc w:val="center"/>
            </w:pPr>
            <w:r w:rsidRPr="007532E1">
              <w:t>A 012</w:t>
            </w:r>
          </w:p>
        </w:tc>
        <w:tc>
          <w:tcPr>
            <w:tcW w:w="2969" w:type="dxa"/>
            <w:vAlign w:val="center"/>
          </w:tcPr>
          <w:p w14:paraId="3011B000" w14:textId="26192BE9" w:rsidR="006F3E23" w:rsidRDefault="006F3E23" w:rsidP="006F3E23">
            <w:pPr>
              <w:jc w:val="center"/>
            </w:pPr>
            <w:r>
              <w:t>Machine à café en grain</w:t>
            </w:r>
          </w:p>
        </w:tc>
      </w:tr>
      <w:tr w:rsidR="006F3E23" w14:paraId="4CBB9238" w14:textId="77777777" w:rsidTr="006F3E23">
        <w:tc>
          <w:tcPr>
            <w:tcW w:w="1696" w:type="dxa"/>
            <w:vMerge/>
            <w:vAlign w:val="center"/>
          </w:tcPr>
          <w:p w14:paraId="367C9F86" w14:textId="77777777" w:rsidR="006F3E23" w:rsidRDefault="006F3E23" w:rsidP="006F3E23">
            <w:pPr>
              <w:jc w:val="center"/>
            </w:pPr>
          </w:p>
        </w:tc>
        <w:tc>
          <w:tcPr>
            <w:tcW w:w="1418" w:type="dxa"/>
            <w:vMerge w:val="restart"/>
            <w:vAlign w:val="center"/>
          </w:tcPr>
          <w:p w14:paraId="66009C76" w14:textId="0E448EA2" w:rsidR="006F3E23" w:rsidRDefault="006F3E23" w:rsidP="006F3E23">
            <w:pPr>
              <w:jc w:val="center"/>
            </w:pPr>
            <w:r>
              <w:t>Bâtiment I</w:t>
            </w:r>
          </w:p>
        </w:tc>
        <w:tc>
          <w:tcPr>
            <w:tcW w:w="2977" w:type="dxa"/>
            <w:vMerge w:val="restart"/>
            <w:vAlign w:val="center"/>
          </w:tcPr>
          <w:p w14:paraId="407F5154" w14:textId="320CA97A" w:rsidR="006F3E23" w:rsidRPr="007532E1" w:rsidRDefault="006F3E23" w:rsidP="006F3E23">
            <w:pPr>
              <w:jc w:val="center"/>
            </w:pPr>
            <w:r w:rsidRPr="007532E1">
              <w:t>Hall d’accueil</w:t>
            </w:r>
            <w:r w:rsidR="00C27B93" w:rsidRPr="007532E1">
              <w:t xml:space="preserve"> – I 001</w:t>
            </w:r>
          </w:p>
        </w:tc>
        <w:tc>
          <w:tcPr>
            <w:tcW w:w="2969" w:type="dxa"/>
            <w:vAlign w:val="center"/>
          </w:tcPr>
          <w:p w14:paraId="6F5FE405" w14:textId="25DBBA01" w:rsidR="006F3E23" w:rsidRDefault="006F3E23" w:rsidP="006F3E23">
            <w:pPr>
              <w:jc w:val="center"/>
            </w:pPr>
            <w:r>
              <w:t>Mixte : Boissons fraîches et snacks</w:t>
            </w:r>
          </w:p>
        </w:tc>
      </w:tr>
      <w:tr w:rsidR="006F3E23" w14:paraId="3E514D81" w14:textId="77777777" w:rsidTr="006F3E23">
        <w:tc>
          <w:tcPr>
            <w:tcW w:w="1696" w:type="dxa"/>
            <w:vMerge/>
            <w:vAlign w:val="center"/>
          </w:tcPr>
          <w:p w14:paraId="45283B3F" w14:textId="77777777" w:rsidR="006F3E23" w:rsidRDefault="006F3E23" w:rsidP="006F3E23">
            <w:pPr>
              <w:jc w:val="center"/>
            </w:pPr>
          </w:p>
        </w:tc>
        <w:tc>
          <w:tcPr>
            <w:tcW w:w="1418" w:type="dxa"/>
            <w:vMerge/>
            <w:vAlign w:val="center"/>
          </w:tcPr>
          <w:p w14:paraId="3375CBEF" w14:textId="77777777" w:rsidR="006F3E23" w:rsidRDefault="006F3E23" w:rsidP="006F3E23">
            <w:pPr>
              <w:jc w:val="center"/>
            </w:pPr>
          </w:p>
        </w:tc>
        <w:tc>
          <w:tcPr>
            <w:tcW w:w="2977" w:type="dxa"/>
            <w:vMerge/>
            <w:vAlign w:val="center"/>
          </w:tcPr>
          <w:p w14:paraId="491D66D1" w14:textId="77777777" w:rsidR="006F3E23" w:rsidRPr="007532E1" w:rsidRDefault="006F3E23" w:rsidP="006F3E23">
            <w:pPr>
              <w:jc w:val="center"/>
            </w:pPr>
          </w:p>
        </w:tc>
        <w:tc>
          <w:tcPr>
            <w:tcW w:w="2969" w:type="dxa"/>
            <w:vAlign w:val="center"/>
          </w:tcPr>
          <w:p w14:paraId="07FE3559" w14:textId="12B440BF" w:rsidR="006F3E23" w:rsidRDefault="006F3E23" w:rsidP="006F3E23">
            <w:pPr>
              <w:jc w:val="center"/>
            </w:pPr>
            <w:r>
              <w:t>Boissons chaudes</w:t>
            </w:r>
          </w:p>
        </w:tc>
      </w:tr>
      <w:tr w:rsidR="006F3E23" w14:paraId="544884DD" w14:textId="77777777" w:rsidTr="006F3E23">
        <w:tc>
          <w:tcPr>
            <w:tcW w:w="1696" w:type="dxa"/>
            <w:vMerge w:val="restart"/>
            <w:vAlign w:val="center"/>
          </w:tcPr>
          <w:p w14:paraId="57A1A346" w14:textId="7E3EADBF" w:rsidR="006F3E23" w:rsidRDefault="006F3E23" w:rsidP="006F3E23">
            <w:pPr>
              <w:jc w:val="center"/>
            </w:pPr>
            <w:r>
              <w:t>Site de Montbéliard</w:t>
            </w:r>
          </w:p>
        </w:tc>
        <w:tc>
          <w:tcPr>
            <w:tcW w:w="1418" w:type="dxa"/>
            <w:vMerge w:val="restart"/>
            <w:vAlign w:val="center"/>
          </w:tcPr>
          <w:p w14:paraId="6F018C05" w14:textId="0EBF38BB" w:rsidR="006F3E23" w:rsidRDefault="006F3E23" w:rsidP="006F3E23">
            <w:pPr>
              <w:jc w:val="center"/>
            </w:pPr>
            <w:r>
              <w:t>Bâtiment M</w:t>
            </w:r>
          </w:p>
        </w:tc>
        <w:tc>
          <w:tcPr>
            <w:tcW w:w="2977" w:type="dxa"/>
            <w:vMerge w:val="restart"/>
            <w:vAlign w:val="center"/>
          </w:tcPr>
          <w:p w14:paraId="780F3A85" w14:textId="77777777" w:rsidR="006F3E23" w:rsidRPr="007532E1" w:rsidRDefault="006F3E23" w:rsidP="006F3E23">
            <w:pPr>
              <w:jc w:val="center"/>
            </w:pPr>
            <w:proofErr w:type="spellStart"/>
            <w:r w:rsidRPr="007532E1">
              <w:t>Rez</w:t>
            </w:r>
            <w:proofErr w:type="spellEnd"/>
            <w:r w:rsidRPr="007532E1">
              <w:t xml:space="preserve"> de jardin</w:t>
            </w:r>
            <w:r w:rsidR="000742BD" w:rsidRPr="007532E1">
              <w:t xml:space="preserve"> – M 000</w:t>
            </w:r>
          </w:p>
          <w:p w14:paraId="2965829F" w14:textId="07AC5C8E" w:rsidR="000742BD" w:rsidRPr="007532E1" w:rsidRDefault="000742BD" w:rsidP="006F3E23">
            <w:pPr>
              <w:jc w:val="center"/>
            </w:pPr>
            <w:r w:rsidRPr="007532E1">
              <w:t>Près du bar « La Gommette »</w:t>
            </w:r>
          </w:p>
        </w:tc>
        <w:tc>
          <w:tcPr>
            <w:tcW w:w="2969" w:type="dxa"/>
            <w:vAlign w:val="center"/>
          </w:tcPr>
          <w:p w14:paraId="3650C955" w14:textId="773A03A3" w:rsidR="006F3E23" w:rsidRDefault="006F3E23" w:rsidP="006F3E23">
            <w:pPr>
              <w:jc w:val="center"/>
            </w:pPr>
            <w:r>
              <w:t>Mixte : Boissons fraîches et snacks</w:t>
            </w:r>
          </w:p>
        </w:tc>
      </w:tr>
      <w:tr w:rsidR="006F3E23" w14:paraId="1EF346CE" w14:textId="77777777" w:rsidTr="006F3E23">
        <w:tc>
          <w:tcPr>
            <w:tcW w:w="1696" w:type="dxa"/>
            <w:vMerge/>
            <w:vAlign w:val="center"/>
          </w:tcPr>
          <w:p w14:paraId="04299EE4" w14:textId="77777777" w:rsidR="006F3E23" w:rsidRDefault="006F3E23" w:rsidP="006F3E23">
            <w:pPr>
              <w:jc w:val="center"/>
            </w:pPr>
          </w:p>
        </w:tc>
        <w:tc>
          <w:tcPr>
            <w:tcW w:w="1418" w:type="dxa"/>
            <w:vMerge/>
            <w:vAlign w:val="center"/>
          </w:tcPr>
          <w:p w14:paraId="4BC14667" w14:textId="77777777" w:rsidR="006F3E23" w:rsidRDefault="006F3E23" w:rsidP="006F3E23">
            <w:pPr>
              <w:jc w:val="center"/>
            </w:pPr>
          </w:p>
        </w:tc>
        <w:tc>
          <w:tcPr>
            <w:tcW w:w="2977" w:type="dxa"/>
            <w:vMerge/>
            <w:vAlign w:val="center"/>
          </w:tcPr>
          <w:p w14:paraId="50B6B263" w14:textId="77777777" w:rsidR="006F3E23" w:rsidRDefault="006F3E23" w:rsidP="006F3E23">
            <w:pPr>
              <w:jc w:val="center"/>
            </w:pPr>
          </w:p>
        </w:tc>
        <w:tc>
          <w:tcPr>
            <w:tcW w:w="2969" w:type="dxa"/>
            <w:vAlign w:val="center"/>
          </w:tcPr>
          <w:p w14:paraId="0BE6590F" w14:textId="02222639" w:rsidR="006F3E23" w:rsidRDefault="006F3E23" w:rsidP="006F3E23">
            <w:pPr>
              <w:jc w:val="center"/>
            </w:pPr>
            <w:r>
              <w:t>Boissons chaudes</w:t>
            </w:r>
          </w:p>
        </w:tc>
      </w:tr>
    </w:tbl>
    <w:p w14:paraId="0BAF36A7" w14:textId="77777777" w:rsidR="001C6912" w:rsidRDefault="001C6912" w:rsidP="008944C8"/>
    <w:p w14:paraId="07CCBC74" w14:textId="77777777" w:rsidR="001C6912" w:rsidRDefault="001C6912" w:rsidP="008944C8"/>
    <w:p w14:paraId="50D3A29E" w14:textId="77777777" w:rsidR="001C6912" w:rsidRDefault="001C6912" w:rsidP="008944C8"/>
    <w:p w14:paraId="19BC1036" w14:textId="77777777" w:rsidR="00BA2903" w:rsidRDefault="00BA2903" w:rsidP="008944C8"/>
    <w:p w14:paraId="4379144A" w14:textId="403AAAE8" w:rsidR="008944C8" w:rsidRDefault="003C70C1" w:rsidP="003830FC">
      <w:pPr>
        <w:pStyle w:val="Titre4"/>
      </w:pPr>
      <w:r>
        <w:lastRenderedPageBreak/>
        <w:t xml:space="preserve">3.2.1 - </w:t>
      </w:r>
      <w:r w:rsidR="008944C8">
        <w:t>Modification des lieux d’implantation</w:t>
      </w:r>
    </w:p>
    <w:p w14:paraId="7F97E613" w14:textId="77777777" w:rsidR="00BF09D2" w:rsidRDefault="00BF09D2" w:rsidP="003C70C1"/>
    <w:p w14:paraId="518AEC63" w14:textId="728E8065" w:rsidR="00BA2903" w:rsidRDefault="00BA2903" w:rsidP="003C70C1">
      <w:r w:rsidRPr="00BA2903">
        <w:t>Toute modification des lieux d'implantation des distributeurs automatiques doit être préalablement approuvée par l'UTBM. L'occupant peut proposer des modifications en justifiant les raisons de ces changements, telles que l'optimisation de la fréquentation ou des contraintes techniques. L'UTBM se réserve le droit de refuser ou d'accepter les modifications proposées. En cas d'acceptation, un avenant à la convention sera signé pour formaliser les nouveaux emplacements. Les frais liés aux modifications des lieux d'implantation sont à la charge de l'occupant.</w:t>
      </w:r>
    </w:p>
    <w:p w14:paraId="340C6BBC" w14:textId="77777777" w:rsidR="00BF09D2" w:rsidRDefault="00BF09D2" w:rsidP="003C70C1"/>
    <w:p w14:paraId="40E1474D" w14:textId="11BAEBF9" w:rsidR="005C69BB" w:rsidRDefault="00A84F2C" w:rsidP="003830FC">
      <w:pPr>
        <w:pStyle w:val="Titre3"/>
      </w:pPr>
      <w:bookmarkStart w:id="15" w:name="_Toc192771839"/>
      <w:r>
        <w:t xml:space="preserve">3.3 </w:t>
      </w:r>
      <w:r w:rsidR="00BF09D2">
        <w:t>–</w:t>
      </w:r>
      <w:r>
        <w:t xml:space="preserve"> </w:t>
      </w:r>
      <w:r w:rsidR="00D82D3D">
        <w:t>Clientèle</w:t>
      </w:r>
      <w:bookmarkEnd w:id="15"/>
    </w:p>
    <w:p w14:paraId="6A18955D" w14:textId="77777777" w:rsidR="00BF09D2" w:rsidRDefault="00BF09D2" w:rsidP="00905278"/>
    <w:p w14:paraId="2AD847EF" w14:textId="5E796721" w:rsidR="00BF09D2" w:rsidRDefault="00BA2903" w:rsidP="00905278">
      <w:r w:rsidRPr="00BA2903">
        <w:t xml:space="preserve">La clientèle des distributeurs automatiques comprend principalement les étudiants, le personnel administratif et enseignant, ainsi que les visiteurs de l'UTBM. L'occupant s'engage à proposer une gamme de produits adaptée aux besoins et aux attentes de cette clientèle diversifiée. Il veillera à maintenir des prix accessibles, en particulier pour les étudiants, et à offrir des produits de qualité répondant aux normes sanitaires en vigueur. L'occupant devra également </w:t>
      </w:r>
      <w:r w:rsidR="006F3E23" w:rsidRPr="00BA2903">
        <w:t>proposer des alternatives adaptées</w:t>
      </w:r>
      <w:r w:rsidR="006F3E23">
        <w:t xml:space="preserve"> à des éventuelles </w:t>
      </w:r>
      <w:r w:rsidRPr="00BA2903">
        <w:t xml:space="preserve">restrictions alimentaires </w:t>
      </w:r>
      <w:r w:rsidR="006F3E23">
        <w:t>courantes (ex : allergies aux fruits à coques, gluten, …).</w:t>
      </w:r>
    </w:p>
    <w:p w14:paraId="5E506980" w14:textId="77777777" w:rsidR="006F3E23" w:rsidRDefault="006F3E23" w:rsidP="00905278"/>
    <w:p w14:paraId="05F03418" w14:textId="06032E8C" w:rsidR="006F3E23" w:rsidRDefault="006F3E23" w:rsidP="00905278">
      <w:r>
        <w:t xml:space="preserve">L’occupant a l’interdiction d’attirer une clientèle extérieure, notamment le biais de publicité dans des organismes de presse. </w:t>
      </w:r>
    </w:p>
    <w:p w14:paraId="3F750E68" w14:textId="77777777" w:rsidR="006F3E23" w:rsidRDefault="006F3E23" w:rsidP="00905278"/>
    <w:p w14:paraId="241B3F52" w14:textId="33CC9E5F" w:rsidR="00625207" w:rsidRDefault="00A84F2C" w:rsidP="003830FC">
      <w:pPr>
        <w:pStyle w:val="Titre3"/>
      </w:pPr>
      <w:bookmarkStart w:id="16" w:name="_Toc192771840"/>
      <w:r>
        <w:t xml:space="preserve">3.4 - </w:t>
      </w:r>
      <w:r w:rsidR="00625207">
        <w:t>Moyens de paiement</w:t>
      </w:r>
      <w:bookmarkEnd w:id="16"/>
    </w:p>
    <w:p w14:paraId="7DC3B281" w14:textId="77777777" w:rsidR="00BF09D2" w:rsidRDefault="00BF09D2" w:rsidP="00905278"/>
    <w:p w14:paraId="3CE33EDE" w14:textId="549ED3FB" w:rsidR="00902041" w:rsidRDefault="00BA2903" w:rsidP="00BA2903">
      <w:r w:rsidRPr="007532E1">
        <w:t xml:space="preserve">Les distributeurs automatiques doivent être équipés de systèmes de paiement modernes et sécurisés. Les moyens de paiement </w:t>
      </w:r>
      <w:r w:rsidR="0045725C" w:rsidRPr="007532E1">
        <w:t>acceptés sont</w:t>
      </w:r>
      <w:r w:rsidRPr="007532E1">
        <w:t xml:space="preserve"> les cartes bancaires (y compris le paiement sans contact) et les applications de paiement mobile</w:t>
      </w:r>
      <w:r w:rsidR="00902041" w:rsidRPr="007532E1">
        <w:t xml:space="preserve"> avec système NFC</w:t>
      </w:r>
      <w:r w:rsidRPr="007532E1">
        <w:t xml:space="preserve">. </w:t>
      </w:r>
      <w:r w:rsidR="00902041" w:rsidRPr="007532E1">
        <w:t xml:space="preserve">Le système de paiement devra être interfaçable avec le système </w:t>
      </w:r>
      <w:proofErr w:type="spellStart"/>
      <w:r w:rsidR="00902041" w:rsidRPr="007532E1">
        <w:t>Izly</w:t>
      </w:r>
      <w:proofErr w:type="spellEnd"/>
      <w:r w:rsidR="00902041" w:rsidRPr="007532E1">
        <w:t>.</w:t>
      </w:r>
    </w:p>
    <w:p w14:paraId="26051DEC" w14:textId="77777777" w:rsidR="00902041" w:rsidRDefault="00902041" w:rsidP="00BA2903"/>
    <w:p w14:paraId="5F811BA4" w14:textId="74EF93C7" w:rsidR="00BA2903" w:rsidRDefault="00BA2903" w:rsidP="00BA2903">
      <w:r>
        <w:t>L'occupant s'engage à assurer la disponibilité et le bon fonctionnement des systèmes de paiement, ainsi qu'à intervenir rapidement en cas de dysfonctionnement. Les modalités de remboursement en cas de non-délivrance de produit ou de problème de paiement doivent être clairement affichées sur chaque distributeur.</w:t>
      </w:r>
    </w:p>
    <w:p w14:paraId="1D27DF75" w14:textId="77777777" w:rsidR="00B148EB" w:rsidRDefault="00B148EB" w:rsidP="00BA2903"/>
    <w:p w14:paraId="49B39E8A" w14:textId="77777777" w:rsidR="00BF09D2" w:rsidRDefault="00BF09D2" w:rsidP="00905278"/>
    <w:p w14:paraId="6A0C114C" w14:textId="2A27615C" w:rsidR="00625207" w:rsidRDefault="00A84F2C" w:rsidP="003830FC">
      <w:pPr>
        <w:pStyle w:val="Titre3"/>
      </w:pPr>
      <w:bookmarkStart w:id="17" w:name="_Toc192771841"/>
      <w:r>
        <w:t xml:space="preserve">3.5 - </w:t>
      </w:r>
      <w:r w:rsidR="00625207">
        <w:t>Accessibilité</w:t>
      </w:r>
      <w:bookmarkEnd w:id="17"/>
      <w:r w:rsidR="00625207">
        <w:t xml:space="preserve"> </w:t>
      </w:r>
    </w:p>
    <w:p w14:paraId="4DE04691" w14:textId="77777777" w:rsidR="00BF09D2" w:rsidRDefault="00BF09D2" w:rsidP="00905278"/>
    <w:p w14:paraId="0AE639B5" w14:textId="53E23515" w:rsidR="00BF09D2" w:rsidRDefault="00BA2903" w:rsidP="00905278">
      <w:r w:rsidRPr="00BA2903">
        <w:t>Les distributeurs automatiques doivent être accessibles à tous les utilisateurs, y compris les personnes à mobilité réduite. L'occupant s'engage à installer les distributeurs à des hauteurs conformes aux normes d'accessibilité et à veiller à ce que les zones autour des distributeurs soient dégagées et facilement accessibles. Les distributeurs doivent également être équipés de dispositifs facilitant leur utilisation par les personnes malvoyantes ou malentendantes, tels que des instructions en braille ou des signaux sonores.</w:t>
      </w:r>
    </w:p>
    <w:p w14:paraId="3B288EE0" w14:textId="77777777" w:rsidR="00BA2903" w:rsidRDefault="00BA2903" w:rsidP="00905278"/>
    <w:p w14:paraId="03ECB236" w14:textId="005EF48D" w:rsidR="00625207" w:rsidRDefault="00A84F2C" w:rsidP="003830FC">
      <w:pPr>
        <w:pStyle w:val="Titre3"/>
      </w:pPr>
      <w:bookmarkStart w:id="18" w:name="_Toc192771842"/>
      <w:r>
        <w:t xml:space="preserve">3.6 - </w:t>
      </w:r>
      <w:r w:rsidR="00625207">
        <w:t>Développement durable</w:t>
      </w:r>
      <w:bookmarkEnd w:id="18"/>
    </w:p>
    <w:p w14:paraId="0D4A7402" w14:textId="77777777" w:rsidR="003A40EF" w:rsidRDefault="003A40EF" w:rsidP="00905278"/>
    <w:p w14:paraId="00B237F4" w14:textId="77777777" w:rsidR="006A4A4B" w:rsidRDefault="00BA2903" w:rsidP="00905278">
      <w:r w:rsidRPr="00BA2903">
        <w:t xml:space="preserve">L'occupant s'engage à adopter une démarche de développement durable dans l'exploitation des distributeurs automatiques. Cela inclut l'utilisation de distributeurs économes en énergie, la mise en veille automatique des machines en dehors des heures de forte affluence, et la réduction des déchets en privilégiant les emballages </w:t>
      </w:r>
      <w:r w:rsidRPr="0028427A">
        <w:t>recyclables ou compostables. L'occupant</w:t>
      </w:r>
      <w:r w:rsidRPr="00BA2903">
        <w:t xml:space="preserve"> doit également proposer des produits issus du commerce équitable, de l'agriculture biologique ou labellisés éco-responsables. Un rapport annuel sur les actions menées en faveur du développement durable devra être remis à l'UTBM. </w:t>
      </w:r>
    </w:p>
    <w:p w14:paraId="75CD7A17" w14:textId="77777777" w:rsidR="006A4A4B" w:rsidRDefault="006A4A4B" w:rsidP="00905278"/>
    <w:p w14:paraId="4E02565A" w14:textId="77777777" w:rsidR="003A40EF" w:rsidRDefault="003A40EF" w:rsidP="00905278"/>
    <w:p w14:paraId="5CB1058A" w14:textId="268616DA" w:rsidR="005C69BB" w:rsidRDefault="00E20EBB" w:rsidP="003830FC">
      <w:pPr>
        <w:pStyle w:val="Titre2"/>
      </w:pPr>
      <w:bookmarkStart w:id="19" w:name="_Toc192771843"/>
      <w:r>
        <w:t xml:space="preserve">Article </w:t>
      </w:r>
      <w:r w:rsidR="008D37A3">
        <w:t xml:space="preserve">4 - </w:t>
      </w:r>
      <w:r w:rsidR="005C69BB">
        <w:t>Conditions d’exploitation</w:t>
      </w:r>
      <w:bookmarkEnd w:id="19"/>
      <w:r w:rsidR="005C69BB">
        <w:t xml:space="preserve"> </w:t>
      </w:r>
    </w:p>
    <w:p w14:paraId="209E28D9" w14:textId="77777777" w:rsidR="00A84F2C" w:rsidRDefault="00A84F2C" w:rsidP="00905278"/>
    <w:p w14:paraId="0E26305E" w14:textId="7130137A" w:rsidR="000C4F45" w:rsidRDefault="000C4F45" w:rsidP="003830FC">
      <w:pPr>
        <w:pStyle w:val="Titre3"/>
      </w:pPr>
      <w:bookmarkStart w:id="20" w:name="_Toc192771844"/>
      <w:r>
        <w:t>4.1 - Installation des distributeurs</w:t>
      </w:r>
      <w:bookmarkEnd w:id="20"/>
    </w:p>
    <w:p w14:paraId="2195CC61" w14:textId="77777777" w:rsidR="00BA2903" w:rsidRPr="00BA2903" w:rsidRDefault="00BA2903" w:rsidP="00BA2903"/>
    <w:p w14:paraId="68D65ED9" w14:textId="68481A39" w:rsidR="00BF09D2" w:rsidRDefault="00BA2903" w:rsidP="00905278">
      <w:r>
        <w:t xml:space="preserve">L'installation des distributeurs automatiques doit être réalisée par l'occupant. L'occupant est responsable de la livraison, de l'installation et de la mise en service des distributeurs, ainsi que de leur raccordement aux infrastructures existantes (électricité, eau). L'installation doit être réalisée dans le respect des normes de sécurité et des règles de l'art. L'occupant doit informer l'UTBM de la date et de l'heure prévues pour l'installation afin de permettre la coordination avec les services techniques </w:t>
      </w:r>
      <w:r w:rsidR="00F10E75">
        <w:t>en cas de nécessité</w:t>
      </w:r>
      <w:r>
        <w:t>.</w:t>
      </w:r>
    </w:p>
    <w:p w14:paraId="1464BDE1" w14:textId="32984A17" w:rsidR="003A40EF" w:rsidRDefault="000C4F45" w:rsidP="003830FC">
      <w:pPr>
        <w:pStyle w:val="Titre4"/>
      </w:pPr>
      <w:r>
        <w:lastRenderedPageBreak/>
        <w:t xml:space="preserve">4.1.1 - </w:t>
      </w:r>
      <w:r w:rsidR="003A40EF">
        <w:t xml:space="preserve">Modalités d’implantation </w:t>
      </w:r>
      <w:r>
        <w:t>(</w:t>
      </w:r>
      <w:r w:rsidR="003A40EF">
        <w:t>Travaux</w:t>
      </w:r>
      <w:r>
        <w:t>)</w:t>
      </w:r>
      <w:r w:rsidR="003A40EF">
        <w:t xml:space="preserve"> </w:t>
      </w:r>
    </w:p>
    <w:p w14:paraId="6CEF64C8" w14:textId="77777777" w:rsidR="00BF09D2" w:rsidRDefault="00BF09D2" w:rsidP="00905278"/>
    <w:p w14:paraId="0EACBC72" w14:textId="20D54BF2" w:rsidR="00BA2903" w:rsidRDefault="00BA2903" w:rsidP="00BA2903">
      <w:r w:rsidRPr="007532E1">
        <w:t>Les travaux nécessaires à l'implantation des distributeurs automatiques, tels que les raccordements électriques et hydrauliques, sont à la charge de l'</w:t>
      </w:r>
      <w:r w:rsidR="002F1015" w:rsidRPr="007532E1">
        <w:t>UTBM</w:t>
      </w:r>
      <w:r w:rsidRPr="007532E1">
        <w:t>. Avant le début des travaux, l'occupant doit soumettre un plan détaillé des installations prévues à l'UTBM pour approbation. L'occupant doit veiller à minimiser les nuisances pour les usagers et à maintenir la propreté des lieux pendant et après les travaux. À la fin des travaux, une</w:t>
      </w:r>
      <w:r>
        <w:t xml:space="preserve"> inspection conjointe sera réalisée pour vérifier la conformité des installations.</w:t>
      </w:r>
    </w:p>
    <w:p w14:paraId="5B0CA1EC" w14:textId="77777777" w:rsidR="00BA2903" w:rsidRDefault="00BA2903" w:rsidP="00905278"/>
    <w:p w14:paraId="3A9D2599" w14:textId="77777777" w:rsidR="00BF09D2" w:rsidRDefault="00BF09D2" w:rsidP="00905278"/>
    <w:p w14:paraId="28D977AF" w14:textId="13F3E6FB" w:rsidR="001117EC" w:rsidRDefault="00387A30" w:rsidP="003830FC">
      <w:pPr>
        <w:pStyle w:val="Titre4"/>
      </w:pPr>
      <w:r>
        <w:t xml:space="preserve">4.1.2 - </w:t>
      </w:r>
      <w:r w:rsidR="00625207">
        <w:t>Suppression ou ajout de distributeur</w:t>
      </w:r>
    </w:p>
    <w:p w14:paraId="6796643A" w14:textId="77777777" w:rsidR="00BF09D2" w:rsidRDefault="00BF09D2" w:rsidP="00905278"/>
    <w:p w14:paraId="63312C49" w14:textId="557B173E" w:rsidR="00BA2903" w:rsidRDefault="00BA2903" w:rsidP="00BA2903">
      <w:r w:rsidRPr="00833EF4">
        <w:t>L'occupant peut être amené à supprimer ou ajouter des distributeurs automatiques en fonction des besoins évolutifs de l'UTBM. Toute demande de suppression ou d'ajout de distributeur</w:t>
      </w:r>
      <w:r w:rsidR="00833EF4" w:rsidRPr="00833EF4">
        <w:t xml:space="preserve">, à l’initiative de l’occupant ou sur demande de l’UTBM, </w:t>
      </w:r>
      <w:r w:rsidRPr="00833EF4">
        <w:t>doit être formulée par écrit et adressée au service compétent. L'accord écrit de l'UTBM est nécessaire avant toute modification. L'occupant s'engage à effectuer les modifications demandées dans un délai de 30 jours suivant la réception de l'accord. Les frais liés à la suppression ou à l'ajout de distributeurs sont à la charge de l'occupant.</w:t>
      </w:r>
    </w:p>
    <w:p w14:paraId="2301C1C9" w14:textId="77777777" w:rsidR="00BF09D2" w:rsidRDefault="00BF09D2" w:rsidP="00905278"/>
    <w:p w14:paraId="048CBBFE" w14:textId="552A6CC7" w:rsidR="00625207" w:rsidRDefault="00387A30" w:rsidP="003830FC">
      <w:pPr>
        <w:pStyle w:val="Titre4"/>
      </w:pPr>
      <w:r>
        <w:t xml:space="preserve">4.1.3 - </w:t>
      </w:r>
      <w:r w:rsidR="00625207">
        <w:t>Remplacement d’appareils</w:t>
      </w:r>
    </w:p>
    <w:p w14:paraId="1DEDF355" w14:textId="77777777" w:rsidR="00BF09D2" w:rsidRDefault="00BF09D2" w:rsidP="00905278"/>
    <w:p w14:paraId="51E4DE6F" w14:textId="77777777" w:rsidR="00BA2903" w:rsidRDefault="00BA2903" w:rsidP="00BA2903">
      <w:r>
        <w:t>L'occupant est tenu de remplacer tout distributeur défectueux ou obsolète dans un délai de 48 heures après constatation du dysfonctionnement ou après notification par l'UTBM. Le remplacement doit se faire par un appareil de performance équivalente ou supérieure, respectant les normes en vigueur. L'occupant doit informer l'UTBM de tout remplacement effectué et fournir les documents attestant de la conformité des nouveaux appareils. Les frais de remplacement sont à la charge de l'occupant.</w:t>
      </w:r>
    </w:p>
    <w:p w14:paraId="37F2D907" w14:textId="77777777" w:rsidR="00BF09D2" w:rsidRDefault="00BF09D2" w:rsidP="00905278"/>
    <w:p w14:paraId="6A0BEF9D" w14:textId="7CF376C6" w:rsidR="00A84F2C" w:rsidRDefault="00387A30" w:rsidP="003830FC">
      <w:pPr>
        <w:pStyle w:val="Titre3"/>
      </w:pPr>
      <w:bookmarkStart w:id="21" w:name="_Toc192771845"/>
      <w:r>
        <w:t xml:space="preserve">4.2 - </w:t>
      </w:r>
      <w:r w:rsidR="000C4F45">
        <w:t xml:space="preserve">Approvisionnement &amp; </w:t>
      </w:r>
      <w:r w:rsidR="00A84F2C">
        <w:t>Réassort</w:t>
      </w:r>
      <w:bookmarkEnd w:id="21"/>
    </w:p>
    <w:p w14:paraId="1B956E26" w14:textId="77777777" w:rsidR="00BF09D2" w:rsidRDefault="00BF09D2" w:rsidP="00905278"/>
    <w:p w14:paraId="6F3C4ABA" w14:textId="32AA4B7B" w:rsidR="00BA2903" w:rsidRDefault="00BA2903" w:rsidP="00BA2903">
      <w:r>
        <w:t xml:space="preserve">L'occupant s'engage à assurer un approvisionnement régulier et suffisant des distributeurs automatiques afin de garantir la disponibilité continue des produits. L'approvisionnement doit être effectué au minimum trois fois par semaine, et quotidiennement pour les </w:t>
      </w:r>
      <w:r w:rsidR="00833EF4">
        <w:t>zones</w:t>
      </w:r>
      <w:r>
        <w:t xml:space="preserve"> à forte fréquentation. En cas de rupture de stock, l'occupant doit intervenir dans un délai de 24 heures pour réapprovisionner les distributeurs. L'occupant doit également veiller au respect des dates limites de consommation des produits et retirer immédiatement tout produit périmé.</w:t>
      </w:r>
    </w:p>
    <w:p w14:paraId="3CEDF58C" w14:textId="77777777" w:rsidR="00BF09D2" w:rsidRDefault="00BF09D2" w:rsidP="00905278"/>
    <w:p w14:paraId="0EC672F0" w14:textId="1FCF2F1D" w:rsidR="005C69BB" w:rsidRDefault="00387A30" w:rsidP="003830FC">
      <w:pPr>
        <w:pStyle w:val="Titre3"/>
      </w:pPr>
      <w:bookmarkStart w:id="22" w:name="_Toc192771846"/>
      <w:r>
        <w:t xml:space="preserve">4.3 - </w:t>
      </w:r>
      <w:r w:rsidR="005C69BB">
        <w:t>Entretien et maintenance</w:t>
      </w:r>
      <w:bookmarkEnd w:id="22"/>
      <w:r w:rsidR="00625207">
        <w:t xml:space="preserve"> </w:t>
      </w:r>
    </w:p>
    <w:p w14:paraId="5DA907C5" w14:textId="77777777" w:rsidR="00BA2903" w:rsidRDefault="00BA2903" w:rsidP="00BA2903"/>
    <w:p w14:paraId="27B45F87" w14:textId="768ACA42" w:rsidR="00BA2903" w:rsidRDefault="00BA2903" w:rsidP="00BA2903">
      <w:r>
        <w:t xml:space="preserve">L'occupant est responsable de l'entretien et de la maintenance des distributeurs automatiques. Il doit effectuer </w:t>
      </w:r>
      <w:r w:rsidRPr="007532E1">
        <w:t xml:space="preserve">un nettoyage complet des appareils au moins une fois par semaine et procéder à des vérifications techniques régulières pour assurer leur bon fonctionnement. En cas de panne, l'occupant doit intervenir dans un délai de </w:t>
      </w:r>
      <w:r w:rsidR="0071296E" w:rsidRPr="007532E1">
        <w:t>2</w:t>
      </w:r>
      <w:r w:rsidRPr="007532E1">
        <w:t>4 heures après signalement pour effectuer les réparations nécessaires. Un registre des interventions de maintenance doit être tenu à jour et mis à disposition de l'UTBM sur demande.</w:t>
      </w:r>
    </w:p>
    <w:p w14:paraId="4A13578C" w14:textId="77777777" w:rsidR="00BF09D2" w:rsidRDefault="00BF09D2" w:rsidP="00905278"/>
    <w:p w14:paraId="5440041D" w14:textId="77777777" w:rsidR="00BF09D2" w:rsidRDefault="00BF09D2" w:rsidP="00905278"/>
    <w:p w14:paraId="6D3F03CD" w14:textId="4D674815" w:rsidR="005C69BB" w:rsidRDefault="00387A30" w:rsidP="003830FC">
      <w:pPr>
        <w:pStyle w:val="Titre3"/>
      </w:pPr>
      <w:bookmarkStart w:id="23" w:name="_Toc192771847"/>
      <w:r>
        <w:t xml:space="preserve">4.4 - </w:t>
      </w:r>
      <w:r w:rsidR="005C69BB">
        <w:t>Hygiène et sécurité</w:t>
      </w:r>
      <w:bookmarkEnd w:id="23"/>
    </w:p>
    <w:p w14:paraId="64B82EA1" w14:textId="77777777" w:rsidR="00BF09D2" w:rsidRDefault="00BF09D2" w:rsidP="00905278"/>
    <w:p w14:paraId="51767E33" w14:textId="77777777" w:rsidR="00BA2903" w:rsidRDefault="00BA2903" w:rsidP="00BA2903">
      <w:r>
        <w:t>L'occupant doit respecter les normes d'hygiène et de sécurité en vigueur pour l'exploitation des distributeurs automatiques. Les distributeurs doivent être maintenus en parfait état de propreté et les produits alimentaires doivent être conservés dans des conditions optimales. L'occupant doit également mettre en place des mesures de sécurité pour prévenir les actes de vandalisme et les tentatives de vol. Toute anomalie ou incident de sécurité doit être signalé immédiatement à l'UTBM.</w:t>
      </w:r>
    </w:p>
    <w:p w14:paraId="4BBB4429" w14:textId="77777777" w:rsidR="009B2442" w:rsidRDefault="009B2442" w:rsidP="00905278"/>
    <w:p w14:paraId="363EE520" w14:textId="77777777" w:rsidR="009B2442" w:rsidRDefault="009B2442" w:rsidP="00905278"/>
    <w:p w14:paraId="034B9083" w14:textId="7ABC3950" w:rsidR="003A40EF" w:rsidRDefault="00387A30" w:rsidP="003830FC">
      <w:pPr>
        <w:pStyle w:val="Titre3"/>
      </w:pPr>
      <w:bookmarkStart w:id="24" w:name="_Toc192771848"/>
      <w:r>
        <w:t xml:space="preserve">4.5 - </w:t>
      </w:r>
      <w:r w:rsidR="003A40EF">
        <w:t>Période d’exploitation</w:t>
      </w:r>
      <w:bookmarkEnd w:id="24"/>
    </w:p>
    <w:p w14:paraId="098ABB7A" w14:textId="77777777" w:rsidR="00BF09D2" w:rsidRDefault="00BF09D2" w:rsidP="003A40EF"/>
    <w:p w14:paraId="2736B8AB" w14:textId="77777777" w:rsidR="00BA2903" w:rsidRDefault="00BA2903" w:rsidP="00BA2903">
      <w:r>
        <w:t>Les distributeurs automatiques doivent être opérationnels pendant toute la durée de la convention, sauf en cas de fermeture administrative de l'UTBM. L'occupant doit s'assurer que les distributeurs sont accessibles aux usagers pendant les horaires d'ouverture des bâtiments. En cas de fermeture temporaire des locaux, l'occupant doit prendre les mesures nécessaires pour sécuriser les distributeurs et les produits qu'ils contiennent.</w:t>
      </w:r>
    </w:p>
    <w:p w14:paraId="19233B5A" w14:textId="77777777" w:rsidR="0071296E" w:rsidRDefault="0071296E" w:rsidP="00BA2903"/>
    <w:p w14:paraId="2578A40F" w14:textId="1A435A94" w:rsidR="00C607EE" w:rsidRDefault="00C607EE" w:rsidP="00C607EE">
      <w:pPr>
        <w:pStyle w:val="Titre4"/>
      </w:pPr>
      <w:r>
        <w:lastRenderedPageBreak/>
        <w:t xml:space="preserve">4.5.1 – Horaires d’ouverture des bâtiments </w:t>
      </w:r>
    </w:p>
    <w:p w14:paraId="22CBFF94" w14:textId="5279517D" w:rsidR="00C607EE" w:rsidRDefault="00C607EE" w:rsidP="00BA2903"/>
    <w:p w14:paraId="349746BD" w14:textId="422DAD69" w:rsidR="00FB2DF0" w:rsidRDefault="00FB2DF0" w:rsidP="00FB2DF0">
      <w:r>
        <w:t>Les accueils des sites de Belfort</w:t>
      </w:r>
      <w:r w:rsidR="00756791">
        <w:t xml:space="preserve">, </w:t>
      </w:r>
      <w:r>
        <w:t>Montbéliard et Sevenans sont ouverts du lundi au vendredi de 8h00 à 12h</w:t>
      </w:r>
      <w:r w:rsidR="00756791">
        <w:t>00 et</w:t>
      </w:r>
      <w:r>
        <w:t xml:space="preserve"> de 13h30 à 17h00.</w:t>
      </w:r>
    </w:p>
    <w:p w14:paraId="34BC19B6" w14:textId="77777777" w:rsidR="00FB2DF0" w:rsidRDefault="00FB2DF0" w:rsidP="00FB2DF0"/>
    <w:p w14:paraId="556CD928" w14:textId="2A5C4385" w:rsidR="00E25993" w:rsidRDefault="00756791" w:rsidP="00BA2903">
      <w:r w:rsidRPr="007532E1">
        <w:t>Tous le</w:t>
      </w:r>
      <w:r w:rsidR="00E25993" w:rsidRPr="007532E1">
        <w:t xml:space="preserve">s bâtiments des 3 sites de l’UTBM </w:t>
      </w:r>
      <w:r w:rsidRPr="007532E1">
        <w:t xml:space="preserve">ouverts au public </w:t>
      </w:r>
      <w:r w:rsidR="00FB2DF0" w:rsidRPr="007532E1">
        <w:t xml:space="preserve">sont accessibles sur contrôle d’accès </w:t>
      </w:r>
      <w:r w:rsidRPr="007532E1">
        <w:t xml:space="preserve">du lundi au vendredi </w:t>
      </w:r>
      <w:r w:rsidR="00FB2DF0" w:rsidRPr="007532E1">
        <w:t xml:space="preserve">de 7h30 à 19h30, </w:t>
      </w:r>
      <w:r w:rsidR="000742BD" w:rsidRPr="007532E1">
        <w:t xml:space="preserve">et </w:t>
      </w:r>
      <w:r w:rsidR="00FB2DF0" w:rsidRPr="007532E1">
        <w:t xml:space="preserve">le </w:t>
      </w:r>
      <w:r w:rsidRPr="007532E1">
        <w:t>samedi</w:t>
      </w:r>
      <w:r w:rsidR="00FB2DF0" w:rsidRPr="007532E1">
        <w:t xml:space="preserve"> </w:t>
      </w:r>
      <w:r w:rsidRPr="007532E1">
        <w:t>m</w:t>
      </w:r>
      <w:r w:rsidR="00FB2DF0" w:rsidRPr="007532E1">
        <w:t>atin</w:t>
      </w:r>
      <w:r w:rsidR="002F1015" w:rsidRPr="007532E1">
        <w:t xml:space="preserve"> </w:t>
      </w:r>
      <w:r w:rsidR="000742BD" w:rsidRPr="007532E1">
        <w:t>(uniquement pour le bâtiment A de Belfort)</w:t>
      </w:r>
      <w:r w:rsidR="00FB2DF0" w:rsidRPr="007532E1">
        <w:t xml:space="preserve"> </w:t>
      </w:r>
      <w:r w:rsidRPr="007532E1">
        <w:t xml:space="preserve">de </w:t>
      </w:r>
      <w:r w:rsidR="000742BD" w:rsidRPr="007532E1">
        <w:t>07h30 à 13h.</w:t>
      </w:r>
    </w:p>
    <w:p w14:paraId="3F55D5FD" w14:textId="77777777" w:rsidR="00756791" w:rsidRDefault="00756791" w:rsidP="00BA2903"/>
    <w:p w14:paraId="06D046D8" w14:textId="66F840AA" w:rsidR="00756791" w:rsidRDefault="00756791" w:rsidP="00BA2903">
      <w:r>
        <w:t xml:space="preserve">A titre occasionnel, les bibliothèques de sites de Sevenans et Belfort peuvent ouvrir à des horaires décalés en soirée. </w:t>
      </w:r>
    </w:p>
    <w:p w14:paraId="67171EC8" w14:textId="77777777" w:rsidR="00C607EE" w:rsidRDefault="00C607EE" w:rsidP="00BA2903"/>
    <w:p w14:paraId="4E842DF4" w14:textId="426BB67B" w:rsidR="00C607EE" w:rsidRPr="00756791" w:rsidRDefault="00C607EE" w:rsidP="00C607EE">
      <w:pPr>
        <w:pStyle w:val="Titre4"/>
      </w:pPr>
      <w:r w:rsidRPr="00756791">
        <w:t xml:space="preserve">4.5.2 – Période de fermeture </w:t>
      </w:r>
    </w:p>
    <w:p w14:paraId="0F859B36" w14:textId="11C52C0D" w:rsidR="00C607EE" w:rsidRPr="00756791" w:rsidRDefault="00C607EE" w:rsidP="00BA2903"/>
    <w:p w14:paraId="0B63658A" w14:textId="7ECA65AE" w:rsidR="00756791" w:rsidRPr="00756791" w:rsidRDefault="00756791" w:rsidP="00BA2903">
      <w:r w:rsidRPr="00756791">
        <w:t xml:space="preserve">L’UTBM est fermée pour congés annuels sur une durée de 3 semaines et </w:t>
      </w:r>
      <w:proofErr w:type="gramStart"/>
      <w:r w:rsidRPr="00756791">
        <w:t>demi</w:t>
      </w:r>
      <w:proofErr w:type="gramEnd"/>
      <w:r w:rsidRPr="00756791">
        <w:t xml:space="preserve"> pendant la période estivale (fin juillet / début août) et pendant les vacances de Noël au mois de décembre. </w:t>
      </w:r>
    </w:p>
    <w:p w14:paraId="172EE8E4" w14:textId="77777777" w:rsidR="00756791" w:rsidRPr="00756791" w:rsidRDefault="00756791" w:rsidP="00BA2903"/>
    <w:p w14:paraId="1F199CAE" w14:textId="32D83ECD" w:rsidR="0071296E" w:rsidRDefault="0071296E" w:rsidP="00BA2903">
      <w:r w:rsidRPr="00756791">
        <w:t xml:space="preserve">Un calendrier </w:t>
      </w:r>
      <w:r w:rsidR="00756791" w:rsidRPr="00756791">
        <w:t>universitaire pourra être transmis chaque année sur demande de l’occupant.</w:t>
      </w:r>
      <w:r w:rsidR="00756791">
        <w:t xml:space="preserve"> </w:t>
      </w:r>
    </w:p>
    <w:p w14:paraId="54217060" w14:textId="77777777" w:rsidR="002473AD" w:rsidRDefault="002473AD" w:rsidP="00BA2903"/>
    <w:p w14:paraId="4B61EB9C" w14:textId="6F4DB98F" w:rsidR="002473AD" w:rsidRDefault="002473AD" w:rsidP="00BA2903">
      <w:r>
        <w:t xml:space="preserve">Il est à noter une période réduite d’activité de 5 semaines sur la période fin janvier / début février. Les étudiants étant en période d’inter-semestre, ils ne sont pas présents dans les bâtiments, ce qui peut réduire de façon importante la consommation de la clientèle. </w:t>
      </w:r>
    </w:p>
    <w:p w14:paraId="1A543206" w14:textId="77777777" w:rsidR="00E92829" w:rsidRDefault="00E92829" w:rsidP="00BA2903"/>
    <w:p w14:paraId="15E06092" w14:textId="73A2FDE4" w:rsidR="00E92829" w:rsidRDefault="00E92829" w:rsidP="00BA2903">
      <w:r>
        <w:t xml:space="preserve">De même l’UTBM pourra mettre en place une semaine de sobriété pendant la période d’inter-semestre, durant laquelle les bâtiments seront fermés et le chauffage réduit. </w:t>
      </w:r>
    </w:p>
    <w:p w14:paraId="7BF5796F" w14:textId="77777777" w:rsidR="00BF09D2" w:rsidRDefault="00BF09D2" w:rsidP="003A40EF"/>
    <w:p w14:paraId="37EA5C35" w14:textId="3B227A70" w:rsidR="00A36671" w:rsidRDefault="00387A30" w:rsidP="0028427A">
      <w:pPr>
        <w:pStyle w:val="Titre3"/>
      </w:pPr>
      <w:bookmarkStart w:id="25" w:name="_Toc192771849"/>
      <w:r>
        <w:t>4.</w:t>
      </w:r>
      <w:r w:rsidR="0028427A">
        <w:t xml:space="preserve">6 - </w:t>
      </w:r>
      <w:r w:rsidR="003A40EF">
        <w:t>Incident</w:t>
      </w:r>
      <w:bookmarkEnd w:id="25"/>
    </w:p>
    <w:p w14:paraId="31D392D7" w14:textId="77777777" w:rsidR="00BF09D2" w:rsidRDefault="00BF09D2" w:rsidP="003A40EF"/>
    <w:p w14:paraId="1C237C19" w14:textId="77777777" w:rsidR="00BA2903" w:rsidRDefault="00BA2903" w:rsidP="00BA2903">
      <w:r>
        <w:t>En cas d'incident affectant le fonctionnement des distributeurs automatiques, l'occupant doit intervenir dans les plus brefs délais pour rétablir le service. Il doit également informer l'UTBM de la nature de l'incident, des mesures prises pour y remédier et du délai estimé pour le rétablissement complet du service. Un rapport détaillé de l'incident et des actions correctives doit être transmis à l'UTBM dans les 48 heures suivant l'incident.</w:t>
      </w:r>
    </w:p>
    <w:p w14:paraId="69A7D3F9" w14:textId="77777777" w:rsidR="00BF09D2" w:rsidRDefault="00BF09D2" w:rsidP="003A40EF"/>
    <w:p w14:paraId="3B888F33" w14:textId="77777777" w:rsidR="00BF09D2" w:rsidRDefault="00BF09D2" w:rsidP="003A40EF"/>
    <w:p w14:paraId="3A7F722E" w14:textId="77777777" w:rsidR="00BF09D2" w:rsidRDefault="00BF09D2" w:rsidP="003A40EF"/>
    <w:p w14:paraId="61B9104B" w14:textId="44109E68" w:rsidR="003A40EF" w:rsidRDefault="00A36671" w:rsidP="003830FC">
      <w:pPr>
        <w:pStyle w:val="Titre3"/>
      </w:pPr>
      <w:bookmarkStart w:id="26" w:name="_Toc192771850"/>
      <w:r>
        <w:t>4.</w:t>
      </w:r>
      <w:r w:rsidR="0028427A">
        <w:t>7</w:t>
      </w:r>
      <w:r>
        <w:t xml:space="preserve"> - </w:t>
      </w:r>
      <w:r w:rsidR="003A40EF">
        <w:t>Restitution des locaux</w:t>
      </w:r>
      <w:bookmarkEnd w:id="26"/>
      <w:r w:rsidR="003A40EF">
        <w:t xml:space="preserve"> </w:t>
      </w:r>
    </w:p>
    <w:p w14:paraId="6F21CFDF" w14:textId="77777777" w:rsidR="00BF09D2" w:rsidRDefault="00BF09D2" w:rsidP="003A40EF"/>
    <w:p w14:paraId="482C114B" w14:textId="77777777" w:rsidR="00BA2903" w:rsidRDefault="00BA2903" w:rsidP="00BA2903">
      <w:r>
        <w:t>A la fin de la convention, l'occupant doit restituer les locaux mis à sa disposition dans leur état initial, sous réserve de l'usure normale. Un état des lieux contradictoire sera réalisé avec un représentant de l'UTBM pour vérifier la conformité de la restitution.</w:t>
      </w:r>
    </w:p>
    <w:p w14:paraId="5360EB34" w14:textId="77777777" w:rsidR="00BA2903" w:rsidRDefault="00BA2903" w:rsidP="003A40EF"/>
    <w:p w14:paraId="02F3E69E" w14:textId="77777777" w:rsidR="00BF09D2" w:rsidRDefault="00BF09D2" w:rsidP="003A40EF"/>
    <w:p w14:paraId="13B2FEC4" w14:textId="5970CB6B" w:rsidR="003A40EF" w:rsidRDefault="00A36671" w:rsidP="003830FC">
      <w:pPr>
        <w:pStyle w:val="Titre4"/>
      </w:pPr>
      <w:r>
        <w:t xml:space="preserve">4.6.1 - </w:t>
      </w:r>
      <w:r w:rsidR="003A40EF">
        <w:t xml:space="preserve">Retrait des distributeurs </w:t>
      </w:r>
    </w:p>
    <w:p w14:paraId="58AB27CB" w14:textId="77777777" w:rsidR="00BF09D2" w:rsidRDefault="00BF09D2" w:rsidP="003A40EF"/>
    <w:p w14:paraId="72FFAB63" w14:textId="77777777" w:rsidR="00BA2903" w:rsidRDefault="00BA2903" w:rsidP="00BA2903">
      <w:r>
        <w:t>L'occupant est tenu de retirer tous les distributeurs automatiques de l'UTBM dans un délai de 15 jours suivant la fin de la convention. Les frais de retrait et de transport des distributeurs sont à la charge de l'occupant. En cas de non-retrait dans le délai imparti, l'UTBM se réserve le droit de faire enlever les distributeurs aux frais de l'occupant. Un procès-verbal de retrait sera établi et signé par les deux parties pour attester de la restitution des emplacements.</w:t>
      </w:r>
    </w:p>
    <w:p w14:paraId="7851A727" w14:textId="77777777" w:rsidR="00BF09D2" w:rsidRDefault="00BF09D2" w:rsidP="003A40EF"/>
    <w:p w14:paraId="1719FD4C" w14:textId="77777777" w:rsidR="00BF09D2" w:rsidRDefault="00BF09D2" w:rsidP="003A40EF"/>
    <w:p w14:paraId="54E45FCC" w14:textId="6267BD2E" w:rsidR="003A40EF" w:rsidRDefault="00A36671" w:rsidP="003830FC">
      <w:pPr>
        <w:pStyle w:val="Titre4"/>
      </w:pPr>
      <w:r>
        <w:t xml:space="preserve">4.6.2 - </w:t>
      </w:r>
      <w:r w:rsidR="003A40EF">
        <w:t xml:space="preserve">Remise en état </w:t>
      </w:r>
    </w:p>
    <w:p w14:paraId="7F2C4DFE" w14:textId="77777777" w:rsidR="003A40EF" w:rsidRDefault="003A40EF" w:rsidP="003A40EF"/>
    <w:p w14:paraId="588FE8CC" w14:textId="77777777" w:rsidR="00BA2903" w:rsidRDefault="00BA2903" w:rsidP="00BA2903">
      <w:r>
        <w:t>À la fin de la convention ou en cas de résiliation anticipée, l'occupant s'engage à remettre les locaux et les emplacements des distributeurs automatiques en état. Cette remise en état inclut le nettoyage complet des surfaces, la réparation des éventuels dommages causés par l'installation et l'exploitation des distributeurs, et le retrait de tous les équipements et matériels appartenant à l'occupant. L'occupant dispose d'un délai de quinze jours calendaires à compter de la date de fin de la convention pour effectuer ces opérations. En cas de non-respect de ce délai, l'UTBM se réserve le droit de faire exécuter les travaux nécessaires aux frais de l'occupant.</w:t>
      </w:r>
    </w:p>
    <w:p w14:paraId="7260AB9A" w14:textId="77777777" w:rsidR="003A40EF" w:rsidRDefault="003A40EF" w:rsidP="00905278"/>
    <w:p w14:paraId="77A63D78" w14:textId="77777777" w:rsidR="00625207" w:rsidRDefault="00625207" w:rsidP="00905278"/>
    <w:p w14:paraId="688BD12E" w14:textId="20ACEEFC" w:rsidR="005C69BB" w:rsidRDefault="00E20EBB" w:rsidP="003830FC">
      <w:pPr>
        <w:pStyle w:val="Titre2"/>
      </w:pPr>
      <w:bookmarkStart w:id="27" w:name="_Toc192771851"/>
      <w:r>
        <w:t xml:space="preserve">Article </w:t>
      </w:r>
      <w:r w:rsidR="008D37A3">
        <w:t xml:space="preserve">5 - </w:t>
      </w:r>
      <w:r w:rsidR="00215E22">
        <w:t>Dispositions techniques</w:t>
      </w:r>
      <w:bookmarkEnd w:id="27"/>
    </w:p>
    <w:p w14:paraId="5DFBAE1A" w14:textId="77777777" w:rsidR="00BA2903" w:rsidRDefault="00BA2903" w:rsidP="00BA2903"/>
    <w:p w14:paraId="1657ED2C" w14:textId="590633BD" w:rsidR="00BA2903" w:rsidRDefault="00BA2903" w:rsidP="00BA2903">
      <w:r>
        <w:t>Les dispositions techniques définissent les exigences relatives à l'installation, l'exploitation et la maintenance des distributeurs automatiques dans les locaux de l'UTBM. Elles couvrent l'état et la conformité des appareils, les caractéristiques techniques et esthétiques des distributeurs, ainsi que les produits proposés. L'occupant doit se conformer à ces exigences pour garantir un service de qualité et assurer la satisfaction des usagers.</w:t>
      </w:r>
    </w:p>
    <w:p w14:paraId="1EEF00B3" w14:textId="77777777" w:rsidR="00BF09D2" w:rsidRDefault="00BF09D2" w:rsidP="00905278"/>
    <w:p w14:paraId="12999974" w14:textId="77777777" w:rsidR="00BF09D2" w:rsidRDefault="00BF09D2" w:rsidP="00905278"/>
    <w:p w14:paraId="0AED6E8A" w14:textId="5E5603C4" w:rsidR="00625019" w:rsidRDefault="00DB3F16" w:rsidP="003830FC">
      <w:pPr>
        <w:pStyle w:val="Titre3"/>
      </w:pPr>
      <w:bookmarkStart w:id="28" w:name="_Toc192771852"/>
      <w:r>
        <w:t xml:space="preserve">5.1 </w:t>
      </w:r>
      <w:r w:rsidR="003F2B5E">
        <w:t>–</w:t>
      </w:r>
      <w:r>
        <w:t xml:space="preserve"> </w:t>
      </w:r>
      <w:r w:rsidR="003F2B5E">
        <w:t>Etat et conformité des appareils</w:t>
      </w:r>
      <w:bookmarkEnd w:id="28"/>
    </w:p>
    <w:p w14:paraId="1425BC6B" w14:textId="77777777" w:rsidR="00BF09D2" w:rsidRDefault="00BF09D2" w:rsidP="00625019"/>
    <w:p w14:paraId="72CDC7A1" w14:textId="77777777" w:rsidR="00BA2903" w:rsidRDefault="00BA2903" w:rsidP="00BA2903">
      <w:r>
        <w:t>Les distributeurs automatiques installés doivent être neufs ou reconditionnés de moins d'un an et en parfait état de fonctionnement. Ils doivent respecter les normes de sécurité et de conformité en vigueur, notamment celles relatives à l'hygiène alimentaire et à la sécurité électrique. L'occupant doit fournir les certificats de conformité et les rapports de contrôle technique pour chaque appareil installé. En cas de non-conformité, l'UTBM se réserve le droit de demander le remplacement immédiat des appareils défectueux.</w:t>
      </w:r>
    </w:p>
    <w:p w14:paraId="555D2E80" w14:textId="77777777" w:rsidR="00BA2903" w:rsidRDefault="00BA2903" w:rsidP="00625019"/>
    <w:p w14:paraId="5FAABFC9" w14:textId="0C4A0B4B" w:rsidR="003F2B5E" w:rsidRDefault="003F2B5E" w:rsidP="003F2B5E">
      <w:pPr>
        <w:pStyle w:val="Titre3"/>
      </w:pPr>
      <w:bookmarkStart w:id="29" w:name="_Toc192771853"/>
      <w:r>
        <w:t>5.2 - Distributeurs souhaités</w:t>
      </w:r>
      <w:bookmarkEnd w:id="29"/>
    </w:p>
    <w:p w14:paraId="2A9147FD" w14:textId="77777777" w:rsidR="00BF09D2" w:rsidRDefault="00BF09D2" w:rsidP="00625019"/>
    <w:p w14:paraId="52D3C690" w14:textId="77777777" w:rsidR="003B147D" w:rsidRDefault="003B147D" w:rsidP="003B147D">
      <w:r>
        <w:t>Les distributeurs automatiques doivent répondre aux besoins spécifiques de l'UTBM et de ses usagers. Ils doivent proposer une gamme variée de boissons chaudes et froides, de snacks et de produits alimentaires. L'occupant doit installer des distributeurs adaptés aux différents emplacements prévus, en tenant compte des contraintes d'espace et des exigences de sécurité. La liste des distributeurs souhaités et leurs caractéristiques techniques doivent être détaillées dans l'offre de l'occupant.</w:t>
      </w:r>
    </w:p>
    <w:p w14:paraId="4534BFF8" w14:textId="77777777" w:rsidR="0028427A" w:rsidRDefault="0028427A" w:rsidP="003B147D"/>
    <w:p w14:paraId="2F0749D8" w14:textId="6EA0498A" w:rsidR="0028427A" w:rsidRPr="007532E1" w:rsidRDefault="0028427A" w:rsidP="003B147D">
      <w:pPr>
        <w:rPr>
          <w:b/>
          <w:bCs/>
        </w:rPr>
      </w:pPr>
      <w:r w:rsidRPr="007532E1">
        <w:rPr>
          <w:b/>
          <w:bCs/>
        </w:rPr>
        <w:t>Nombre et type de distributeurs à mettre en place :</w:t>
      </w:r>
    </w:p>
    <w:p w14:paraId="1B44E5E5" w14:textId="708FF05D" w:rsidR="0028427A" w:rsidRPr="007532E1" w:rsidRDefault="0028427A" w:rsidP="0028427A">
      <w:pPr>
        <w:pStyle w:val="Paragraphedeliste"/>
        <w:numPr>
          <w:ilvl w:val="0"/>
          <w:numId w:val="9"/>
        </w:numPr>
        <w:rPr>
          <w:b/>
          <w:bCs/>
        </w:rPr>
      </w:pPr>
      <w:r w:rsidRPr="007532E1">
        <w:rPr>
          <w:b/>
          <w:bCs/>
        </w:rPr>
        <w:t>Boissons chaudes : 4</w:t>
      </w:r>
    </w:p>
    <w:p w14:paraId="5132C61B" w14:textId="43899B26" w:rsidR="0028427A" w:rsidRPr="007532E1" w:rsidRDefault="0028427A" w:rsidP="0028427A">
      <w:pPr>
        <w:pStyle w:val="Paragraphedeliste"/>
        <w:numPr>
          <w:ilvl w:val="0"/>
          <w:numId w:val="9"/>
        </w:numPr>
        <w:rPr>
          <w:b/>
          <w:bCs/>
        </w:rPr>
      </w:pPr>
      <w:r w:rsidRPr="007532E1">
        <w:rPr>
          <w:b/>
          <w:bCs/>
        </w:rPr>
        <w:t>Boissons fraiches : 1</w:t>
      </w:r>
    </w:p>
    <w:p w14:paraId="6364F521" w14:textId="1AC3D801" w:rsidR="0028427A" w:rsidRPr="007532E1" w:rsidRDefault="0028427A" w:rsidP="0028427A">
      <w:pPr>
        <w:pStyle w:val="Paragraphedeliste"/>
        <w:numPr>
          <w:ilvl w:val="0"/>
          <w:numId w:val="9"/>
        </w:numPr>
        <w:rPr>
          <w:b/>
          <w:bCs/>
        </w:rPr>
      </w:pPr>
      <w:r w:rsidRPr="007532E1">
        <w:rPr>
          <w:b/>
          <w:bCs/>
        </w:rPr>
        <w:t>Machines à café en grains : 2</w:t>
      </w:r>
    </w:p>
    <w:p w14:paraId="0B69133E" w14:textId="6B550380" w:rsidR="0028427A" w:rsidRPr="007532E1" w:rsidRDefault="0028427A" w:rsidP="0028427A">
      <w:pPr>
        <w:pStyle w:val="Paragraphedeliste"/>
        <w:numPr>
          <w:ilvl w:val="0"/>
          <w:numId w:val="9"/>
        </w:numPr>
        <w:rPr>
          <w:b/>
          <w:bCs/>
        </w:rPr>
      </w:pPr>
      <w:r w:rsidRPr="007532E1">
        <w:rPr>
          <w:b/>
          <w:bCs/>
        </w:rPr>
        <w:t>Mixte - snacks et boissons fraiches : 4</w:t>
      </w:r>
    </w:p>
    <w:p w14:paraId="5E975724" w14:textId="77777777" w:rsidR="003B147D" w:rsidRPr="007532E1" w:rsidRDefault="003B147D" w:rsidP="00625019">
      <w:pPr>
        <w:rPr>
          <w:b/>
          <w:bCs/>
        </w:rPr>
      </w:pPr>
    </w:p>
    <w:p w14:paraId="11ECFD33" w14:textId="2AF56A8B" w:rsidR="003B147D" w:rsidRPr="007532E1" w:rsidRDefault="00A71FA6" w:rsidP="00625019">
      <w:pPr>
        <w:rPr>
          <w:b/>
          <w:bCs/>
        </w:rPr>
      </w:pPr>
      <w:r w:rsidRPr="007532E1">
        <w:rPr>
          <w:b/>
          <w:bCs/>
        </w:rPr>
        <w:t xml:space="preserve">Soit un total de 11 distributeurs. </w:t>
      </w:r>
    </w:p>
    <w:p w14:paraId="75C0290D" w14:textId="77777777" w:rsidR="00A71FA6" w:rsidRDefault="00A71FA6" w:rsidP="00625019"/>
    <w:p w14:paraId="67E0325D" w14:textId="05B69E24" w:rsidR="00DB3F16" w:rsidRDefault="00DB3F16" w:rsidP="003830FC">
      <w:pPr>
        <w:pStyle w:val="Titre3"/>
      </w:pPr>
      <w:bookmarkStart w:id="30" w:name="_Toc192771854"/>
      <w:r>
        <w:t>5.</w:t>
      </w:r>
      <w:r w:rsidR="003F2B5E">
        <w:t>3</w:t>
      </w:r>
      <w:r>
        <w:t xml:space="preserve"> - </w:t>
      </w:r>
      <w:r w:rsidR="00625019">
        <w:t>Caractéristiques des appareils</w:t>
      </w:r>
      <w:bookmarkEnd w:id="30"/>
      <w:r w:rsidR="00625019">
        <w:t xml:space="preserve"> </w:t>
      </w:r>
    </w:p>
    <w:p w14:paraId="282B59E9" w14:textId="77777777" w:rsidR="00BF09D2" w:rsidRDefault="00BF09D2" w:rsidP="00625019"/>
    <w:p w14:paraId="31D82DC0" w14:textId="61B99A34" w:rsidR="003B147D" w:rsidRPr="00622858" w:rsidRDefault="003B147D" w:rsidP="003B147D">
      <w:r w:rsidRPr="00622858">
        <w:t>Les distributeurs automatiques doivent présenter des caractéristiques techniques et esthétiques conformes aux exigences de l'UTBM. Ils doivent être robustes, fiables et faciles à utiliser. Les appareils doivent également s'intégrer harmonieusement dans les locaux de l'UTBM, en respectant les critères esthétiques définis par l'établissement.</w:t>
      </w:r>
      <w:r w:rsidR="0045725C">
        <w:t xml:space="preserve"> Les dimensions devront être validées par l’UTBM avant toute mise en place. </w:t>
      </w:r>
    </w:p>
    <w:p w14:paraId="5CD732BB" w14:textId="77777777" w:rsidR="00BA2903" w:rsidRDefault="00BA2903" w:rsidP="00625019"/>
    <w:p w14:paraId="03F93F9A" w14:textId="77777777" w:rsidR="00BF09D2" w:rsidRDefault="00BF09D2" w:rsidP="00625019"/>
    <w:p w14:paraId="39610612" w14:textId="5277D1CF" w:rsidR="00DB3F16" w:rsidRDefault="00DB3F16" w:rsidP="003830FC">
      <w:pPr>
        <w:pStyle w:val="Titre4"/>
      </w:pPr>
      <w:r>
        <w:t>5.</w:t>
      </w:r>
      <w:r w:rsidR="003F2B5E">
        <w:t>3</w:t>
      </w:r>
      <w:r>
        <w:t>.1 - F</w:t>
      </w:r>
      <w:r w:rsidR="00625019">
        <w:t xml:space="preserve">onctionnalités </w:t>
      </w:r>
    </w:p>
    <w:p w14:paraId="40719F4A" w14:textId="77777777" w:rsidR="003B147D" w:rsidRDefault="003B147D" w:rsidP="003B147D"/>
    <w:p w14:paraId="53F063A7" w14:textId="77777777" w:rsidR="0028427A" w:rsidRDefault="003B147D" w:rsidP="003B147D">
      <w:r w:rsidRPr="00622858">
        <w:t xml:space="preserve">Les distributeurs automatiques doivent offrir des fonctionnalités avancées pour garantir une utilisation optimale par les usagers. Ils doivent être équipés de systèmes de paiement modernes, incluant la carte bancaire et le paiement sans contact. Les appareils doivent également permettre l'utilisation de gobelets personnels et offrir des options de personnalisation des boissons. Les distributeurs doivent être dotés de dispositifs de sécurité pour prévenir les actes de vandalisme et garantir la protection des utilisateurs. </w:t>
      </w:r>
    </w:p>
    <w:p w14:paraId="54F1A828" w14:textId="77777777" w:rsidR="0028427A" w:rsidRDefault="0028427A" w:rsidP="003B147D"/>
    <w:p w14:paraId="51B65E47" w14:textId="206A3977" w:rsidR="00625019" w:rsidRDefault="00DB3F16" w:rsidP="003830FC">
      <w:pPr>
        <w:pStyle w:val="Titre4"/>
      </w:pPr>
      <w:r>
        <w:t>5.</w:t>
      </w:r>
      <w:r w:rsidR="003F2B5E">
        <w:t>3</w:t>
      </w:r>
      <w:r>
        <w:t xml:space="preserve">.2 </w:t>
      </w:r>
      <w:r w:rsidR="00BF09D2">
        <w:t>–</w:t>
      </w:r>
      <w:r>
        <w:t xml:space="preserve"> E</w:t>
      </w:r>
      <w:r w:rsidR="00625019">
        <w:t>sthétiques</w:t>
      </w:r>
    </w:p>
    <w:p w14:paraId="5648AEC6" w14:textId="77777777" w:rsidR="00BF09D2" w:rsidRDefault="00BF09D2" w:rsidP="00625019"/>
    <w:p w14:paraId="1A2DF33F" w14:textId="77777777" w:rsidR="003B147D" w:rsidRDefault="003B147D" w:rsidP="003B147D">
      <w:r w:rsidRPr="00622858">
        <w:t>Les distributeurs automatiques doivent présenter un design moderne et attrayant, en harmonie avec l'environnement des locaux de l'UTBM. Les appareils doivent être de couleur neutre ou sobre, sans publicité ostentatoire. Les distributeurs doivent être équipés d'un éclairage adapté pour faciliter leur utilisation et mettre en valeur les produits proposés. L'occupant doit soumettre à l'UTBM des visuels des distributeurs pour validation avant leur installation.</w:t>
      </w:r>
    </w:p>
    <w:p w14:paraId="21931EC4" w14:textId="77777777" w:rsidR="00527873" w:rsidRPr="00622858" w:rsidRDefault="00527873" w:rsidP="003B147D"/>
    <w:p w14:paraId="1779AEE9" w14:textId="77777777" w:rsidR="00BF09D2" w:rsidRDefault="00BF09D2" w:rsidP="00625019"/>
    <w:p w14:paraId="20FA2AD7" w14:textId="646994BC" w:rsidR="005C69BB" w:rsidRDefault="00DB3F16" w:rsidP="003830FC">
      <w:pPr>
        <w:pStyle w:val="Titre3"/>
      </w:pPr>
      <w:bookmarkStart w:id="31" w:name="_Toc192771855"/>
      <w:r>
        <w:lastRenderedPageBreak/>
        <w:t>5.</w:t>
      </w:r>
      <w:r w:rsidR="003F2B5E">
        <w:t>4</w:t>
      </w:r>
      <w:r>
        <w:t xml:space="preserve"> - </w:t>
      </w:r>
      <w:r w:rsidR="005C69BB">
        <w:t>Produits proposés</w:t>
      </w:r>
      <w:bookmarkEnd w:id="31"/>
      <w:r w:rsidR="005C69BB">
        <w:t xml:space="preserve"> </w:t>
      </w:r>
    </w:p>
    <w:p w14:paraId="7BAA9F8E" w14:textId="77777777" w:rsidR="003B147D" w:rsidRDefault="003B147D" w:rsidP="003B147D"/>
    <w:p w14:paraId="25913006" w14:textId="2E5E8896" w:rsidR="003B147D" w:rsidRPr="00622858" w:rsidRDefault="003B147D" w:rsidP="003B147D">
      <w:r w:rsidRPr="00622858">
        <w:t>Les distributeurs automatiques doivent offrir une gamme variée de produits de qualité, incluant des boissons chaudes et froides, des snacks et des produits alimentaires. L'occupant doit veiller à proposer des produits issus du commerce équitable, de l'agriculture biologique ou ayant une qualité nutritionnelle élevée. Les produits doivent être régulièrement renouvelés pour garantir leur fraîcheur et leur conformité aux normes sanitaires en vigueur. L'occupant doit fournir une liste détaillée des produits proposés dans son offre.</w:t>
      </w:r>
    </w:p>
    <w:p w14:paraId="26CDED06" w14:textId="77777777" w:rsidR="00BF09D2" w:rsidRDefault="00BF09D2" w:rsidP="00905278"/>
    <w:p w14:paraId="4B5CD030" w14:textId="545E2848" w:rsidR="00BF09D2" w:rsidRDefault="003A1AED" w:rsidP="003A1AED">
      <w:pPr>
        <w:pStyle w:val="Titre4"/>
      </w:pPr>
      <w:r>
        <w:t xml:space="preserve">5.4.1 – Pour les distributeurs de boissons chaudes / machines à café en grain </w:t>
      </w:r>
    </w:p>
    <w:p w14:paraId="0E53E89B" w14:textId="77777777" w:rsidR="003A1AED" w:rsidRDefault="003A1AED" w:rsidP="00905278"/>
    <w:p w14:paraId="254A8A3D" w14:textId="6B083297" w:rsidR="003A1AED" w:rsidRPr="007532E1" w:rsidRDefault="003A1AED" w:rsidP="003A1AED">
      <w:r w:rsidRPr="007532E1">
        <w:t>L’occupant s’engage notamment à proposer à la vente les produits suivants :</w:t>
      </w:r>
    </w:p>
    <w:p w14:paraId="37A5FFC8" w14:textId="0AEED52C" w:rsidR="003A1AED" w:rsidRPr="007532E1" w:rsidRDefault="003A1AED" w:rsidP="003A1AED">
      <w:pPr>
        <w:pStyle w:val="Paragraphedeliste"/>
        <w:numPr>
          <w:ilvl w:val="0"/>
          <w:numId w:val="18"/>
        </w:numPr>
        <w:ind w:hanging="217"/>
      </w:pPr>
      <w:r w:rsidRPr="007532E1">
        <w:t>Cafés (en grain court, long, crème ou au lait)</w:t>
      </w:r>
    </w:p>
    <w:p w14:paraId="76526947" w14:textId="6CF5E869" w:rsidR="003A1AED" w:rsidRPr="007532E1" w:rsidRDefault="003A1AED" w:rsidP="003A1AED">
      <w:pPr>
        <w:pStyle w:val="Paragraphedeliste"/>
        <w:numPr>
          <w:ilvl w:val="0"/>
          <w:numId w:val="18"/>
        </w:numPr>
        <w:ind w:hanging="217"/>
      </w:pPr>
      <w:r w:rsidRPr="007532E1">
        <w:t>Chocolat (boisson chocolatée, chocolat fort)</w:t>
      </w:r>
    </w:p>
    <w:p w14:paraId="529DCFE3" w14:textId="33BA593A" w:rsidR="003A1AED" w:rsidRPr="007532E1" w:rsidRDefault="003A1AED" w:rsidP="003A1AED">
      <w:pPr>
        <w:pStyle w:val="Paragraphedeliste"/>
        <w:numPr>
          <w:ilvl w:val="0"/>
          <w:numId w:val="18"/>
        </w:numPr>
        <w:ind w:hanging="217"/>
      </w:pPr>
      <w:r w:rsidRPr="007532E1">
        <w:t>Cappuccino (nature et/ou aromatisés)</w:t>
      </w:r>
    </w:p>
    <w:p w14:paraId="0B3D247D" w14:textId="5461A289" w:rsidR="003A1AED" w:rsidRPr="007532E1" w:rsidRDefault="003A1AED" w:rsidP="003A1AED">
      <w:pPr>
        <w:pStyle w:val="Paragraphedeliste"/>
        <w:numPr>
          <w:ilvl w:val="0"/>
          <w:numId w:val="18"/>
        </w:numPr>
        <w:ind w:hanging="217"/>
      </w:pPr>
      <w:r w:rsidRPr="007532E1">
        <w:t>Thé (nature ou citron)</w:t>
      </w:r>
    </w:p>
    <w:p w14:paraId="43AD8DE7" w14:textId="32371163" w:rsidR="003A1AED" w:rsidRPr="007532E1" w:rsidRDefault="003A1AED" w:rsidP="003A1AED">
      <w:pPr>
        <w:pStyle w:val="Paragraphedeliste"/>
        <w:numPr>
          <w:ilvl w:val="0"/>
          <w:numId w:val="18"/>
        </w:numPr>
        <w:ind w:hanging="217"/>
      </w:pPr>
      <w:r w:rsidRPr="007532E1">
        <w:t>Potage</w:t>
      </w:r>
    </w:p>
    <w:p w14:paraId="2077474B" w14:textId="77777777" w:rsidR="003A1AED" w:rsidRPr="007532E1" w:rsidRDefault="003A1AED" w:rsidP="003A1AED">
      <w:pPr>
        <w:ind w:hanging="217"/>
      </w:pPr>
    </w:p>
    <w:p w14:paraId="74299D1F" w14:textId="3466245B" w:rsidR="003A1AED" w:rsidRPr="007532E1" w:rsidRDefault="003A1AED" w:rsidP="003A1AED">
      <w:r w:rsidRPr="007532E1">
        <w:t xml:space="preserve">Toutefois la liste n’étant pas exhaustive, elle </w:t>
      </w:r>
      <w:r w:rsidR="00AE0470" w:rsidRPr="007532E1">
        <w:t>sera</w:t>
      </w:r>
      <w:r w:rsidRPr="007532E1">
        <w:t xml:space="preserve"> complétée avec d’autres produits par l’occupant et qui seront indiqués </w:t>
      </w:r>
      <w:r w:rsidR="0082048C" w:rsidRPr="007532E1">
        <w:t>dans le cadre</w:t>
      </w:r>
      <w:r w:rsidRPr="007532E1">
        <w:t xml:space="preserve"> de réponse</w:t>
      </w:r>
      <w:r w:rsidR="0082048C" w:rsidRPr="007532E1">
        <w:t xml:space="preserve"> technique et financier</w:t>
      </w:r>
      <w:r w:rsidRPr="007532E1">
        <w:t>.</w:t>
      </w:r>
    </w:p>
    <w:p w14:paraId="7B7DB607" w14:textId="77777777" w:rsidR="003A1AED" w:rsidRPr="007532E1" w:rsidRDefault="003A1AED" w:rsidP="003A1AED"/>
    <w:p w14:paraId="3336CBED" w14:textId="413D0102" w:rsidR="003A1AED" w:rsidRDefault="003A1AED" w:rsidP="003A1AED">
      <w:r w:rsidRPr="007532E1">
        <w:t>La totalité des produits doit être disponible avec ou sans sucre.</w:t>
      </w:r>
    </w:p>
    <w:p w14:paraId="466F8C23" w14:textId="77777777" w:rsidR="003A1AED" w:rsidRDefault="003A1AED" w:rsidP="003A1AED"/>
    <w:p w14:paraId="16EB2D8E" w14:textId="4D52BEA5" w:rsidR="003A1AED" w:rsidRDefault="003A1AED" w:rsidP="003A1AED">
      <w:pPr>
        <w:pStyle w:val="Titre4"/>
      </w:pPr>
      <w:r>
        <w:t>5.4.2 – Pour les distributeurs de boissons froides et snacks</w:t>
      </w:r>
    </w:p>
    <w:p w14:paraId="3910CB90" w14:textId="77777777" w:rsidR="003A1AED" w:rsidRDefault="003A1AED" w:rsidP="00905278"/>
    <w:p w14:paraId="6294015A" w14:textId="758657B2" w:rsidR="00AE0470" w:rsidRPr="007532E1" w:rsidRDefault="00AE0470" w:rsidP="00AE0470">
      <w:r w:rsidRPr="007532E1">
        <w:t>L’occupant s’engage notamment à proposer à la vente les produits suivants :</w:t>
      </w:r>
    </w:p>
    <w:p w14:paraId="6304CB49" w14:textId="77777777" w:rsidR="00AE0470" w:rsidRPr="007532E1" w:rsidRDefault="00AE0470" w:rsidP="00AE0470"/>
    <w:p w14:paraId="49F79772" w14:textId="3293BE99" w:rsidR="00AE0470" w:rsidRPr="007532E1" w:rsidRDefault="00AE0470" w:rsidP="00AE0470">
      <w:pPr>
        <w:pStyle w:val="Paragraphedeliste"/>
        <w:numPr>
          <w:ilvl w:val="0"/>
          <w:numId w:val="21"/>
        </w:numPr>
      </w:pPr>
      <w:r w:rsidRPr="007532E1">
        <w:t>Boissons conditionnées en boîtes aluminium : cola, cola sans sucre, thé glacé, boisson ou soda gazeux, tonic, jus de fruits non gazeux, …</w:t>
      </w:r>
    </w:p>
    <w:p w14:paraId="3A79C7C8" w14:textId="58C0725F" w:rsidR="00AE0470" w:rsidRPr="007532E1" w:rsidRDefault="00AE0470" w:rsidP="00AE0470">
      <w:pPr>
        <w:pStyle w:val="Paragraphedeliste"/>
        <w:numPr>
          <w:ilvl w:val="0"/>
          <w:numId w:val="21"/>
        </w:numPr>
      </w:pPr>
      <w:r w:rsidRPr="007532E1">
        <w:t>Bouteilles eaux minérales, eaux aromatisées.</w:t>
      </w:r>
    </w:p>
    <w:p w14:paraId="6CF2158D" w14:textId="05B9DBAB" w:rsidR="00AE0470" w:rsidRPr="007532E1" w:rsidRDefault="00AE0470" w:rsidP="00AE0470">
      <w:pPr>
        <w:pStyle w:val="Paragraphedeliste"/>
        <w:numPr>
          <w:ilvl w:val="0"/>
          <w:numId w:val="21"/>
        </w:numPr>
      </w:pPr>
      <w:r w:rsidRPr="007532E1">
        <w:t>Barres chocolatées, gâteaux, barres de céréales</w:t>
      </w:r>
    </w:p>
    <w:p w14:paraId="1E31B085" w14:textId="77777777" w:rsidR="00AE0470" w:rsidRPr="007532E1" w:rsidRDefault="00AE0470" w:rsidP="00AE0470"/>
    <w:p w14:paraId="734DA02D" w14:textId="77777777" w:rsidR="00AE0470" w:rsidRPr="007532E1" w:rsidRDefault="00AE0470" w:rsidP="00AE0470"/>
    <w:p w14:paraId="0406D197" w14:textId="571493FC" w:rsidR="00AE0470" w:rsidRPr="007532E1" w:rsidRDefault="00AE0470" w:rsidP="00AE0470">
      <w:r w:rsidRPr="007532E1">
        <w:t>L’UTBM souhaitant proposer des produits de nature à garantir l’équilibre nutritionnel des usagers, les candidats sont invités à présenter une offre avec :</w:t>
      </w:r>
    </w:p>
    <w:p w14:paraId="14A34F6C" w14:textId="19201D4A" w:rsidR="00AE0470" w:rsidRPr="007532E1" w:rsidRDefault="00AE0470" w:rsidP="00AE0470">
      <w:pPr>
        <w:pStyle w:val="Paragraphedeliste"/>
        <w:numPr>
          <w:ilvl w:val="0"/>
          <w:numId w:val="21"/>
        </w:numPr>
      </w:pPr>
      <w:r w:rsidRPr="007532E1">
        <w:t>Des sachets de fruits secs ;</w:t>
      </w:r>
    </w:p>
    <w:p w14:paraId="582A933D" w14:textId="4F9E5F97" w:rsidR="00AE0470" w:rsidRPr="007532E1" w:rsidRDefault="00AE0470" w:rsidP="00AE0470">
      <w:pPr>
        <w:pStyle w:val="Paragraphedeliste"/>
        <w:numPr>
          <w:ilvl w:val="0"/>
          <w:numId w:val="21"/>
        </w:numPr>
      </w:pPr>
      <w:r w:rsidRPr="007532E1">
        <w:t>Des fruits frais ;</w:t>
      </w:r>
    </w:p>
    <w:p w14:paraId="745F5D0E" w14:textId="690EFC87" w:rsidR="00AE0470" w:rsidRPr="007532E1" w:rsidRDefault="00AE0470" w:rsidP="00AE0470">
      <w:pPr>
        <w:pStyle w:val="Paragraphedeliste"/>
        <w:numPr>
          <w:ilvl w:val="0"/>
          <w:numId w:val="21"/>
        </w:numPr>
      </w:pPr>
      <w:r w:rsidRPr="007532E1">
        <w:t>Des compotes ;</w:t>
      </w:r>
    </w:p>
    <w:p w14:paraId="0981D062" w14:textId="6A953B5C" w:rsidR="00AE0470" w:rsidRPr="007532E1" w:rsidRDefault="00AE0470" w:rsidP="00AE0470">
      <w:pPr>
        <w:pStyle w:val="Paragraphedeliste"/>
        <w:numPr>
          <w:ilvl w:val="0"/>
          <w:numId w:val="21"/>
        </w:numPr>
      </w:pPr>
      <w:r w:rsidRPr="007532E1">
        <w:t xml:space="preserve">Des barres de céréales. </w:t>
      </w:r>
    </w:p>
    <w:p w14:paraId="54240176" w14:textId="77777777" w:rsidR="00AE0470" w:rsidRPr="007532E1" w:rsidRDefault="00AE0470" w:rsidP="00AE0470"/>
    <w:p w14:paraId="3ED3E09C" w14:textId="1DA2EE59" w:rsidR="00AE0470" w:rsidRPr="007532E1" w:rsidRDefault="00AE0470" w:rsidP="00AE0470">
      <w:r w:rsidRPr="007532E1">
        <w:t xml:space="preserve">Toutefois la liste n’étant pas exhaustive, elle sera complétée avec d’autres produits par l’occupant et qui seront indiqués au </w:t>
      </w:r>
      <w:r w:rsidR="0082048C" w:rsidRPr="007532E1">
        <w:t>cadre de</w:t>
      </w:r>
      <w:r w:rsidRPr="007532E1">
        <w:t xml:space="preserve"> réponse</w:t>
      </w:r>
      <w:r w:rsidR="0082048C" w:rsidRPr="007532E1">
        <w:t xml:space="preserve"> technique et financier</w:t>
      </w:r>
      <w:r w:rsidRPr="007532E1">
        <w:t>.</w:t>
      </w:r>
    </w:p>
    <w:p w14:paraId="653F9695" w14:textId="77777777" w:rsidR="00AE0470" w:rsidRPr="007532E1" w:rsidRDefault="00AE0470" w:rsidP="00AE0470"/>
    <w:p w14:paraId="155D96B9" w14:textId="0A9CABAD" w:rsidR="00F46322" w:rsidRPr="007532E1" w:rsidRDefault="00F46322" w:rsidP="00AE0470">
      <w:r w:rsidRPr="007532E1">
        <w:t>L’attention de l’occupant est attirée sur le fait que le recours à des emballages en plastique est interdit.</w:t>
      </w:r>
    </w:p>
    <w:p w14:paraId="303BC5DA" w14:textId="77777777" w:rsidR="00F46322" w:rsidRPr="007532E1" w:rsidRDefault="00F46322" w:rsidP="00AE0470"/>
    <w:p w14:paraId="036B859C" w14:textId="4492CC1E" w:rsidR="003A1AED" w:rsidRDefault="00AE0470" w:rsidP="00AE0470">
      <w:r w:rsidRPr="007532E1">
        <w:t xml:space="preserve">Il est demandé au titulaire d’approvisionner au minimum et tout au long de la convention, ses distributeurs avec </w:t>
      </w:r>
      <w:r w:rsidRPr="007532E1">
        <w:rPr>
          <w:b/>
          <w:bCs/>
        </w:rPr>
        <w:t>au minimum 15% de produits « sains ».</w:t>
      </w:r>
      <w:r w:rsidRPr="007532E1">
        <w:t xml:space="preserve"> Il est également attendu que ces produits soient signalés comme «</w:t>
      </w:r>
      <w:r w:rsidR="00F46322" w:rsidRPr="007532E1">
        <w:t> </w:t>
      </w:r>
      <w:r w:rsidRPr="007532E1">
        <w:t>sains ».</w:t>
      </w:r>
    </w:p>
    <w:p w14:paraId="471CB996" w14:textId="77777777" w:rsidR="00F46322" w:rsidRDefault="00F46322" w:rsidP="00AE0470"/>
    <w:p w14:paraId="7489D7D9" w14:textId="181A33C4" w:rsidR="00DB3F16" w:rsidRDefault="00DB3F16" w:rsidP="003830FC">
      <w:pPr>
        <w:pStyle w:val="Titre4"/>
      </w:pPr>
      <w:r>
        <w:t>5.</w:t>
      </w:r>
      <w:r w:rsidR="003F2B5E">
        <w:t>4</w:t>
      </w:r>
      <w:r>
        <w:t>.</w:t>
      </w:r>
      <w:r w:rsidR="003A1AED">
        <w:t>3</w:t>
      </w:r>
      <w:r>
        <w:t xml:space="preserve"> - Produits et services interdits </w:t>
      </w:r>
    </w:p>
    <w:p w14:paraId="4CB2E17D" w14:textId="77777777" w:rsidR="00BF09D2" w:rsidRDefault="00BF09D2" w:rsidP="00DB3F16"/>
    <w:p w14:paraId="60E8092D" w14:textId="77777777" w:rsidR="003B147D" w:rsidRPr="00622858" w:rsidRDefault="003B147D" w:rsidP="003B147D">
      <w:r w:rsidRPr="00622858">
        <w:t>Il est strictement interdit de proposer des boissons alcoolisées, des boissons énergisantes, des produits contenant des substances illicites ou des produits non conformes aux normes sanitaires en vigueur. De plus, les distributeurs ne doivent pas offrir de services de jeux d'argent ou de paris. L'occupant doit s'assurer que tous les produits et services proposés respectent les réglementations en vigueur et les valeurs de l'UTBM.</w:t>
      </w:r>
    </w:p>
    <w:p w14:paraId="6741C323" w14:textId="77777777" w:rsidR="003B147D" w:rsidRDefault="003B147D" w:rsidP="00DB3F16"/>
    <w:p w14:paraId="5036F0A6" w14:textId="77777777" w:rsidR="00BF09D2" w:rsidRDefault="00BF09D2" w:rsidP="00DB3F16"/>
    <w:p w14:paraId="14FD4ECA" w14:textId="77777777" w:rsidR="00527873" w:rsidRDefault="00527873" w:rsidP="00DB3F16"/>
    <w:p w14:paraId="1F997508" w14:textId="091AFC79" w:rsidR="00DB3F16" w:rsidRDefault="00DB3F16" w:rsidP="003830FC">
      <w:pPr>
        <w:pStyle w:val="Titre4"/>
      </w:pPr>
      <w:r>
        <w:lastRenderedPageBreak/>
        <w:t>5.</w:t>
      </w:r>
      <w:r w:rsidR="003F2B5E">
        <w:t>4</w:t>
      </w:r>
      <w:r>
        <w:t>.</w:t>
      </w:r>
      <w:r w:rsidR="003A1AED">
        <w:t>4</w:t>
      </w:r>
      <w:r>
        <w:t xml:space="preserve"> - Evolution des produits proposés</w:t>
      </w:r>
    </w:p>
    <w:p w14:paraId="2EB4DC96" w14:textId="77777777" w:rsidR="00BF09D2" w:rsidRDefault="00BF09D2" w:rsidP="00DB3F16"/>
    <w:p w14:paraId="0BA9B993" w14:textId="77777777" w:rsidR="003B147D" w:rsidRPr="00622858" w:rsidRDefault="003B147D" w:rsidP="003B147D">
      <w:r w:rsidRPr="00622858">
        <w:t>L'occupant s'engage à faire évoluer la gamme de produits proposés en fonction des besoins et des attentes des usagers de l'UTBM. Il doit être à l'écoute des suggestions et des retours des utilisateurs pour adapter son offre. Toute modification de la gamme de produits doit être soumise à l'approbation préalable de l'UTBM. L'occupant doit également proposer des actions promotionnelles et des nouveautés pour dynamiser les ventes et satisfaire les usagers.</w:t>
      </w:r>
    </w:p>
    <w:p w14:paraId="6D69B74B" w14:textId="77777777" w:rsidR="003B147D" w:rsidRDefault="003B147D" w:rsidP="00DB3F16"/>
    <w:p w14:paraId="07D75C77" w14:textId="77777777" w:rsidR="00BF09D2" w:rsidRDefault="00BF09D2" w:rsidP="00DB3F16"/>
    <w:p w14:paraId="46422D8F" w14:textId="1FF3E7F2" w:rsidR="00DB3F16" w:rsidRDefault="00DB3F16" w:rsidP="003830FC">
      <w:pPr>
        <w:pStyle w:val="Titre4"/>
      </w:pPr>
      <w:r>
        <w:t>5.</w:t>
      </w:r>
      <w:r w:rsidR="003F2B5E">
        <w:t>4</w:t>
      </w:r>
      <w:r>
        <w:t>.</w:t>
      </w:r>
      <w:r w:rsidR="003A1AED">
        <w:t>5</w:t>
      </w:r>
      <w:r>
        <w:t xml:space="preserve"> - Ajout ou suppression de produits </w:t>
      </w:r>
    </w:p>
    <w:p w14:paraId="492A8D26" w14:textId="77777777" w:rsidR="00BF09D2" w:rsidRDefault="00BF09D2" w:rsidP="00DB3F16"/>
    <w:p w14:paraId="41B237DB" w14:textId="754109BB" w:rsidR="00BF09D2" w:rsidRDefault="003B147D" w:rsidP="003B147D">
      <w:r>
        <w:t>L'occupant peut proposer l'ajout ou la suppression de produits dans les distributeurs automatiques en fonction des besoins et des demandes des usagers. Toute modification de la gamme de produits doit être soumise à l'approbation préalable de l'UTBM. L'occupant doit fournir une liste détaillée des nouveaux produits proposés, incluant leurs caractéristiques et leurs prix. L'UTBM se réserve le droit de refuser l'ajout de produits qui ne répondraient pas aux critères de qualité ou aux attentes des usagers. En cas de suppression de produits, l'occupant doit s'assurer que les produits restants couvrent une gamme variée et répondent aux besoins nutritionnels des usagers.</w:t>
      </w:r>
    </w:p>
    <w:p w14:paraId="78A07B3C" w14:textId="77777777" w:rsidR="003B147D" w:rsidRDefault="003B147D" w:rsidP="003B147D"/>
    <w:p w14:paraId="27C80AE5" w14:textId="444CC8F6" w:rsidR="00DB3F16" w:rsidRDefault="00DB3F16" w:rsidP="003830FC">
      <w:pPr>
        <w:pStyle w:val="Titre4"/>
      </w:pPr>
      <w:r>
        <w:t>5.</w:t>
      </w:r>
      <w:r w:rsidR="003F2B5E">
        <w:t>4</w:t>
      </w:r>
      <w:r>
        <w:t>.</w:t>
      </w:r>
      <w:r w:rsidR="003A1AED">
        <w:t>6</w:t>
      </w:r>
      <w:r>
        <w:t xml:space="preserve"> - Continuité qualitative </w:t>
      </w:r>
    </w:p>
    <w:p w14:paraId="6FFCD273" w14:textId="77777777" w:rsidR="00BF09D2" w:rsidRDefault="00BF09D2" w:rsidP="00DB3F16"/>
    <w:p w14:paraId="3402055D" w14:textId="480502D0" w:rsidR="00BF09D2" w:rsidRDefault="003B147D" w:rsidP="00DB3F16">
      <w:r w:rsidRPr="003B147D">
        <w:t>L'occupant s'engage à maintenir une qualité constante des produits proposés dans les distributeurs automatiques. Les produits doivent être conformes aux normes sanitaires et de sécurité en vigueur. L'occupant doit veiller à ce que les produits soient toujours frais et en bon état de consommation. Toute dégradation de la qualité des produits doit être immédiatement signalée à l'UTBM et les produits concernés doivent être retirés des distributeurs. L'occupant doit également s'assurer que les distributeurs sont régulièrement approvisionnés pour éviter toute rupture de stock.</w:t>
      </w:r>
    </w:p>
    <w:p w14:paraId="48FEF678" w14:textId="77777777" w:rsidR="006B4117" w:rsidRDefault="006B4117" w:rsidP="00DB3F16"/>
    <w:p w14:paraId="2C45A279" w14:textId="77777777" w:rsidR="003B147D" w:rsidRDefault="003B147D" w:rsidP="00DB3F16"/>
    <w:p w14:paraId="013B45BC" w14:textId="0AA62455" w:rsidR="008944C8" w:rsidRDefault="00DB3F16" w:rsidP="003830FC">
      <w:pPr>
        <w:pStyle w:val="Titre3"/>
      </w:pPr>
      <w:bookmarkStart w:id="32" w:name="_Toc192771856"/>
      <w:r>
        <w:t>5.</w:t>
      </w:r>
      <w:r w:rsidR="003F2B5E">
        <w:t>5</w:t>
      </w:r>
      <w:r>
        <w:t xml:space="preserve"> - </w:t>
      </w:r>
      <w:r w:rsidR="008944C8">
        <w:t>Conservation des produits</w:t>
      </w:r>
      <w:bookmarkEnd w:id="32"/>
    </w:p>
    <w:p w14:paraId="7A2832E0" w14:textId="77777777" w:rsidR="00BF09D2" w:rsidRDefault="00BF09D2" w:rsidP="00905278"/>
    <w:p w14:paraId="7E8AE6B7" w14:textId="333C2C3B" w:rsidR="003B147D" w:rsidRDefault="003B147D" w:rsidP="00905278">
      <w:r w:rsidRPr="003B147D">
        <w:t>L'occupant doit veiller à ce que les produits alimentaires soient conservés dans des conditions optimales pour garantir leur fraîcheur et leur sécurité sanitaire. Les distributeurs automatiques doivent être équipés de systèmes de réfrigération et de contrôle de la température adaptés aux produits proposés. L'occupant doit effectuer des contrôles réguliers pour s'assurer que les températures de conservation sont respectées. En cas de dysfonctionnement des systèmes de réfrigération, l'occupant doit intervenir rapidement pour réparer ou remplacer les équipements défectueux.</w:t>
      </w:r>
    </w:p>
    <w:p w14:paraId="462A2FD3" w14:textId="77777777" w:rsidR="00BF09D2" w:rsidRDefault="00BF09D2" w:rsidP="00905278"/>
    <w:p w14:paraId="3CE4A308" w14:textId="1DA91A05" w:rsidR="008944C8" w:rsidRDefault="00DB3F16" w:rsidP="003830FC">
      <w:pPr>
        <w:pStyle w:val="Titre4"/>
      </w:pPr>
      <w:r>
        <w:t>5.</w:t>
      </w:r>
      <w:r w:rsidR="003F2B5E">
        <w:t>5</w:t>
      </w:r>
      <w:r>
        <w:t xml:space="preserve">.1 - </w:t>
      </w:r>
      <w:r w:rsidR="008944C8">
        <w:t>Contrôle bactériologique</w:t>
      </w:r>
    </w:p>
    <w:p w14:paraId="60AFB508" w14:textId="77777777" w:rsidR="00BF09D2" w:rsidRDefault="00BF09D2" w:rsidP="00905278"/>
    <w:p w14:paraId="64171BC9" w14:textId="569D5761" w:rsidR="003B147D" w:rsidRDefault="003B147D" w:rsidP="00905278">
      <w:r w:rsidRPr="003B147D">
        <w:t>L'occupant est tenu de réaliser des contrôles bactériologiques réguliers sur les produits alimentaires proposés dans les distributeurs automatiques. Ces contrôles doivent être effectués par un laboratoire agréé et les résultats doivent être communiqués à l'UTBM. En cas de non-conformité des produits, l'occupant doit prendre les mesures nécessaires pour remédier à la situation, y compris le retrait immédiat des produits concernés. L'occupant doit également mettre en place un plan de contrôle sanitaire pour prévenir tout risque de contamination.</w:t>
      </w:r>
    </w:p>
    <w:p w14:paraId="336B2102" w14:textId="77777777" w:rsidR="00BF09D2" w:rsidRDefault="00BF09D2" w:rsidP="00905278"/>
    <w:p w14:paraId="49F7FBD8" w14:textId="75E05188" w:rsidR="005C69BB" w:rsidRDefault="00DB3F16" w:rsidP="003830FC">
      <w:pPr>
        <w:pStyle w:val="Titre3"/>
      </w:pPr>
      <w:bookmarkStart w:id="33" w:name="_Toc192771857"/>
      <w:r>
        <w:t>5.</w:t>
      </w:r>
      <w:r w:rsidR="003F2B5E">
        <w:t>6</w:t>
      </w:r>
      <w:r>
        <w:t xml:space="preserve"> - </w:t>
      </w:r>
      <w:r w:rsidR="005C69BB" w:rsidRPr="005C69BB">
        <w:t>Actions liées au développement durable</w:t>
      </w:r>
      <w:bookmarkEnd w:id="33"/>
    </w:p>
    <w:p w14:paraId="74F96685" w14:textId="77777777" w:rsidR="00BF09D2" w:rsidRDefault="00BF09D2" w:rsidP="005C69BB"/>
    <w:p w14:paraId="231BF522" w14:textId="424172DB" w:rsidR="003B147D" w:rsidRDefault="003B147D" w:rsidP="005C69BB">
      <w:r w:rsidRPr="003B147D">
        <w:t>L'occupant s'engage à mettre en œuvre des actions visant à promouvoir le développement durable dans le cadre de l'exploitation des distributeurs automatiques. Ces actions peuvent inclure la réduction des déchets, l'utilisation de produits issus de l'agriculture biologique ou du commerce équitable, et la mise en place de systèmes de consigne pour les emballages. L'occupant doit également sensibiliser les usagers aux enjeux environnementaux et les encourager à adopter des comportements écoresponsables.</w:t>
      </w:r>
    </w:p>
    <w:p w14:paraId="6CBAFE5A" w14:textId="77777777" w:rsidR="00BF09D2" w:rsidRDefault="00BF09D2" w:rsidP="005C69BB"/>
    <w:p w14:paraId="557B1F1C" w14:textId="77777777" w:rsidR="007532E1" w:rsidRDefault="007532E1" w:rsidP="005C69BB"/>
    <w:p w14:paraId="1B2DA7EE" w14:textId="77777777" w:rsidR="007532E1" w:rsidRDefault="007532E1" w:rsidP="005C69BB"/>
    <w:p w14:paraId="0BAD2D1B" w14:textId="77777777" w:rsidR="00527873" w:rsidRDefault="00527873" w:rsidP="005C69BB"/>
    <w:p w14:paraId="029372E6" w14:textId="77777777" w:rsidR="00527873" w:rsidRPr="005C69BB" w:rsidRDefault="00527873" w:rsidP="005C69BB"/>
    <w:p w14:paraId="498576D2" w14:textId="019FD38B" w:rsidR="005C69BB" w:rsidRDefault="00DB3F16" w:rsidP="003830FC">
      <w:pPr>
        <w:pStyle w:val="Titre4"/>
      </w:pPr>
      <w:r>
        <w:lastRenderedPageBreak/>
        <w:t>5.</w:t>
      </w:r>
      <w:r w:rsidR="003F2B5E">
        <w:t>6</w:t>
      </w:r>
      <w:r>
        <w:t xml:space="preserve">.1 - </w:t>
      </w:r>
      <w:r w:rsidR="005C69BB" w:rsidRPr="005C69BB">
        <w:t>Réduction des déchets</w:t>
      </w:r>
      <w:r w:rsidR="003A40EF">
        <w:t xml:space="preserve"> (système de consigne)</w:t>
      </w:r>
    </w:p>
    <w:p w14:paraId="4F4EB195" w14:textId="77777777" w:rsidR="00BF09D2" w:rsidRDefault="00BF09D2" w:rsidP="005C69BB"/>
    <w:p w14:paraId="34FBEA01" w14:textId="77777777" w:rsidR="00731CD6" w:rsidRDefault="00731CD6" w:rsidP="00731CD6"/>
    <w:p w14:paraId="3F4D0A72" w14:textId="40D510A5" w:rsidR="00731CD6" w:rsidRPr="007532E1" w:rsidRDefault="00731CD6" w:rsidP="00731CD6">
      <w:r w:rsidRPr="007532E1">
        <w:t xml:space="preserve">Conformément aux exigences de l’UTBM en matière de développement durable, il est souhaité la mise en place d’un système de consignes pour la distribution de gobelets réutilisables. L’occupant présentera les solutions les plus écologiques dont il dispose dans son offre. </w:t>
      </w:r>
    </w:p>
    <w:p w14:paraId="5ECF76F3" w14:textId="77777777" w:rsidR="00731CD6" w:rsidRPr="007532E1" w:rsidRDefault="00731CD6" w:rsidP="00731CD6"/>
    <w:p w14:paraId="7825766F" w14:textId="795AE471" w:rsidR="00731CD6" w:rsidRDefault="003B147D" w:rsidP="005C69BB">
      <w:r w:rsidRPr="007532E1">
        <w:t xml:space="preserve">Ce système doit permettre aux usagers de retourner les </w:t>
      </w:r>
      <w:r w:rsidR="00731CD6" w:rsidRPr="007532E1">
        <w:t>gobelets</w:t>
      </w:r>
      <w:r w:rsidRPr="007532E1">
        <w:t xml:space="preserve"> vides en échange d'une consigne. Les </w:t>
      </w:r>
      <w:r w:rsidR="00731CD6" w:rsidRPr="007532E1">
        <w:t>gobelets</w:t>
      </w:r>
      <w:r w:rsidRPr="007532E1">
        <w:t xml:space="preserve"> consignés doivent être collectés régulièrement par l'occupant et acheminés vers des filières de </w:t>
      </w:r>
      <w:r w:rsidR="00731CD6" w:rsidRPr="007532E1">
        <w:t>nettoyage et/ou reconditionnement</w:t>
      </w:r>
      <w:r w:rsidRPr="007532E1">
        <w:t xml:space="preserve"> appropriées.</w:t>
      </w:r>
      <w:r w:rsidRPr="003B147D">
        <w:t xml:space="preserve"> </w:t>
      </w:r>
    </w:p>
    <w:p w14:paraId="72277E06" w14:textId="77777777" w:rsidR="00731CD6" w:rsidRDefault="00731CD6" w:rsidP="005C69BB"/>
    <w:p w14:paraId="48FFB712" w14:textId="46A9B8DB" w:rsidR="003B147D" w:rsidRDefault="003B147D" w:rsidP="005C69BB">
      <w:r w:rsidRPr="003B147D">
        <w:t>L'occupant doit également veiller à ce que les emballages des produits soient recyclables et à limiter l'utilisation de plastiques à usage unique.</w:t>
      </w:r>
    </w:p>
    <w:p w14:paraId="0F627F57" w14:textId="77777777" w:rsidR="00731CD6" w:rsidRDefault="00731CD6" w:rsidP="00731CD6"/>
    <w:p w14:paraId="513A4952" w14:textId="77777777" w:rsidR="00BF09D2" w:rsidRDefault="00BF09D2" w:rsidP="005C69BB"/>
    <w:p w14:paraId="18F2A20E" w14:textId="25069D1A" w:rsidR="00625207" w:rsidRDefault="00DB3F16" w:rsidP="003830FC">
      <w:pPr>
        <w:pStyle w:val="Titre4"/>
      </w:pPr>
      <w:r>
        <w:t>5.</w:t>
      </w:r>
      <w:r w:rsidR="003F2B5E">
        <w:t>6</w:t>
      </w:r>
      <w:r>
        <w:t xml:space="preserve">.2 - </w:t>
      </w:r>
      <w:r w:rsidR="00625207">
        <w:t>Evacuation des déchets</w:t>
      </w:r>
    </w:p>
    <w:p w14:paraId="72C529CE" w14:textId="77777777" w:rsidR="00BF09D2" w:rsidRDefault="00BF09D2" w:rsidP="005C69BB"/>
    <w:p w14:paraId="40166636" w14:textId="73835C80" w:rsidR="00BF09D2" w:rsidRPr="005C69BB" w:rsidRDefault="003B147D" w:rsidP="005C69BB">
      <w:r w:rsidRPr="003B147D">
        <w:t xml:space="preserve">L'occupant est responsable de la gestion et de l'évacuation des déchets générés par l'exploitation des distributeurs automatiques, y compris le marc de café. Il doit mettre en place des collecteurs de déchets différenciés pour permettre le </w:t>
      </w:r>
      <w:proofErr w:type="gramStart"/>
      <w:r w:rsidRPr="003B147D">
        <w:t>tri sélectif</w:t>
      </w:r>
      <w:proofErr w:type="gramEnd"/>
      <w:r w:rsidRPr="003B147D">
        <w:t xml:space="preserve"> des emballages, des gobelets et des autres déchets. Les collecteurs doivent être vidés régulièrement et les déchets doivent être acheminés vers des centres de traitement et de recyclage agréés. L'occupant doit également sensibiliser les usagers à l'importance du tri des déchets et les encourager à utiliser les collecteurs de manière appropriée.</w:t>
      </w:r>
    </w:p>
    <w:p w14:paraId="59A81D1A" w14:textId="77777777" w:rsidR="005C69BB" w:rsidRDefault="005C69BB" w:rsidP="00905278"/>
    <w:p w14:paraId="3F11350E" w14:textId="1E628F86" w:rsidR="00625207" w:rsidRDefault="00E20EBB" w:rsidP="003830FC">
      <w:pPr>
        <w:pStyle w:val="Titre2"/>
      </w:pPr>
      <w:bookmarkStart w:id="34" w:name="_Toc192771858"/>
      <w:r>
        <w:t xml:space="preserve">Article </w:t>
      </w:r>
      <w:r w:rsidR="008D37A3">
        <w:t xml:space="preserve">6 - </w:t>
      </w:r>
      <w:r w:rsidR="00625207">
        <w:t>Suivi d’exécution</w:t>
      </w:r>
      <w:bookmarkEnd w:id="34"/>
    </w:p>
    <w:p w14:paraId="00E5AE61" w14:textId="77777777" w:rsidR="00BF09D2" w:rsidRDefault="00BF09D2" w:rsidP="00625207"/>
    <w:p w14:paraId="1855F5EC" w14:textId="12EF909D" w:rsidR="00BF09D2" w:rsidRDefault="003B147D" w:rsidP="00625207">
      <w:r w:rsidRPr="003B147D">
        <w:t>Un suivi rigoureux de l'exécution de la convention sera assuré par l'UTBM. Des réunions de suivi seront organisées régulièrement entre l'UTBM et l'occupant pour évaluer la qualité des prestations et discuter des éventuelles améliorations à apporter. L'occupant devra fournir des rapports périodiques détaillant les activités réalisées, les incidents survenus, les actions correctives mises en place et les résultats des contrôles sanitaires. L'UTBM se réserve le droit de réaliser des audits inopinés pour vérifier la conformité des prestations aux exigences de la</w:t>
      </w:r>
      <w:r>
        <w:t xml:space="preserve"> convention. </w:t>
      </w:r>
    </w:p>
    <w:p w14:paraId="4D14478B" w14:textId="77777777" w:rsidR="003B147D" w:rsidRDefault="003B147D" w:rsidP="00625207"/>
    <w:p w14:paraId="0E4E4E8E" w14:textId="049ED702" w:rsidR="00625207" w:rsidRDefault="00EC20EC" w:rsidP="003830FC">
      <w:pPr>
        <w:pStyle w:val="Titre3"/>
      </w:pPr>
      <w:bookmarkStart w:id="35" w:name="_Toc192771859"/>
      <w:r>
        <w:t xml:space="preserve">6.1 </w:t>
      </w:r>
      <w:r w:rsidR="00BF09D2">
        <w:t>–</w:t>
      </w:r>
      <w:r>
        <w:t xml:space="preserve"> </w:t>
      </w:r>
      <w:r w:rsidR="00625207">
        <w:t>Interlocuteurs</w:t>
      </w:r>
      <w:bookmarkEnd w:id="35"/>
    </w:p>
    <w:p w14:paraId="7B3FABEC" w14:textId="77777777" w:rsidR="00BF09D2" w:rsidRDefault="00BF09D2" w:rsidP="00625207"/>
    <w:p w14:paraId="3AF784F9" w14:textId="2DC68D9D" w:rsidR="003B147D" w:rsidRDefault="003B147D" w:rsidP="00625207">
      <w:r w:rsidRPr="003B147D">
        <w:t xml:space="preserve">L'UTBM désignera un ou plusieurs interlocuteurs chargés de la gestion et du suivi de la convention. Ces interlocuteurs seront les points de contact privilégiés de l'occupant pour toutes les questions relatives à l'exécution des prestations. L'occupant devra également désigner un responsable opérationnel qui sera l'interlocuteur principal de l'UTBM. Les coordonnées des interlocuteurs désignés par les deux parties devront être communiquées dès la signature de la convention et mises à jour en cas de </w:t>
      </w:r>
      <w:r w:rsidRPr="00A61AE0">
        <w:t xml:space="preserve">changement. </w:t>
      </w:r>
    </w:p>
    <w:p w14:paraId="2A9B92F0" w14:textId="77777777" w:rsidR="00BF09D2" w:rsidRDefault="00BF09D2" w:rsidP="00625207"/>
    <w:p w14:paraId="007A5595" w14:textId="63309690" w:rsidR="008944C8" w:rsidRDefault="00EC20EC" w:rsidP="003830FC">
      <w:pPr>
        <w:pStyle w:val="Titre3"/>
      </w:pPr>
      <w:bookmarkStart w:id="36" w:name="_Toc192771860"/>
      <w:r>
        <w:t xml:space="preserve">6.2 - </w:t>
      </w:r>
      <w:r w:rsidR="008944C8">
        <w:t>Mise à disposition d’un service client</w:t>
      </w:r>
      <w:bookmarkEnd w:id="36"/>
      <w:r w:rsidR="008944C8">
        <w:t xml:space="preserve"> </w:t>
      </w:r>
    </w:p>
    <w:p w14:paraId="72A3880E" w14:textId="77777777" w:rsidR="00BF09D2" w:rsidRDefault="00BF09D2" w:rsidP="00625207"/>
    <w:p w14:paraId="0A86B2D0" w14:textId="7A6E875B" w:rsidR="003B147D" w:rsidRDefault="003B147D" w:rsidP="00625207">
      <w:r w:rsidRPr="003B147D">
        <w:t>L'occupant doit mettre en place un service client dédié pour répondre aux questions et aux réclamations des usagers des distributeurs automatiques. Ce service doit être accessible par téléphone, par courriel et via un formulaire en ligne. L'occupant s'engage à traiter les réclamations dans un délai maximum de 48 heures et à apporter une solution satisfaisante aux usagers. Les coordonnées du service client doivent être affichées de manière visible sur chaque distributeur automatique. L'occupant doit également tenir un registre des réclamations et des actions correctives mises en place, qui pourra être consulté par l'UTBM sur demande.</w:t>
      </w:r>
    </w:p>
    <w:p w14:paraId="61757093" w14:textId="77777777" w:rsidR="00731CD6" w:rsidRDefault="00731CD6" w:rsidP="00625207"/>
    <w:p w14:paraId="3E3F0A0C" w14:textId="1EF909E5" w:rsidR="00625207" w:rsidRDefault="00EC20EC" w:rsidP="003830FC">
      <w:pPr>
        <w:pStyle w:val="Titre3"/>
      </w:pPr>
      <w:bookmarkStart w:id="37" w:name="_Toc192771861"/>
      <w:r>
        <w:t xml:space="preserve">6.3 - </w:t>
      </w:r>
      <w:r w:rsidR="00625207">
        <w:t>Contrôles et suivi</w:t>
      </w:r>
      <w:bookmarkEnd w:id="37"/>
    </w:p>
    <w:p w14:paraId="556DC7D6" w14:textId="77777777" w:rsidR="00BF09D2" w:rsidRDefault="00BF09D2" w:rsidP="00625207"/>
    <w:p w14:paraId="2E256503" w14:textId="6DB66190" w:rsidR="003B147D" w:rsidRDefault="003B147D" w:rsidP="00625207">
      <w:r w:rsidRPr="003B147D">
        <w:t xml:space="preserve">L'occupant s'engage à se soumettre à des contrôles réguliers effectués par l'UTBM ou par tout organisme mandaté par celle-ci. Ces contrôles porteront sur la conformité des distributeurs automatiques aux normes de sécurité, d'hygiène et de qualité des produits proposés. </w:t>
      </w:r>
      <w:r w:rsidR="00731CD6" w:rsidRPr="003B147D">
        <w:t>L’occupant</w:t>
      </w:r>
      <w:r w:rsidRPr="003B147D">
        <w:t xml:space="preserve"> devra permettre l'accès aux distributeurs et fournir toute documentation nécessaire à la vérification de la conformité des installations et des produits. En cas de non-conformité, l'occupant devra prendre les mesures correctives nécessaires dans un délai de 15 jours suivant la notification de l'UTBM.</w:t>
      </w:r>
    </w:p>
    <w:p w14:paraId="3D5EA4B5" w14:textId="77777777" w:rsidR="00BF09D2" w:rsidRDefault="00BF09D2" w:rsidP="00625207"/>
    <w:p w14:paraId="2606EEA2" w14:textId="24AC21A3" w:rsidR="008944C8" w:rsidRDefault="00EC20EC" w:rsidP="003830FC">
      <w:pPr>
        <w:pStyle w:val="Titre3"/>
      </w:pPr>
      <w:bookmarkStart w:id="38" w:name="_Toc192771862"/>
      <w:r>
        <w:lastRenderedPageBreak/>
        <w:t xml:space="preserve">6.4 - </w:t>
      </w:r>
      <w:proofErr w:type="spellStart"/>
      <w:r w:rsidR="00625207">
        <w:t>Reporting</w:t>
      </w:r>
      <w:bookmarkEnd w:id="38"/>
      <w:proofErr w:type="spellEnd"/>
      <w:r w:rsidR="00625207">
        <w:t xml:space="preserve"> </w:t>
      </w:r>
    </w:p>
    <w:p w14:paraId="508662F6" w14:textId="77777777" w:rsidR="00BF09D2" w:rsidRDefault="00BF09D2" w:rsidP="00625207"/>
    <w:p w14:paraId="6ADEC602" w14:textId="7AA0FE1E" w:rsidR="003B147D" w:rsidRDefault="003B147D" w:rsidP="00625207">
      <w:r w:rsidRPr="003B147D">
        <w:t>L'occupant est tenu de fournir régulièrement des rapports détaillés sur l'exploitation des distributeurs automatiques. Ces rapports doivent inclure des informations sur le chiffre d'affaires, les volumes de ventes, les incidents techniques, les interventions de maintenance, ainsi que toute autre information pertinente demandée par l'UTBM. Les rapports doivent être transmis selon les modalités et la fréquence définies par l'UTBM.</w:t>
      </w:r>
    </w:p>
    <w:p w14:paraId="6C28248B" w14:textId="77777777" w:rsidR="00BF09D2" w:rsidRDefault="00BF09D2" w:rsidP="00625207"/>
    <w:p w14:paraId="4627F9C7" w14:textId="4C1C9921" w:rsidR="008944C8" w:rsidRDefault="00EC20EC" w:rsidP="003830FC">
      <w:pPr>
        <w:pStyle w:val="Titre4"/>
      </w:pPr>
      <w:r>
        <w:t xml:space="preserve">6.4.1 - </w:t>
      </w:r>
      <w:r w:rsidR="008944C8">
        <w:t>Transmission du chiffre d’affaires</w:t>
      </w:r>
    </w:p>
    <w:p w14:paraId="6355CB8D" w14:textId="77777777" w:rsidR="00BF09D2" w:rsidRDefault="00BF09D2" w:rsidP="00625207"/>
    <w:p w14:paraId="502078BA" w14:textId="0A5B7E80" w:rsidR="00BF09D2" w:rsidRDefault="003B147D" w:rsidP="00625207">
      <w:r w:rsidRPr="003B147D">
        <w:t>L'occupant doit transmettre à l'UTBM un rapport mensuel détaillant le chiffre d'affaires réalisé par chaque distributeur automatique. Ce rapport doit inclure les recettes totales, les volumes de ventes par catégorie de produits, ainsi que toute autre information financière pertinente. Le rapport doit être transmis au plus tard le 10 du mois suivant la période de référence.</w:t>
      </w:r>
    </w:p>
    <w:p w14:paraId="624AE502" w14:textId="77777777" w:rsidR="003B147D" w:rsidRDefault="003B147D" w:rsidP="00625207"/>
    <w:p w14:paraId="0642979A" w14:textId="61369556" w:rsidR="008944C8" w:rsidRDefault="00EC20EC" w:rsidP="003830FC">
      <w:pPr>
        <w:pStyle w:val="Titre4"/>
      </w:pPr>
      <w:r>
        <w:t xml:space="preserve">6.4.2 - </w:t>
      </w:r>
      <w:r w:rsidR="008944C8">
        <w:t>Transmission du rapport annuel d’activité certifié</w:t>
      </w:r>
    </w:p>
    <w:p w14:paraId="71485A39" w14:textId="77777777" w:rsidR="00BF09D2" w:rsidRDefault="00BF09D2" w:rsidP="00625207"/>
    <w:p w14:paraId="73AE150E" w14:textId="5D109686" w:rsidR="003B147D" w:rsidRDefault="003B147D" w:rsidP="00625207">
      <w:r w:rsidRPr="003B147D">
        <w:t>L'occupant doit fournir à l'UTBM un rapport annuel d'activité certifié par un commissaire aux comptes. Ce rapport doit inclure un bilan détaillé de l'exploitation des distributeurs automatiques, des informations financières, des statistiques de vente, des incidents techniques et des interventions de maintenance. Le rapport annuel doit être transmis au plus tard le 31 mars de l'année suivant l'exercice concerné.</w:t>
      </w:r>
    </w:p>
    <w:p w14:paraId="2646CDD3" w14:textId="77777777" w:rsidR="00BF09D2" w:rsidRDefault="00BF09D2" w:rsidP="00625207"/>
    <w:p w14:paraId="6AF69545" w14:textId="66D49301" w:rsidR="008944C8" w:rsidRDefault="00EC20EC" w:rsidP="003830FC">
      <w:pPr>
        <w:pStyle w:val="Titre4"/>
      </w:pPr>
      <w:r>
        <w:t xml:space="preserve">6.4.3 - </w:t>
      </w:r>
      <w:r w:rsidR="008944C8">
        <w:t>Transmission du rapport de fin d’AOT</w:t>
      </w:r>
    </w:p>
    <w:p w14:paraId="58359565" w14:textId="77777777" w:rsidR="00BF09D2" w:rsidRDefault="00BF09D2" w:rsidP="00625207"/>
    <w:p w14:paraId="5F87098D" w14:textId="0DA0ED48" w:rsidR="003B147D" w:rsidRDefault="003B147D" w:rsidP="00625207">
      <w:r w:rsidRPr="003B147D">
        <w:t xml:space="preserve">À la fin de la convention d'occupation temporaire (AOT), l'occupant doit fournir un rapport de fin d'AOT à l'UTBM. Ce rapport doit inclure un bilan complet de l'exploitation des distributeurs automatiques pendant la durée de la convention, des informations financières, des statistiques de vente, des incidents techniques et des interventions de maintenance. Le rapport de fin d'AOT doit être transmis dans un délai de 30 jours suivant la fin de la convention. </w:t>
      </w:r>
    </w:p>
    <w:p w14:paraId="1A05A237" w14:textId="77777777" w:rsidR="00BF09D2" w:rsidRDefault="00BF09D2" w:rsidP="00625207"/>
    <w:p w14:paraId="669169FC" w14:textId="6F0AEFD6" w:rsidR="00625207" w:rsidRDefault="00EC20EC" w:rsidP="003830FC">
      <w:pPr>
        <w:pStyle w:val="Titre3"/>
      </w:pPr>
      <w:bookmarkStart w:id="39" w:name="_Toc192771863"/>
      <w:r>
        <w:t xml:space="preserve">6.5 - </w:t>
      </w:r>
      <w:r w:rsidR="00625207">
        <w:t>Services liés aux potentiels problématiques</w:t>
      </w:r>
      <w:bookmarkEnd w:id="39"/>
    </w:p>
    <w:p w14:paraId="1564425D" w14:textId="77777777" w:rsidR="005C69BB" w:rsidRDefault="005C69BB" w:rsidP="00905278"/>
    <w:p w14:paraId="5742204E" w14:textId="63FAC4B2" w:rsidR="003B147D" w:rsidRDefault="003B147D" w:rsidP="00905278">
      <w:r w:rsidRPr="003B147D">
        <w:t>L'occupant s'engage à mettre en place un service de gestion des réclamations et des incidents techniques. Ce service doit être accessible par téléphone et par courriel, et doit permettre aux utilisateurs de signaler tout problème lié aux distributeurs automatiques. L'occupant doit intervenir dans un délai maximum de 24 heures pour résoudre les problèmes signalés. En cas de problème récurrent ou non résolu dans les délais impartis, l'UTBM se réserve le droit d'appliquer des pénalités financières.</w:t>
      </w:r>
    </w:p>
    <w:p w14:paraId="75D82B7A" w14:textId="77777777" w:rsidR="005C69BB" w:rsidRDefault="005C69BB" w:rsidP="00905278"/>
    <w:p w14:paraId="1F4F7B1F" w14:textId="613976D4" w:rsidR="005C69BB" w:rsidRDefault="00E20EBB" w:rsidP="003830FC">
      <w:pPr>
        <w:pStyle w:val="Titre2"/>
      </w:pPr>
      <w:bookmarkStart w:id="40" w:name="_Toc192771864"/>
      <w:r>
        <w:t xml:space="preserve">Article </w:t>
      </w:r>
      <w:r w:rsidR="008D37A3">
        <w:t xml:space="preserve">7 - </w:t>
      </w:r>
      <w:r w:rsidR="005C69BB">
        <w:t>Conditions financières</w:t>
      </w:r>
      <w:bookmarkEnd w:id="40"/>
      <w:r w:rsidR="005C69BB">
        <w:t xml:space="preserve"> </w:t>
      </w:r>
    </w:p>
    <w:p w14:paraId="056BB7D0" w14:textId="77777777" w:rsidR="00BF09D2" w:rsidRDefault="00BF09D2" w:rsidP="00905278"/>
    <w:p w14:paraId="24686C24" w14:textId="550956A7" w:rsidR="00337745" w:rsidRDefault="00337745" w:rsidP="00905278">
      <w:pPr>
        <w:rPr>
          <w:rFonts w:asciiTheme="minorHAnsi" w:hAnsiTheme="minorHAnsi" w:cstheme="minorHAnsi"/>
        </w:rPr>
      </w:pPr>
      <w:r w:rsidRPr="007B242A">
        <w:rPr>
          <w:rFonts w:asciiTheme="minorHAnsi" w:hAnsiTheme="minorHAnsi" w:cstheme="minorHAnsi"/>
        </w:rPr>
        <w:t>En application de l’article L2125-1 du Code Général de la Propriété des Personnes Publiques, la présente convention est soumise au versement d’une redevance. Cette redevance est composée d’une redevance fixe et d’une part additionnelle selon le chiffre d’affaires.</w:t>
      </w:r>
    </w:p>
    <w:p w14:paraId="248A9BF2" w14:textId="77777777" w:rsidR="00337745" w:rsidRDefault="00337745" w:rsidP="00905278"/>
    <w:p w14:paraId="1052C9E3" w14:textId="66FCA523" w:rsidR="005C69BB" w:rsidRDefault="00383CB8" w:rsidP="003830FC">
      <w:pPr>
        <w:pStyle w:val="Titre3"/>
      </w:pPr>
      <w:bookmarkStart w:id="41" w:name="_Toc192771865"/>
      <w:r>
        <w:t xml:space="preserve">7.1 - </w:t>
      </w:r>
      <w:r w:rsidR="005C69BB">
        <w:t xml:space="preserve">Redevance </w:t>
      </w:r>
      <w:r w:rsidR="00625207">
        <w:t xml:space="preserve">fixe </w:t>
      </w:r>
      <w:r w:rsidR="005C69BB">
        <w:t>d’occupation</w:t>
      </w:r>
      <w:bookmarkEnd w:id="41"/>
      <w:r w:rsidR="005C69BB">
        <w:t xml:space="preserve"> </w:t>
      </w:r>
    </w:p>
    <w:p w14:paraId="62D3AA2E" w14:textId="77777777" w:rsidR="00BF09D2" w:rsidRDefault="00BF09D2" w:rsidP="00905278"/>
    <w:p w14:paraId="16B23F2B" w14:textId="77777777" w:rsidR="00BF09D2" w:rsidRDefault="00BF09D2" w:rsidP="00905278"/>
    <w:p w14:paraId="50EF0DBB" w14:textId="77777777" w:rsidR="00337745" w:rsidRDefault="00337745" w:rsidP="003B147D">
      <w:r w:rsidRPr="007B242A">
        <w:rPr>
          <w:rFonts w:asciiTheme="minorHAnsi" w:hAnsiTheme="minorHAnsi" w:cstheme="minorHAnsi"/>
        </w:rPr>
        <w:t>En application de l’article L2125-4 du Code Général de la Propriété des Personnes Publiques</w:t>
      </w:r>
      <w:r>
        <w:t>, l</w:t>
      </w:r>
      <w:r w:rsidR="003B147D" w:rsidRPr="003B147D">
        <w:t xml:space="preserve">'occupant doit verser à l'UTBM une redevance fixe d'occupation pour l'utilisation des emplacements mis à sa disposition. </w:t>
      </w:r>
    </w:p>
    <w:p w14:paraId="465EEA7B" w14:textId="77777777" w:rsidR="00337745" w:rsidRDefault="00337745" w:rsidP="003B147D"/>
    <w:p w14:paraId="78195FA9" w14:textId="618D5B73" w:rsidR="00337745" w:rsidRPr="00337745" w:rsidRDefault="003B147D" w:rsidP="003B147D">
      <w:pPr>
        <w:rPr>
          <w:bCs/>
        </w:rPr>
      </w:pPr>
      <w:r w:rsidRPr="007532E1">
        <w:rPr>
          <w:b/>
          <w:bCs/>
        </w:rPr>
        <w:t xml:space="preserve">Le montant de cette redevance est fixé à </w:t>
      </w:r>
      <w:r w:rsidR="00337745" w:rsidRPr="007532E1">
        <w:rPr>
          <w:b/>
          <w:bCs/>
        </w:rPr>
        <w:t>250 euros</w:t>
      </w:r>
      <w:r w:rsidRPr="007532E1">
        <w:rPr>
          <w:b/>
          <w:bCs/>
        </w:rPr>
        <w:t xml:space="preserve"> </w:t>
      </w:r>
      <w:r w:rsidR="00337745" w:rsidRPr="007532E1">
        <w:rPr>
          <w:b/>
          <w:bCs/>
        </w:rPr>
        <w:t xml:space="preserve">HT </w:t>
      </w:r>
      <w:r w:rsidRPr="007532E1">
        <w:rPr>
          <w:b/>
          <w:bCs/>
        </w:rPr>
        <w:t>par an</w:t>
      </w:r>
      <w:r w:rsidR="00337745" w:rsidRPr="007532E1">
        <w:rPr>
          <w:b/>
          <w:bCs/>
        </w:rPr>
        <w:t xml:space="preserve"> et par machine installée</w:t>
      </w:r>
      <w:r w:rsidRPr="007532E1">
        <w:t xml:space="preserve">, payable </w:t>
      </w:r>
      <w:r w:rsidR="00337745" w:rsidRPr="007532E1">
        <w:t>d’avance et</w:t>
      </w:r>
      <w:r w:rsidR="00337745">
        <w:t xml:space="preserve"> annuellement</w:t>
      </w:r>
      <w:r w:rsidRPr="003B147D">
        <w:t xml:space="preserve">. </w:t>
      </w:r>
      <w:r w:rsidR="00337745" w:rsidRPr="00337745">
        <w:rPr>
          <w:rFonts w:asciiTheme="minorHAnsi" w:hAnsiTheme="minorHAnsi" w:cstheme="minorHAnsi"/>
          <w:bCs/>
        </w:rPr>
        <w:t>La redevance fixe sera ensuite versée à la date d’anniversaire de chaque anniversaire de la présente convention.</w:t>
      </w:r>
    </w:p>
    <w:p w14:paraId="346A3F15" w14:textId="77777777" w:rsidR="00337745" w:rsidRDefault="00337745" w:rsidP="003B147D"/>
    <w:p w14:paraId="160801BD" w14:textId="67D27F68" w:rsidR="00337745" w:rsidRDefault="00337745" w:rsidP="003B147D">
      <w:r w:rsidRPr="00337745">
        <w:t>Ce montant tien</w:t>
      </w:r>
      <w:r>
        <w:t>t</w:t>
      </w:r>
      <w:r w:rsidRPr="00337745">
        <w:t xml:space="preserve"> compte des avantages de toute</w:t>
      </w:r>
      <w:r>
        <w:t>s</w:t>
      </w:r>
      <w:r w:rsidRPr="00337745">
        <w:t xml:space="preserve"> natures procurés à l’occupant (consommation électricité, eau</w:t>
      </w:r>
      <w:r>
        <w:t>, etc.).</w:t>
      </w:r>
    </w:p>
    <w:p w14:paraId="006C76DC" w14:textId="77777777" w:rsidR="00337745" w:rsidRDefault="00337745" w:rsidP="003B147D"/>
    <w:p w14:paraId="6E9C562F" w14:textId="043F0341" w:rsidR="003B147D" w:rsidRPr="00622858" w:rsidRDefault="00337745" w:rsidP="003B147D">
      <w:r w:rsidRPr="003B147D">
        <w:t>La</w:t>
      </w:r>
      <w:r w:rsidR="003B147D" w:rsidRPr="003B147D">
        <w:t xml:space="preserve"> redevance fixe d'occupation est due</w:t>
      </w:r>
      <w:r w:rsidR="003B147D">
        <w:t xml:space="preserve"> </w:t>
      </w:r>
      <w:r w:rsidR="003B147D" w:rsidRPr="00622858">
        <w:t>indépendamment du chiffre d'affaires réalisé par les distributeurs automatiques.</w:t>
      </w:r>
    </w:p>
    <w:p w14:paraId="3E17FDC2" w14:textId="7EA34E38" w:rsidR="003B147D" w:rsidRDefault="003B147D" w:rsidP="00905278"/>
    <w:p w14:paraId="42BC8320" w14:textId="702360B9" w:rsidR="00815E9B" w:rsidRDefault="00815E9B" w:rsidP="00815E9B">
      <w:pPr>
        <w:pStyle w:val="Titre3"/>
      </w:pPr>
      <w:bookmarkStart w:id="42" w:name="_Toc192771866"/>
      <w:r>
        <w:t>7.2 - Révision de la redevance fixe</w:t>
      </w:r>
      <w:bookmarkEnd w:id="42"/>
    </w:p>
    <w:p w14:paraId="54FF4767" w14:textId="77777777" w:rsidR="00815E9B" w:rsidRDefault="00815E9B" w:rsidP="00815E9B"/>
    <w:p w14:paraId="5DB5B2E5" w14:textId="77777777" w:rsidR="00815E9B" w:rsidRDefault="00815E9B" w:rsidP="00815E9B">
      <w:r>
        <w:t>Cette redevance fixe est révisée annuellement selon les modalités suivantes :</w:t>
      </w:r>
    </w:p>
    <w:p w14:paraId="5D4CEEEE" w14:textId="77777777" w:rsidR="00815E9B" w:rsidRDefault="00815E9B" w:rsidP="00815E9B"/>
    <w:p w14:paraId="60632005" w14:textId="6B7719FE" w:rsidR="00815E9B" w:rsidRDefault="00815E9B" w:rsidP="00815E9B">
      <w:r>
        <w:t>Il sera procédé à ces révisions sans qu’il y ait lieu d’établir un avenant.</w:t>
      </w:r>
    </w:p>
    <w:p w14:paraId="7721CE4B" w14:textId="77777777" w:rsidR="00BB2CBD" w:rsidRDefault="00BB2CBD" w:rsidP="00815E9B"/>
    <w:p w14:paraId="3A2290FA" w14:textId="77777777" w:rsidR="00BB2CBD" w:rsidRDefault="00815E9B" w:rsidP="00815E9B">
      <w:r w:rsidRPr="003B147D">
        <w:t xml:space="preserve">La redevance d'occupation pourra être révisée annuellement à la date anniversaire de la convention. </w:t>
      </w:r>
    </w:p>
    <w:p w14:paraId="0C9DF222" w14:textId="77777777" w:rsidR="00BB2CBD" w:rsidRDefault="00BB2CBD" w:rsidP="00815E9B"/>
    <w:p w14:paraId="511C01EB" w14:textId="77777777" w:rsidR="00BB2CBD" w:rsidRDefault="00815E9B" w:rsidP="00815E9B">
      <w:r w:rsidRPr="003B147D">
        <w:t xml:space="preserve">La révision sera basée sur l'évolution de l'indice </w:t>
      </w:r>
      <w:r w:rsidR="00BB2CBD">
        <w:t xml:space="preserve">suivant : </w:t>
      </w:r>
    </w:p>
    <w:p w14:paraId="1BB9BB83" w14:textId="77777777" w:rsidR="00BB2CBD" w:rsidRDefault="00BB2CBD" w:rsidP="00815E9B"/>
    <w:p w14:paraId="7F3877DA" w14:textId="080B16D9" w:rsidR="00BB2CBD" w:rsidRDefault="00BB2CBD" w:rsidP="00BB2CBD">
      <w:r>
        <w:t xml:space="preserve">Indice des loyers commerciaux (ILC) - Base 100 au 1er trimestre 2008 - </w:t>
      </w:r>
      <w:r w:rsidRPr="00BB2CBD">
        <w:t>Identifiant 001532540</w:t>
      </w:r>
    </w:p>
    <w:p w14:paraId="2B1B542D" w14:textId="77777777" w:rsidR="00BB2CBD" w:rsidRDefault="00BB2CBD" w:rsidP="00BB2CBD"/>
    <w:p w14:paraId="1B86C43B" w14:textId="30D3D930" w:rsidR="00BB2CBD" w:rsidRDefault="00BB2CBD" w:rsidP="00BB2CBD">
      <w:pPr>
        <w:jc w:val="left"/>
      </w:pPr>
      <w:r>
        <w:t xml:space="preserve">Lien vers l’indice : </w:t>
      </w:r>
      <w:hyperlink r:id="rId9" w:history="1">
        <w:r w:rsidRPr="00BB2CBD">
          <w:rPr>
            <w:rStyle w:val="Lienhypertexte"/>
          </w:rPr>
          <w:t>https://www.insee.fr/fr/statistiques/serie/001532540</w:t>
        </w:r>
      </w:hyperlink>
    </w:p>
    <w:p w14:paraId="3B06E58E" w14:textId="77777777" w:rsidR="00BB2CBD" w:rsidRDefault="00BB2CBD" w:rsidP="00815E9B"/>
    <w:p w14:paraId="341BF734" w14:textId="77777777" w:rsidR="00BF09D2" w:rsidRDefault="00BF09D2" w:rsidP="00905278"/>
    <w:p w14:paraId="087FC9CC" w14:textId="4989366B" w:rsidR="00625207" w:rsidRDefault="00383CB8" w:rsidP="003830FC">
      <w:pPr>
        <w:pStyle w:val="Titre3"/>
      </w:pPr>
      <w:bookmarkStart w:id="43" w:name="_Toc192771867"/>
      <w:r>
        <w:t>7.</w:t>
      </w:r>
      <w:r w:rsidR="00815E9B">
        <w:t>3</w:t>
      </w:r>
      <w:r>
        <w:t xml:space="preserve"> - </w:t>
      </w:r>
      <w:r w:rsidR="00625207">
        <w:t>Redevance additionnelle selon chiffre d’affaires</w:t>
      </w:r>
      <w:bookmarkEnd w:id="43"/>
      <w:r w:rsidR="00625207">
        <w:t xml:space="preserve"> </w:t>
      </w:r>
    </w:p>
    <w:p w14:paraId="5895AE85" w14:textId="77777777" w:rsidR="00BF09D2" w:rsidRDefault="00BF09D2" w:rsidP="00905278"/>
    <w:p w14:paraId="48F38698" w14:textId="77777777" w:rsidR="003B2305" w:rsidRDefault="003B147D" w:rsidP="00905278">
      <w:r w:rsidRPr="003B147D">
        <w:t>En plus de la redevance fixe d'occupation, l'occupant doit verser à l'UTBM une redevance additionnelle</w:t>
      </w:r>
      <w:r w:rsidR="003B2305">
        <w:t xml:space="preserve">. </w:t>
      </w:r>
    </w:p>
    <w:p w14:paraId="4B90098D" w14:textId="77777777" w:rsidR="003B2305" w:rsidRDefault="003B2305" w:rsidP="00905278"/>
    <w:p w14:paraId="71077230" w14:textId="77777777" w:rsidR="003B2305" w:rsidRDefault="003B2305" w:rsidP="00905278">
      <w:r>
        <w:t xml:space="preserve">Cette redevance </w:t>
      </w:r>
      <w:r w:rsidRPr="007532E1">
        <w:rPr>
          <w:b/>
          <w:bCs/>
        </w:rPr>
        <w:t>est fixée à 20% du ch</w:t>
      </w:r>
      <w:r w:rsidR="003B147D" w:rsidRPr="007532E1">
        <w:rPr>
          <w:b/>
          <w:bCs/>
        </w:rPr>
        <w:t xml:space="preserve">iffre d'affaires </w:t>
      </w:r>
      <w:r w:rsidRPr="007532E1">
        <w:rPr>
          <w:b/>
          <w:bCs/>
        </w:rPr>
        <w:t>exprimé en euros HT</w:t>
      </w:r>
      <w:r>
        <w:t xml:space="preserve"> </w:t>
      </w:r>
      <w:r w:rsidR="003B147D" w:rsidRPr="003B147D">
        <w:t xml:space="preserve">réalisé par les distributeurs automatiques. </w:t>
      </w:r>
    </w:p>
    <w:p w14:paraId="3CA135E1" w14:textId="77777777" w:rsidR="003B2305" w:rsidRDefault="003B2305" w:rsidP="00905278"/>
    <w:p w14:paraId="37B4F307" w14:textId="419018F9" w:rsidR="00BF09D2" w:rsidRDefault="003B147D" w:rsidP="00905278">
      <w:r w:rsidRPr="007532E1">
        <w:t xml:space="preserve">Le montant de la redevance additionnelle doit être inclus dans le rapport mensuel de chiffre d'affaires et </w:t>
      </w:r>
      <w:r w:rsidR="003B2305" w:rsidRPr="007532E1">
        <w:t xml:space="preserve">versée au terme </w:t>
      </w:r>
      <w:r w:rsidR="005E025D" w:rsidRPr="007532E1">
        <w:t xml:space="preserve">échu </w:t>
      </w:r>
      <w:r w:rsidR="003B2305" w:rsidRPr="007532E1">
        <w:t>de chaque période semestrielle.</w:t>
      </w:r>
    </w:p>
    <w:p w14:paraId="25D02B30" w14:textId="77777777" w:rsidR="003B2305" w:rsidRDefault="003B2305" w:rsidP="00905278"/>
    <w:p w14:paraId="0FCFCEED" w14:textId="77777777" w:rsidR="003B2305" w:rsidRPr="007B242A" w:rsidRDefault="003B2305" w:rsidP="003B2305">
      <w:pPr>
        <w:rPr>
          <w:rFonts w:asciiTheme="minorHAnsi" w:hAnsiTheme="minorHAnsi" w:cstheme="minorHAnsi"/>
        </w:rPr>
      </w:pPr>
      <w:r w:rsidRPr="007B242A">
        <w:rPr>
          <w:rFonts w:asciiTheme="minorHAnsi" w:hAnsiTheme="minorHAnsi" w:cstheme="minorHAnsi"/>
        </w:rPr>
        <w:t xml:space="preserve">La redevance additionnelle selon chiffre d’affaires est exprimée en pourcentage et n’est donc pas révisable. </w:t>
      </w:r>
    </w:p>
    <w:p w14:paraId="5D2FDA1F" w14:textId="77777777" w:rsidR="003B2305" w:rsidRDefault="003B2305" w:rsidP="00905278"/>
    <w:p w14:paraId="1F72B500" w14:textId="77777777" w:rsidR="00BF09D2" w:rsidRDefault="00BF09D2" w:rsidP="00905278"/>
    <w:p w14:paraId="402004EE" w14:textId="59382F02" w:rsidR="005C69BB" w:rsidRDefault="00383CB8" w:rsidP="003830FC">
      <w:pPr>
        <w:pStyle w:val="Titre3"/>
      </w:pPr>
      <w:bookmarkStart w:id="44" w:name="_Toc192771868"/>
      <w:r>
        <w:t>7.</w:t>
      </w:r>
      <w:r w:rsidR="00815E9B">
        <w:t>4</w:t>
      </w:r>
      <w:r>
        <w:t xml:space="preserve"> - </w:t>
      </w:r>
      <w:r w:rsidR="005C69BB">
        <w:t>Modalités de paiement</w:t>
      </w:r>
      <w:bookmarkEnd w:id="44"/>
      <w:r w:rsidR="005C69BB">
        <w:t xml:space="preserve"> </w:t>
      </w:r>
    </w:p>
    <w:p w14:paraId="3F9CFFDC" w14:textId="77777777" w:rsidR="00BF09D2" w:rsidRDefault="00BF09D2" w:rsidP="00905278"/>
    <w:p w14:paraId="253AE546" w14:textId="77777777" w:rsidR="005E025D" w:rsidRDefault="003B147D" w:rsidP="00905278">
      <w:r w:rsidRPr="003B147D">
        <w:t>Les paiements des redevances fixe et additionnelle doivent être effectués par virement bancaire sur le compte de l'UTBM dont les coordonnées seront communiquées à l'occupant</w:t>
      </w:r>
      <w:r w:rsidR="005E025D">
        <w:t xml:space="preserve">, </w:t>
      </w:r>
      <w:r w:rsidRPr="003B147D">
        <w:t xml:space="preserve">aux dates d'échéance prévues </w:t>
      </w:r>
      <w:r w:rsidR="005E025D">
        <w:t>ci-dessus</w:t>
      </w:r>
      <w:r w:rsidRPr="003B147D">
        <w:t xml:space="preserve">. </w:t>
      </w:r>
    </w:p>
    <w:p w14:paraId="76808223" w14:textId="77777777" w:rsidR="005E025D" w:rsidRDefault="005E025D" w:rsidP="00905278"/>
    <w:p w14:paraId="662E4726" w14:textId="77777777" w:rsidR="00BF09D2" w:rsidRDefault="00BF09D2" w:rsidP="00905278"/>
    <w:p w14:paraId="7D1739C6" w14:textId="77777777" w:rsidR="00BF09D2" w:rsidRDefault="00BF09D2" w:rsidP="00905278"/>
    <w:p w14:paraId="0879B4E8" w14:textId="4E3740ED" w:rsidR="00625207" w:rsidRDefault="00383CB8" w:rsidP="003830FC">
      <w:pPr>
        <w:pStyle w:val="Titre3"/>
      </w:pPr>
      <w:bookmarkStart w:id="45" w:name="_Toc192771869"/>
      <w:r>
        <w:t xml:space="preserve">7.5 - </w:t>
      </w:r>
      <w:r w:rsidR="00625207">
        <w:t>Contrôle des prix de vente pratiqués et visibilité des prix</w:t>
      </w:r>
      <w:bookmarkEnd w:id="45"/>
    </w:p>
    <w:p w14:paraId="4A67645A" w14:textId="77777777" w:rsidR="00BF09D2" w:rsidRDefault="00BF09D2" w:rsidP="00905278"/>
    <w:p w14:paraId="09B08E59" w14:textId="03A5AE08" w:rsidR="00DC61A2" w:rsidRDefault="00DC61A2" w:rsidP="00905278">
      <w:r>
        <w:t>L’occupant</w:t>
      </w:r>
      <w:r w:rsidR="003B147D" w:rsidRPr="003B147D">
        <w:t xml:space="preserve"> s'engage à afficher de manière lisible et visible les prix de vente de tous les produits proposés dans les distributeurs automatiques. Les prix doivent être indiqués en euros </w:t>
      </w:r>
      <w:r>
        <w:t>t</w:t>
      </w:r>
      <w:r w:rsidR="003B147D" w:rsidRPr="003B147D">
        <w:t xml:space="preserve">outes </w:t>
      </w:r>
      <w:r>
        <w:t>t</w:t>
      </w:r>
      <w:r w:rsidR="003B147D" w:rsidRPr="003B147D">
        <w:t xml:space="preserve">axes </w:t>
      </w:r>
      <w:r>
        <w:t>c</w:t>
      </w:r>
      <w:r w:rsidR="003B147D" w:rsidRPr="003B147D">
        <w:t>omprises (TTC)</w:t>
      </w:r>
      <w:r>
        <w:t>, soit au prix client</w:t>
      </w:r>
      <w:r w:rsidR="003B147D" w:rsidRPr="003B147D">
        <w:t xml:space="preserve">. </w:t>
      </w:r>
    </w:p>
    <w:p w14:paraId="36950392" w14:textId="77777777" w:rsidR="00DC61A2" w:rsidRDefault="00DC61A2" w:rsidP="00905278"/>
    <w:p w14:paraId="01CEB6A5" w14:textId="77777777" w:rsidR="00DC61A2" w:rsidRDefault="00DC61A2" w:rsidP="00DC61A2">
      <w:pPr>
        <w:rPr>
          <w:rFonts w:asciiTheme="minorHAnsi" w:hAnsiTheme="minorHAnsi" w:cstheme="minorHAnsi"/>
        </w:rPr>
      </w:pPr>
      <w:r w:rsidRPr="007B242A">
        <w:rPr>
          <w:rFonts w:asciiTheme="minorHAnsi" w:hAnsiTheme="minorHAnsi" w:cstheme="minorHAnsi"/>
        </w:rPr>
        <w:t xml:space="preserve">L’occupant précise dans son offre les prix de départ sur lesquels il s’engage. Les prix pratiqués par la suite pourront s’écarter de ces prix de départ à la hausse dans la limite de 20% et à la baisse sans limite. </w:t>
      </w:r>
    </w:p>
    <w:p w14:paraId="58A52D00" w14:textId="77777777" w:rsidR="00DC61A2" w:rsidRDefault="00DC61A2" w:rsidP="00DC61A2">
      <w:pPr>
        <w:rPr>
          <w:rFonts w:asciiTheme="minorHAnsi" w:hAnsiTheme="minorHAnsi" w:cstheme="minorHAnsi"/>
        </w:rPr>
      </w:pPr>
    </w:p>
    <w:p w14:paraId="59BA47CD" w14:textId="3CD1671D" w:rsidR="00DC61A2" w:rsidRPr="007B242A" w:rsidRDefault="00DC61A2" w:rsidP="00DC61A2">
      <w:pPr>
        <w:rPr>
          <w:rFonts w:asciiTheme="minorHAnsi" w:hAnsiTheme="minorHAnsi" w:cstheme="minorHAnsi"/>
        </w:rPr>
      </w:pPr>
      <w:r w:rsidRPr="007B242A">
        <w:rPr>
          <w:rFonts w:asciiTheme="minorHAnsi" w:hAnsiTheme="minorHAnsi" w:cstheme="minorHAnsi"/>
        </w:rPr>
        <w:t xml:space="preserve">Toute hausse de prix devra être communiquée à </w:t>
      </w:r>
      <w:r>
        <w:rPr>
          <w:rFonts w:asciiTheme="minorHAnsi" w:hAnsiTheme="minorHAnsi" w:cstheme="minorHAnsi"/>
        </w:rPr>
        <w:t>l’UTBM</w:t>
      </w:r>
      <w:r w:rsidRPr="007B242A">
        <w:rPr>
          <w:rFonts w:asciiTheme="minorHAnsi" w:hAnsiTheme="minorHAnsi" w:cstheme="minorHAnsi"/>
        </w:rPr>
        <w:t xml:space="preserve"> et motivée (ex : faible demande du produit, hausse du coût des matières premières). </w:t>
      </w:r>
      <w:r>
        <w:rPr>
          <w:rFonts w:asciiTheme="minorHAnsi" w:hAnsiTheme="minorHAnsi" w:cstheme="minorHAnsi"/>
        </w:rPr>
        <w:t>L’UTBM</w:t>
      </w:r>
      <w:r w:rsidRPr="007B242A">
        <w:rPr>
          <w:rFonts w:asciiTheme="minorHAnsi" w:hAnsiTheme="minorHAnsi" w:cstheme="minorHAnsi"/>
        </w:rPr>
        <w:t xml:space="preserve"> procèdera à l’établissement d’un avenant pour formaliser l’acceptation de cette hausse de prix. </w:t>
      </w:r>
    </w:p>
    <w:p w14:paraId="17937876" w14:textId="77777777" w:rsidR="00BF09D2" w:rsidRDefault="00BF09D2" w:rsidP="00905278"/>
    <w:p w14:paraId="12BDDD9F" w14:textId="5C206533" w:rsidR="003A40EF" w:rsidRDefault="00383CB8" w:rsidP="003830FC">
      <w:pPr>
        <w:pStyle w:val="Titre3"/>
      </w:pPr>
      <w:bookmarkStart w:id="46" w:name="_Toc192771870"/>
      <w:r>
        <w:t xml:space="preserve">7.6 - </w:t>
      </w:r>
      <w:r w:rsidR="003A40EF">
        <w:t xml:space="preserve">Frais </w:t>
      </w:r>
      <w:r>
        <w:t>d’</w:t>
      </w:r>
      <w:r w:rsidR="003A40EF">
        <w:t>installation et maintenance</w:t>
      </w:r>
      <w:bookmarkEnd w:id="46"/>
    </w:p>
    <w:p w14:paraId="6643E345" w14:textId="77777777" w:rsidR="00BF09D2" w:rsidRDefault="00BF09D2" w:rsidP="00905278"/>
    <w:p w14:paraId="505FB375" w14:textId="77777777" w:rsidR="00DC61A2" w:rsidRDefault="003B147D" w:rsidP="00905278">
      <w:r w:rsidRPr="003B147D">
        <w:t xml:space="preserve">Les frais d'installation des distributeurs automatiques, y compris les travaux de raccordement aux réseaux d'eau et d'électricité, sont à la charge exclusive </w:t>
      </w:r>
      <w:r w:rsidR="00DC61A2">
        <w:t>de l’occupant</w:t>
      </w:r>
      <w:r w:rsidRPr="003B147D">
        <w:t xml:space="preserve">. </w:t>
      </w:r>
    </w:p>
    <w:p w14:paraId="45B83520" w14:textId="77777777" w:rsidR="00DC61A2" w:rsidRDefault="00DC61A2" w:rsidP="00905278"/>
    <w:p w14:paraId="2F4C0B28" w14:textId="027460F4" w:rsidR="00BF09D2" w:rsidRDefault="00DC61A2" w:rsidP="00905278">
      <w:r>
        <w:t>L’occupant</w:t>
      </w:r>
      <w:r w:rsidR="003B147D" w:rsidRPr="003B147D">
        <w:t xml:space="preserve"> est également responsable de la maintenance préventive et corrective des distributeurs, incluant le remplacement des pièces défectueuses et l'entretien régulier des machines. L'UTBM ne sera en aucun cas responsable des coûts liés à l'installation, à la maintenance ou à la réparation des distributeurs automatiques.</w:t>
      </w:r>
    </w:p>
    <w:p w14:paraId="34D2177C" w14:textId="77777777" w:rsidR="00BF09D2" w:rsidRDefault="00BF09D2" w:rsidP="00905278"/>
    <w:p w14:paraId="32EF6127" w14:textId="77777777" w:rsidR="00BF09D2" w:rsidRDefault="00BF09D2" w:rsidP="00905278"/>
    <w:p w14:paraId="6251E63E" w14:textId="7876F61F" w:rsidR="00625207" w:rsidRDefault="00383CB8" w:rsidP="003830FC">
      <w:pPr>
        <w:pStyle w:val="Titre3"/>
      </w:pPr>
      <w:bookmarkStart w:id="47" w:name="_Toc192771871"/>
      <w:r>
        <w:lastRenderedPageBreak/>
        <w:t xml:space="preserve">7.7 - </w:t>
      </w:r>
      <w:r w:rsidR="00625207">
        <w:t>Intérêts moratoires</w:t>
      </w:r>
      <w:bookmarkEnd w:id="47"/>
    </w:p>
    <w:p w14:paraId="6842969F" w14:textId="77777777" w:rsidR="005C69BB" w:rsidRDefault="005C69BB" w:rsidP="00905278"/>
    <w:p w14:paraId="3FD21227" w14:textId="77777777" w:rsidR="00DC61A2" w:rsidRDefault="003B147D" w:rsidP="00905278">
      <w:r w:rsidRPr="003B147D">
        <w:t xml:space="preserve">En cas de retard de paiement des redevances dues à l'UTBM, des intérêts moratoires seront appliqués au taux </w:t>
      </w:r>
      <w:r w:rsidR="00DC61A2">
        <w:t xml:space="preserve">légal </w:t>
      </w:r>
      <w:r w:rsidRPr="003B147D">
        <w:t xml:space="preserve">majoré de 8 points. </w:t>
      </w:r>
    </w:p>
    <w:p w14:paraId="58B767D0" w14:textId="77777777" w:rsidR="00DC61A2" w:rsidRDefault="00DC61A2" w:rsidP="00905278"/>
    <w:p w14:paraId="48E5024B" w14:textId="114BD909" w:rsidR="003B147D" w:rsidRDefault="003B147D" w:rsidP="00905278">
      <w:r w:rsidRPr="003B147D">
        <w:t xml:space="preserve">Les intérêts moratoires seront calculés à partir du jour suivant la date d'échéance du paiement jusqu'au jour du paiement effectif. </w:t>
      </w:r>
      <w:r w:rsidR="002720CF" w:rsidRPr="003B147D">
        <w:t>L’occupant</w:t>
      </w:r>
      <w:r w:rsidRPr="003B147D">
        <w:t xml:space="preserve"> sera informé par écrit du montant des intérêts moratoires dus.</w:t>
      </w:r>
    </w:p>
    <w:p w14:paraId="09C81765" w14:textId="77777777" w:rsidR="00625207" w:rsidRDefault="00625207" w:rsidP="00905278"/>
    <w:p w14:paraId="276D8042" w14:textId="77777777" w:rsidR="00625207" w:rsidRDefault="00625207" w:rsidP="00905278"/>
    <w:p w14:paraId="5AD985B5" w14:textId="2AE85D34" w:rsidR="005C69BB" w:rsidRDefault="00E20EBB" w:rsidP="003830FC">
      <w:pPr>
        <w:pStyle w:val="Titre2"/>
      </w:pPr>
      <w:bookmarkStart w:id="48" w:name="_Toc192771872"/>
      <w:r>
        <w:t xml:space="preserve">Article </w:t>
      </w:r>
      <w:r w:rsidR="008D37A3">
        <w:t xml:space="preserve">8 - </w:t>
      </w:r>
      <w:r w:rsidR="005C69BB">
        <w:t xml:space="preserve">Obligations </w:t>
      </w:r>
      <w:r w:rsidR="002720CF">
        <w:t>de l’occupant</w:t>
      </w:r>
      <w:bookmarkEnd w:id="48"/>
      <w:r w:rsidR="005C69BB">
        <w:t xml:space="preserve"> </w:t>
      </w:r>
    </w:p>
    <w:p w14:paraId="59AC7FDD" w14:textId="77777777" w:rsidR="00BF09D2" w:rsidRDefault="00BF09D2" w:rsidP="00905278"/>
    <w:p w14:paraId="295F06EA" w14:textId="7DF2258D" w:rsidR="003B147D" w:rsidRDefault="002720CF" w:rsidP="003B147D">
      <w:r>
        <w:t>L’occupant</w:t>
      </w:r>
      <w:r w:rsidR="003B147D">
        <w:t xml:space="preserve"> s'engage à respecter les obligations suivantes :</w:t>
      </w:r>
    </w:p>
    <w:p w14:paraId="3D98FFD2" w14:textId="5E3571F5" w:rsidR="003B147D" w:rsidRDefault="003B147D" w:rsidP="002720CF">
      <w:pPr>
        <w:pStyle w:val="Paragraphedeliste"/>
        <w:numPr>
          <w:ilvl w:val="0"/>
          <w:numId w:val="13"/>
        </w:numPr>
        <w:ind w:hanging="359"/>
      </w:pPr>
      <w:r>
        <w:t>Assurer la continuité du service de distribution automatique pendant les horaires d'ouverture</w:t>
      </w:r>
      <w:r w:rsidR="002720CF">
        <w:t> ;</w:t>
      </w:r>
    </w:p>
    <w:p w14:paraId="319AF9B3" w14:textId="20F3C346" w:rsidR="003B147D" w:rsidRDefault="003B147D" w:rsidP="002720CF">
      <w:pPr>
        <w:pStyle w:val="Paragraphedeliste"/>
        <w:numPr>
          <w:ilvl w:val="0"/>
          <w:numId w:val="13"/>
        </w:numPr>
        <w:ind w:hanging="359"/>
      </w:pPr>
      <w:r>
        <w:t>Maintenir les distributeurs en bon état de fonctionnement et d'hygiène</w:t>
      </w:r>
      <w:r w:rsidR="002720CF">
        <w:t> ;</w:t>
      </w:r>
    </w:p>
    <w:p w14:paraId="216A1CC6" w14:textId="3AAEE3FF" w:rsidR="003B147D" w:rsidRDefault="003B147D" w:rsidP="002720CF">
      <w:pPr>
        <w:pStyle w:val="Paragraphedeliste"/>
        <w:numPr>
          <w:ilvl w:val="0"/>
          <w:numId w:val="13"/>
        </w:numPr>
        <w:ind w:hanging="359"/>
      </w:pPr>
      <w:r>
        <w:t>Approvisionner régulièrement les distributeurs en produits de qualité</w:t>
      </w:r>
      <w:r w:rsidR="002720CF">
        <w:t> ;</w:t>
      </w:r>
    </w:p>
    <w:p w14:paraId="7EDE9C1C" w14:textId="072F5D6C" w:rsidR="003B147D" w:rsidRDefault="003B147D" w:rsidP="002720CF">
      <w:pPr>
        <w:pStyle w:val="Paragraphedeliste"/>
        <w:numPr>
          <w:ilvl w:val="0"/>
          <w:numId w:val="13"/>
        </w:numPr>
        <w:ind w:hanging="359"/>
      </w:pPr>
      <w:r>
        <w:t>Respecter les normes de sécurité et d'hygiène en vigueur</w:t>
      </w:r>
      <w:r w:rsidR="002720CF">
        <w:t> ;</w:t>
      </w:r>
    </w:p>
    <w:p w14:paraId="3D17E99D" w14:textId="243246DD" w:rsidR="003B147D" w:rsidRDefault="003B147D" w:rsidP="002720CF">
      <w:pPr>
        <w:pStyle w:val="Paragraphedeliste"/>
        <w:numPr>
          <w:ilvl w:val="0"/>
          <w:numId w:val="13"/>
        </w:numPr>
        <w:ind w:hanging="359"/>
      </w:pPr>
      <w:r>
        <w:t>Informer l'UTBM de tout incident ou dysfonctionnement majeur dans les plus brefs délais</w:t>
      </w:r>
      <w:r w:rsidR="002720CF">
        <w:t> ;</w:t>
      </w:r>
    </w:p>
    <w:p w14:paraId="596A0739" w14:textId="3CFCEBF5" w:rsidR="003B147D" w:rsidRDefault="003B147D" w:rsidP="002720CF">
      <w:pPr>
        <w:pStyle w:val="Paragraphedeliste"/>
        <w:numPr>
          <w:ilvl w:val="0"/>
          <w:numId w:val="13"/>
        </w:numPr>
        <w:ind w:hanging="359"/>
      </w:pPr>
      <w:r>
        <w:t>Participer aux réunions de suivi organisées par l'UTBM</w:t>
      </w:r>
      <w:r w:rsidR="002720CF">
        <w:t> ;</w:t>
      </w:r>
    </w:p>
    <w:p w14:paraId="5589BC4B" w14:textId="1C3E94A7" w:rsidR="003B147D" w:rsidRDefault="003B147D" w:rsidP="002720CF">
      <w:pPr>
        <w:pStyle w:val="Paragraphedeliste"/>
        <w:numPr>
          <w:ilvl w:val="0"/>
          <w:numId w:val="13"/>
        </w:numPr>
        <w:ind w:hanging="359"/>
      </w:pPr>
      <w:r>
        <w:t>Respecter les engagements liés au développement durable, notamment en matière de gestion des déchets et de réduction de l'empreinte écologique.</w:t>
      </w:r>
    </w:p>
    <w:p w14:paraId="53A74B30" w14:textId="77777777" w:rsidR="00BF09D2" w:rsidRDefault="00BF09D2" w:rsidP="00905278"/>
    <w:p w14:paraId="1388F723" w14:textId="77777777" w:rsidR="00BF09D2" w:rsidRDefault="00BF09D2" w:rsidP="00905278"/>
    <w:p w14:paraId="1E5160EF" w14:textId="33C06E94" w:rsidR="003A40EF" w:rsidRDefault="002D4FA9" w:rsidP="003830FC">
      <w:pPr>
        <w:pStyle w:val="Titre3"/>
      </w:pPr>
      <w:bookmarkStart w:id="49" w:name="_Toc192771873"/>
      <w:r>
        <w:t xml:space="preserve">8.1 - </w:t>
      </w:r>
      <w:r w:rsidR="003A40EF">
        <w:t>Domanialité publique</w:t>
      </w:r>
      <w:bookmarkEnd w:id="49"/>
    </w:p>
    <w:p w14:paraId="592D79AD" w14:textId="77777777" w:rsidR="00BF09D2" w:rsidRDefault="00BF09D2" w:rsidP="00905278"/>
    <w:p w14:paraId="1B983359" w14:textId="2852CEDC" w:rsidR="00BF09D2" w:rsidRDefault="003B147D" w:rsidP="00905278">
      <w:r w:rsidRPr="003B147D">
        <w:t xml:space="preserve">La présente convention confère </w:t>
      </w:r>
      <w:r w:rsidR="002720CF" w:rsidRPr="003B147D">
        <w:t>à l’occupant</w:t>
      </w:r>
      <w:r w:rsidRPr="003B147D">
        <w:t xml:space="preserve"> un droit d'occupation temporaire du domaine public de l'UTBM pour l'installation et l'exploitation des distributeurs automatiques. Ce droit est strictement personnel et ne peut être cédé ou sous-loué sans l'accord préalable et écrit de l'UTBM. </w:t>
      </w:r>
      <w:r w:rsidR="002720CF" w:rsidRPr="003B147D">
        <w:t>L’occupant</w:t>
      </w:r>
      <w:r w:rsidRPr="003B147D">
        <w:t xml:space="preserve"> doit veiller à ce que l'occupation des espaces mis à disposition n'entrave pas le bon fonctionnement des activités de l'UTBM et respecte les règles de sécurité et d'accessibilité en vigueur.</w:t>
      </w:r>
    </w:p>
    <w:p w14:paraId="685D0D01" w14:textId="77777777" w:rsidR="00BF09D2" w:rsidRDefault="00BF09D2" w:rsidP="00905278"/>
    <w:p w14:paraId="253CA46E" w14:textId="378E4DEE" w:rsidR="005C69BB" w:rsidRDefault="002D4FA9" w:rsidP="003830FC">
      <w:pPr>
        <w:pStyle w:val="Titre3"/>
      </w:pPr>
      <w:bookmarkStart w:id="50" w:name="_Toc192771874"/>
      <w:r>
        <w:t xml:space="preserve">8.2 </w:t>
      </w:r>
      <w:r w:rsidR="00BF09D2">
        <w:t>–</w:t>
      </w:r>
      <w:r>
        <w:t xml:space="preserve"> </w:t>
      </w:r>
      <w:r w:rsidR="005C69BB">
        <w:t>Assurance</w:t>
      </w:r>
      <w:bookmarkEnd w:id="50"/>
    </w:p>
    <w:p w14:paraId="365B7033" w14:textId="77777777" w:rsidR="00BF09D2" w:rsidRDefault="00BF09D2" w:rsidP="00905278"/>
    <w:p w14:paraId="683C3810" w14:textId="40BDE14F" w:rsidR="003B147D" w:rsidRDefault="002720CF" w:rsidP="00905278">
      <w:r w:rsidRPr="003B147D">
        <w:t>L’occupant</w:t>
      </w:r>
      <w:r w:rsidR="003B147D" w:rsidRPr="003B147D">
        <w:t xml:space="preserve"> doit souscrire et maintenir en vigueur pendant toute la durée de la convention une assurance responsabilité civile couvrant les dommages matériels et corporels pouvant survenir dans le cadre de l'exploitation des distributeurs automatiques. Une attestation d'assurance devra être fournie à l'UTBM avant l'installation des distributeurs et à chaque renouvellement du contrat d'assurance. En cas de non-présentation de ces documents, l'UTBM se réserve le droit de résilier la convention.</w:t>
      </w:r>
    </w:p>
    <w:p w14:paraId="4F9EC7BF" w14:textId="77777777" w:rsidR="00BF09D2" w:rsidRDefault="00BF09D2" w:rsidP="00905278"/>
    <w:p w14:paraId="59F3513D" w14:textId="77777777" w:rsidR="00BF09D2" w:rsidRDefault="00BF09D2" w:rsidP="00905278"/>
    <w:p w14:paraId="0F23F3F0" w14:textId="08B5F38E" w:rsidR="005C69BB" w:rsidRDefault="002D4FA9" w:rsidP="003830FC">
      <w:pPr>
        <w:pStyle w:val="Titre3"/>
      </w:pPr>
      <w:bookmarkStart w:id="51" w:name="_Toc192771875"/>
      <w:r>
        <w:t xml:space="preserve">8.3 - </w:t>
      </w:r>
      <w:r w:rsidR="005C69BB">
        <w:t>Responsabilités</w:t>
      </w:r>
      <w:bookmarkEnd w:id="51"/>
      <w:r w:rsidR="005C69BB">
        <w:t xml:space="preserve"> </w:t>
      </w:r>
    </w:p>
    <w:p w14:paraId="66A43B88" w14:textId="77777777" w:rsidR="00BF09D2" w:rsidRDefault="00BF09D2" w:rsidP="00905278"/>
    <w:p w14:paraId="451AA85B" w14:textId="227FE170" w:rsidR="003B147D" w:rsidRDefault="002720CF" w:rsidP="00905278">
      <w:r w:rsidRPr="003B147D">
        <w:t>L’occupant</w:t>
      </w:r>
      <w:r w:rsidR="003B147D" w:rsidRPr="003B147D">
        <w:t xml:space="preserve"> est seul responsable des dommages causés aux biens et aux personnes du fait de l'installation, de l'exploitation et de la maintenance des distributeurs automatiques. Il s'engage à indemniser l'UTBM pour tout préjudice subi du fait de ses activités. </w:t>
      </w:r>
      <w:r w:rsidRPr="003B147D">
        <w:t>L’occupant</w:t>
      </w:r>
      <w:r w:rsidR="003B147D" w:rsidRPr="003B147D">
        <w:t xml:space="preserve"> est également responsable des actes de vandalisme ou de détérioration des distributeurs et doit prendre les mesures nécessaires pour limiter ces risques. En cas de dommage, </w:t>
      </w:r>
      <w:r w:rsidRPr="003B147D">
        <w:t>l’occupant</w:t>
      </w:r>
      <w:r w:rsidR="003B147D" w:rsidRPr="003B147D">
        <w:t xml:space="preserve"> devra procéder aux réparations ou au remplacement des équipements à ses frais.</w:t>
      </w:r>
    </w:p>
    <w:p w14:paraId="463D0191" w14:textId="77777777" w:rsidR="00BF09D2" w:rsidRDefault="00BF09D2" w:rsidP="00905278"/>
    <w:p w14:paraId="09450FDE" w14:textId="77777777" w:rsidR="00BF09D2" w:rsidRDefault="00BF09D2" w:rsidP="00905278"/>
    <w:p w14:paraId="147CE9AD" w14:textId="7EB35220" w:rsidR="003A40EF" w:rsidRDefault="002D4FA9" w:rsidP="003830FC">
      <w:pPr>
        <w:pStyle w:val="Titre3"/>
      </w:pPr>
      <w:bookmarkStart w:id="52" w:name="_Toc192771876"/>
      <w:r>
        <w:t xml:space="preserve">8.4 - </w:t>
      </w:r>
      <w:r w:rsidR="003A40EF">
        <w:t>Surveillance et sécurité</w:t>
      </w:r>
      <w:bookmarkEnd w:id="52"/>
    </w:p>
    <w:p w14:paraId="425936DE" w14:textId="77777777" w:rsidR="00BF09D2" w:rsidRDefault="00BF09D2" w:rsidP="003A40EF"/>
    <w:p w14:paraId="0F3B7BBF" w14:textId="218C2007" w:rsidR="00BF09D2" w:rsidRDefault="002720CF" w:rsidP="003A40EF">
      <w:r w:rsidRPr="003B147D">
        <w:t>L’occupant</w:t>
      </w:r>
      <w:r w:rsidR="003B147D" w:rsidRPr="003B147D">
        <w:t xml:space="preserve"> doit veiller à la sécurité des distributeurs automatiques et de leurs abords. Il est tenu de mettre en place des dispositifs de surveillance adaptés pour prévenir les actes de vandalisme et de vol. </w:t>
      </w:r>
      <w:r w:rsidRPr="003B147D">
        <w:t>L’occupant</w:t>
      </w:r>
      <w:r w:rsidR="003B147D" w:rsidRPr="003B147D">
        <w:t xml:space="preserve"> doit également s'assurer que les distributeurs sont conformes aux normes de sécurité en vigueur et qu'ils ne présentent aucun danger pour les utilisateurs. En cas de problème de sécurité, </w:t>
      </w:r>
      <w:r w:rsidRPr="003B147D">
        <w:t>l’occupant</w:t>
      </w:r>
      <w:r w:rsidR="003B147D" w:rsidRPr="003B147D">
        <w:t xml:space="preserve"> doit en informer immédiatement l'UTBM et prendre les mesures nécessaires pour remédier à la situation.</w:t>
      </w:r>
    </w:p>
    <w:p w14:paraId="6811A2F5" w14:textId="77777777" w:rsidR="003B147D" w:rsidRDefault="003B147D" w:rsidP="003A40EF"/>
    <w:p w14:paraId="67A9E64C" w14:textId="77777777" w:rsidR="00527873" w:rsidRDefault="00527873" w:rsidP="003A40EF"/>
    <w:p w14:paraId="7D9499C0" w14:textId="77777777" w:rsidR="00527873" w:rsidRDefault="00527873" w:rsidP="003A40EF"/>
    <w:p w14:paraId="0B1B91F8" w14:textId="77777777" w:rsidR="00527873" w:rsidRDefault="00527873" w:rsidP="003A40EF"/>
    <w:p w14:paraId="1AA7C3A4" w14:textId="1B8E95F3" w:rsidR="003A40EF" w:rsidRDefault="002D4FA9" w:rsidP="003830FC">
      <w:pPr>
        <w:pStyle w:val="Titre3"/>
      </w:pPr>
      <w:bookmarkStart w:id="53" w:name="_Toc192771877"/>
      <w:r>
        <w:lastRenderedPageBreak/>
        <w:t xml:space="preserve">8.5 </w:t>
      </w:r>
      <w:r w:rsidR="00BF09D2">
        <w:t>–</w:t>
      </w:r>
      <w:r>
        <w:t xml:space="preserve"> </w:t>
      </w:r>
      <w:r w:rsidR="003A40EF">
        <w:t>Réglementation</w:t>
      </w:r>
      <w:bookmarkEnd w:id="53"/>
    </w:p>
    <w:p w14:paraId="3E9D5B71" w14:textId="77777777" w:rsidR="00BF09D2" w:rsidRDefault="00BF09D2" w:rsidP="003A40EF"/>
    <w:p w14:paraId="5C48557C" w14:textId="6A0C3583" w:rsidR="00BF09D2" w:rsidRDefault="002720CF" w:rsidP="003A40EF">
      <w:r w:rsidRPr="003B147D">
        <w:t>L’occupant</w:t>
      </w:r>
      <w:r w:rsidR="003B147D" w:rsidRPr="003B147D">
        <w:t xml:space="preserve"> s'engage à respecter l'ensemble des réglementations applicables à l'exploitation des distributeurs automatiques, notamment en matière de sécurité, d'hygiène, de protection de l'environnement et de droit du travail. Il doit également se conformer aux règlements intérieurs de l'UTBM et aux consignes spécifiques qui lui seront communiquées. En cas de non-respect de ces obligations, l'UTBM se réserve le droit de résilier la convention et d'appliquer des pénalités conformément aux dispositions prévues dans la présente convention.</w:t>
      </w:r>
    </w:p>
    <w:p w14:paraId="1EE22E3A" w14:textId="77777777" w:rsidR="003B147D" w:rsidRDefault="003B147D" w:rsidP="003A40EF"/>
    <w:p w14:paraId="7B5A83ED" w14:textId="767D847B" w:rsidR="003A40EF" w:rsidRDefault="002D4FA9" w:rsidP="003830FC">
      <w:pPr>
        <w:pStyle w:val="Titre3"/>
      </w:pPr>
      <w:bookmarkStart w:id="54" w:name="_Toc192771878"/>
      <w:r>
        <w:t xml:space="preserve">8.6 - </w:t>
      </w:r>
      <w:r w:rsidR="003A40EF">
        <w:t xml:space="preserve">Sécurité </w:t>
      </w:r>
      <w:r w:rsidR="00625207">
        <w:t>sanitaire</w:t>
      </w:r>
      <w:bookmarkEnd w:id="54"/>
    </w:p>
    <w:p w14:paraId="698765F5" w14:textId="77777777" w:rsidR="00BF09D2" w:rsidRDefault="00BF09D2" w:rsidP="003A40EF"/>
    <w:p w14:paraId="1FA2AFFA" w14:textId="77777777" w:rsidR="002720CF" w:rsidRDefault="002720CF" w:rsidP="003A40EF">
      <w:r w:rsidRPr="003B147D">
        <w:t>L’occupant</w:t>
      </w:r>
      <w:r w:rsidR="003B147D" w:rsidRPr="003B147D">
        <w:t xml:space="preserve"> s'engage à respecter toutes les normes et réglementations en vigueur en matière de sécurité sanitaire. Il doit notamment veiller à ce que les produits alimentaires proposés dans les distributeurs soient conformes aux normes d'hygiène et de sécurité alimentaire</w:t>
      </w:r>
      <w:r>
        <w:t xml:space="preserve"> et </w:t>
      </w:r>
      <w:r w:rsidR="003B147D" w:rsidRPr="003B147D">
        <w:t>effectuer des contrôles réguliers pour s'</w:t>
      </w:r>
      <w:r>
        <w:t xml:space="preserve">en </w:t>
      </w:r>
      <w:r w:rsidR="003B147D" w:rsidRPr="003B147D">
        <w:t xml:space="preserve">assurer. </w:t>
      </w:r>
    </w:p>
    <w:p w14:paraId="72C38F89" w14:textId="77777777" w:rsidR="002720CF" w:rsidRDefault="002720CF" w:rsidP="003A40EF"/>
    <w:p w14:paraId="3E76267B" w14:textId="77777777" w:rsidR="002720CF" w:rsidRDefault="003B147D" w:rsidP="003A40EF">
      <w:r w:rsidRPr="003B147D">
        <w:t xml:space="preserve">En cas de non-conformité, il doit immédiatement retirer les produits concernés et en informer l'UTBM. </w:t>
      </w:r>
    </w:p>
    <w:p w14:paraId="35CF8915" w14:textId="77777777" w:rsidR="002720CF" w:rsidRDefault="002720CF" w:rsidP="003A40EF"/>
    <w:p w14:paraId="1B0A75CC" w14:textId="489FFDB4" w:rsidR="003B147D" w:rsidRDefault="002720CF" w:rsidP="003A40EF">
      <w:r w:rsidRPr="003B147D">
        <w:t>L’occupant</w:t>
      </w:r>
      <w:r w:rsidR="003B147D" w:rsidRPr="003B147D">
        <w:t xml:space="preserve"> doit également mettre en place des procédures de nettoyage et de désinfection régulières des distributeurs, et tenir un registre des opérations effectuées.</w:t>
      </w:r>
    </w:p>
    <w:p w14:paraId="07DA5A31" w14:textId="77777777" w:rsidR="00BF09D2" w:rsidRDefault="00BF09D2" w:rsidP="003A40EF"/>
    <w:p w14:paraId="6A8BF77C" w14:textId="38510C87" w:rsidR="008944C8" w:rsidRDefault="002D4FA9" w:rsidP="003830FC">
      <w:pPr>
        <w:pStyle w:val="Titre3"/>
      </w:pPr>
      <w:bookmarkStart w:id="55" w:name="_Toc192771879"/>
      <w:r>
        <w:t xml:space="preserve">8.7 - </w:t>
      </w:r>
      <w:r w:rsidR="008944C8">
        <w:t>Principe de neutralité et de laïcité</w:t>
      </w:r>
      <w:bookmarkEnd w:id="55"/>
    </w:p>
    <w:p w14:paraId="6DF5B4B5" w14:textId="77777777" w:rsidR="00BF09D2" w:rsidRDefault="00BF09D2" w:rsidP="003A40EF"/>
    <w:p w14:paraId="28D43EF6" w14:textId="77777777" w:rsidR="002720CF" w:rsidRDefault="002720CF" w:rsidP="003A40EF">
      <w:r w:rsidRPr="003B147D">
        <w:t>L’occupant</w:t>
      </w:r>
      <w:r w:rsidR="003B147D" w:rsidRPr="003B147D">
        <w:t xml:space="preserve"> s'engage à respecter les principes de neutralité et de laïcité dans l'exécution de ses prestations. Il doit veiller à ce que ses employés et sous-traitants respectent ces principes et s'abstiennent de toute manifestation d'opinion politique ou religieuse dans l'exercice de leurs fonctions. </w:t>
      </w:r>
    </w:p>
    <w:p w14:paraId="5DE18122" w14:textId="77777777" w:rsidR="002720CF" w:rsidRDefault="002720CF" w:rsidP="003A40EF"/>
    <w:p w14:paraId="7219832F" w14:textId="718030EA" w:rsidR="00BF09D2" w:rsidRDefault="002720CF" w:rsidP="003A40EF">
      <w:r w:rsidRPr="003B147D">
        <w:t>L’occupant</w:t>
      </w:r>
      <w:r w:rsidR="003B147D" w:rsidRPr="003B147D">
        <w:t xml:space="preserve"> doit également veiller à ce que les produits et services proposés dans les distributeurs ne portent atteinte à ces principes. Toute infraction à ces principes pourra entraîner des sanctions, allant jusqu'à la résiliation de la convention.</w:t>
      </w:r>
    </w:p>
    <w:p w14:paraId="52EB45D3" w14:textId="77777777" w:rsidR="00BF09D2" w:rsidRDefault="00BF09D2" w:rsidP="003A40EF"/>
    <w:p w14:paraId="37193AD1" w14:textId="52234ED2" w:rsidR="00215E22" w:rsidRDefault="002D4FA9" w:rsidP="003830FC">
      <w:pPr>
        <w:pStyle w:val="Titre3"/>
      </w:pPr>
      <w:bookmarkStart w:id="56" w:name="_Toc192771880"/>
      <w:r>
        <w:t xml:space="preserve">8.8 - </w:t>
      </w:r>
      <w:r w:rsidR="00215E22">
        <w:t xml:space="preserve">Personnel </w:t>
      </w:r>
      <w:r w:rsidR="002720CF">
        <w:t>de l’occupant</w:t>
      </w:r>
      <w:bookmarkEnd w:id="56"/>
      <w:r w:rsidR="00215E22">
        <w:t xml:space="preserve"> </w:t>
      </w:r>
    </w:p>
    <w:p w14:paraId="1178C9B9" w14:textId="77777777" w:rsidR="00BF09D2" w:rsidRDefault="00BF09D2" w:rsidP="003A40EF"/>
    <w:p w14:paraId="375F8A4C" w14:textId="77777777" w:rsidR="002720CF" w:rsidRDefault="003B147D" w:rsidP="003A40EF">
      <w:r w:rsidRPr="003B147D">
        <w:t xml:space="preserve">Le personnel </w:t>
      </w:r>
      <w:r w:rsidR="002720CF" w:rsidRPr="003B147D">
        <w:t>de l’occupant</w:t>
      </w:r>
      <w:r w:rsidRPr="003B147D">
        <w:t xml:space="preserve"> doit être qualifié et formé pour assurer l'installation, l'entretien et la maintenance des distributeurs automatiques.</w:t>
      </w:r>
    </w:p>
    <w:p w14:paraId="0383C01A" w14:textId="77777777" w:rsidR="002720CF" w:rsidRDefault="002720CF" w:rsidP="003A40EF"/>
    <w:p w14:paraId="6D5E4B47" w14:textId="67495661" w:rsidR="003B147D" w:rsidRDefault="002720CF" w:rsidP="003A40EF">
      <w:r w:rsidRPr="003B147D">
        <w:t>L’occupant</w:t>
      </w:r>
      <w:r w:rsidR="003B147D" w:rsidRPr="003B147D">
        <w:t xml:space="preserve"> doit veiller à ce que son personnel respecte les règles de sécurité, d'hygiène et de courtoisie en vigueur dans les locaux de l'UTBM. Le personnel doit porter une tenue vestimentaire appropriée et un badge d'identification visible. En cas de comportement inapproprié ou de manquement aux obligations, l'UTBM pourra demander le remplacement du personnel concerné.</w:t>
      </w:r>
    </w:p>
    <w:p w14:paraId="3DAAF5D6" w14:textId="77777777" w:rsidR="005C69BB" w:rsidRDefault="005C69BB" w:rsidP="00905278"/>
    <w:p w14:paraId="572506D1" w14:textId="77777777" w:rsidR="00527873" w:rsidRDefault="00527873" w:rsidP="00905278"/>
    <w:p w14:paraId="12B3FED4" w14:textId="214A8E20" w:rsidR="005C69BB" w:rsidRDefault="00E20EBB" w:rsidP="003830FC">
      <w:pPr>
        <w:pStyle w:val="Titre2"/>
      </w:pPr>
      <w:bookmarkStart w:id="57" w:name="_Toc192771881"/>
      <w:r>
        <w:t>Article</w:t>
      </w:r>
      <w:r w:rsidR="008D37A3">
        <w:t xml:space="preserve"> 9 - </w:t>
      </w:r>
      <w:r w:rsidR="005C69BB">
        <w:t>Obligations de l’UTBM</w:t>
      </w:r>
      <w:bookmarkEnd w:id="57"/>
    </w:p>
    <w:p w14:paraId="5D4B46BA" w14:textId="77777777" w:rsidR="00BF09D2" w:rsidRDefault="00BF09D2" w:rsidP="00905278"/>
    <w:p w14:paraId="104C023C" w14:textId="3CC24E7F" w:rsidR="005C69BB" w:rsidRDefault="002D4FA9" w:rsidP="003830FC">
      <w:pPr>
        <w:pStyle w:val="Titre3"/>
      </w:pPr>
      <w:bookmarkStart w:id="58" w:name="_Toc192771882"/>
      <w:r>
        <w:t xml:space="preserve">9.1 - </w:t>
      </w:r>
      <w:r w:rsidR="005C69BB">
        <w:t>Fourniture des fluides</w:t>
      </w:r>
      <w:bookmarkEnd w:id="58"/>
    </w:p>
    <w:p w14:paraId="6A6B94D5" w14:textId="77777777" w:rsidR="00BF09D2" w:rsidRDefault="00BF09D2" w:rsidP="00905278"/>
    <w:p w14:paraId="22AA963A" w14:textId="307145EA" w:rsidR="003B147D" w:rsidRDefault="003B147D" w:rsidP="00905278">
      <w:r w:rsidRPr="003B147D">
        <w:t xml:space="preserve">L'UTBM s'engage à fournir </w:t>
      </w:r>
      <w:r w:rsidR="005C1FA9" w:rsidRPr="003B147D">
        <w:t>à l’occupant</w:t>
      </w:r>
      <w:r w:rsidRPr="003B147D">
        <w:t xml:space="preserve"> l'accès aux fluides nécessaires au fonctionnement des distributeurs automatiques, notamment l'eau et l'électricité. En cas d'interruption de la fourniture des fluides pour des raisons de maintenance ou de travaux, l'UTBM s'engage à en informer </w:t>
      </w:r>
      <w:r w:rsidR="005C1FA9" w:rsidRPr="003B147D">
        <w:t>l’occupant</w:t>
      </w:r>
      <w:r w:rsidRPr="003B147D">
        <w:t xml:space="preserve"> dans les meilleurs délais.</w:t>
      </w:r>
    </w:p>
    <w:p w14:paraId="71E8B454" w14:textId="77777777" w:rsidR="00BF09D2" w:rsidRDefault="00BF09D2" w:rsidP="00905278"/>
    <w:p w14:paraId="693F9923" w14:textId="3088A584" w:rsidR="005C69BB" w:rsidRDefault="002D4FA9" w:rsidP="003830FC">
      <w:pPr>
        <w:pStyle w:val="Titre3"/>
      </w:pPr>
      <w:bookmarkStart w:id="59" w:name="_Toc192771883"/>
      <w:r>
        <w:t xml:space="preserve">9.2 - </w:t>
      </w:r>
      <w:r w:rsidR="005C69BB">
        <w:t>Accès aux locaux</w:t>
      </w:r>
      <w:bookmarkEnd w:id="59"/>
    </w:p>
    <w:p w14:paraId="4603F12D" w14:textId="77777777" w:rsidR="00BF09D2" w:rsidRDefault="00BF09D2" w:rsidP="00905278"/>
    <w:p w14:paraId="27BE5C91" w14:textId="08F10581" w:rsidR="003B147D" w:rsidRDefault="003B147D" w:rsidP="00905278">
      <w:r w:rsidRPr="003B147D">
        <w:t xml:space="preserve">L'UTBM s'engage à garantir </w:t>
      </w:r>
      <w:r w:rsidR="005C1FA9" w:rsidRPr="003B147D">
        <w:t>à l’occupant</w:t>
      </w:r>
      <w:r w:rsidRPr="003B147D">
        <w:t xml:space="preserve"> un accès libre et sécurisé aux locaux où sont installés les distributeurs automatiques, pendant les heures d'ouverture de l'établissement. </w:t>
      </w:r>
    </w:p>
    <w:p w14:paraId="676D7531" w14:textId="77777777" w:rsidR="005C1FA9" w:rsidRDefault="005C1FA9" w:rsidP="00905278"/>
    <w:p w14:paraId="1321DA55" w14:textId="6D61447B" w:rsidR="001117EC" w:rsidRDefault="002D4FA9" w:rsidP="003830FC">
      <w:pPr>
        <w:pStyle w:val="Titre3"/>
      </w:pPr>
      <w:bookmarkStart w:id="60" w:name="_Toc192771884"/>
      <w:r>
        <w:t xml:space="preserve">9.3 - </w:t>
      </w:r>
      <w:r w:rsidR="001117EC">
        <w:t>Exclusivité</w:t>
      </w:r>
      <w:bookmarkEnd w:id="60"/>
    </w:p>
    <w:p w14:paraId="68FB7E1C" w14:textId="77777777" w:rsidR="001117EC" w:rsidRDefault="001117EC" w:rsidP="00905278"/>
    <w:p w14:paraId="2BB4CFDF" w14:textId="77777777" w:rsidR="005C1FA9" w:rsidRDefault="003B147D" w:rsidP="00905278">
      <w:r w:rsidRPr="003B147D">
        <w:t xml:space="preserve">L'UTBM accorde </w:t>
      </w:r>
      <w:r w:rsidR="005C1FA9" w:rsidRPr="003B147D">
        <w:t>à l’occupant</w:t>
      </w:r>
      <w:r w:rsidRPr="003B147D">
        <w:t xml:space="preserve"> l'exclusivité de l'exploitation des distributeurs automatiques dans les locaux désignés. Aucun autre prestataire ne pourra installer ou exploiter des distributeurs automatiques dans ces locaux pendant la durée de la convention. </w:t>
      </w:r>
    </w:p>
    <w:p w14:paraId="167947E8" w14:textId="77777777" w:rsidR="005C1FA9" w:rsidRDefault="005C1FA9" w:rsidP="00905278"/>
    <w:p w14:paraId="0E870C39" w14:textId="218D8BEC" w:rsidR="005C69BB" w:rsidRDefault="003B147D" w:rsidP="00905278">
      <w:r w:rsidRPr="003B147D">
        <w:lastRenderedPageBreak/>
        <w:t xml:space="preserve">En cas de manquement à cette exclusivité, </w:t>
      </w:r>
      <w:r w:rsidR="005C1FA9" w:rsidRPr="003B147D">
        <w:t>l’occupant</w:t>
      </w:r>
      <w:r w:rsidRPr="003B147D">
        <w:t xml:space="preserve"> pourra demander une indemnisation ou la résiliation de la convention.</w:t>
      </w:r>
    </w:p>
    <w:p w14:paraId="7411D943" w14:textId="77777777" w:rsidR="005C69BB" w:rsidRDefault="005C69BB" w:rsidP="00905278"/>
    <w:p w14:paraId="0C28C9E1" w14:textId="77777777" w:rsidR="005C69BB" w:rsidRDefault="005C69BB" w:rsidP="00905278"/>
    <w:p w14:paraId="7D198CD7" w14:textId="174BC36A" w:rsidR="005C69BB" w:rsidRDefault="00E20EBB" w:rsidP="003830FC">
      <w:pPr>
        <w:pStyle w:val="Titre2"/>
      </w:pPr>
      <w:bookmarkStart w:id="61" w:name="_Toc192771885"/>
      <w:r>
        <w:t xml:space="preserve">Article </w:t>
      </w:r>
      <w:r w:rsidR="008D37A3">
        <w:t xml:space="preserve">10 - </w:t>
      </w:r>
      <w:r w:rsidR="005C69BB">
        <w:t xml:space="preserve">Pénalités </w:t>
      </w:r>
      <w:r w:rsidR="004170AC">
        <w:t>et résiliations</w:t>
      </w:r>
      <w:bookmarkEnd w:id="61"/>
    </w:p>
    <w:p w14:paraId="36618D93" w14:textId="77777777" w:rsidR="00BF09D2" w:rsidRDefault="00BF09D2" w:rsidP="00905278"/>
    <w:p w14:paraId="357A8BEB" w14:textId="77777777" w:rsidR="00BF09D2" w:rsidRDefault="00BF09D2" w:rsidP="00905278"/>
    <w:p w14:paraId="09EDEDE8" w14:textId="42ECA5D8" w:rsidR="002D4FA9" w:rsidRDefault="002D4FA9" w:rsidP="003830FC">
      <w:pPr>
        <w:pStyle w:val="Titre3"/>
      </w:pPr>
      <w:bookmarkStart w:id="62" w:name="_Toc192771886"/>
      <w:r>
        <w:t>10.1 - Modalités d’application</w:t>
      </w:r>
      <w:bookmarkEnd w:id="62"/>
    </w:p>
    <w:p w14:paraId="70806CCE" w14:textId="77777777" w:rsidR="00726380" w:rsidRDefault="00726380" w:rsidP="00905278"/>
    <w:p w14:paraId="02270F2F" w14:textId="246EB965" w:rsidR="008110FD" w:rsidRDefault="003B147D" w:rsidP="00905278">
      <w:r w:rsidRPr="003B147D">
        <w:t xml:space="preserve">Les pénalités seront appliquées après mise en demeure </w:t>
      </w:r>
      <w:r w:rsidR="00726380" w:rsidRPr="003B147D">
        <w:t>de l’occupant</w:t>
      </w:r>
      <w:r w:rsidRPr="003B147D">
        <w:t xml:space="preserve"> restée sans effet</w:t>
      </w:r>
      <w:r w:rsidR="008110FD">
        <w:t>, suivant les délais indiqués par l’UTBM en fonction des manquements constatés.</w:t>
      </w:r>
    </w:p>
    <w:p w14:paraId="145FE102" w14:textId="77777777" w:rsidR="008110FD" w:rsidRDefault="008110FD" w:rsidP="00905278"/>
    <w:p w14:paraId="7ED4064A" w14:textId="77777777" w:rsidR="008110FD" w:rsidRDefault="003B147D" w:rsidP="00905278">
      <w:r w:rsidRPr="003B147D">
        <w:t>La mise en demeure sera adressée par lettre recommandée avec accusé de réception ou tout autre moyen écrit permettant d'attester la date exacte de réception</w:t>
      </w:r>
      <w:r w:rsidR="008110FD">
        <w:t xml:space="preserve"> (ex : mail avec accusé de lecture)</w:t>
      </w:r>
      <w:r w:rsidRPr="003B147D">
        <w:t xml:space="preserve">. </w:t>
      </w:r>
    </w:p>
    <w:p w14:paraId="19B7560F" w14:textId="77777777" w:rsidR="008110FD" w:rsidRDefault="008110FD" w:rsidP="00905278"/>
    <w:p w14:paraId="47072EE3" w14:textId="3D57762F" w:rsidR="00BF09D2" w:rsidRDefault="003B147D" w:rsidP="00905278">
      <w:r w:rsidRPr="003B147D">
        <w:t>Les pénalités seront calculées à partir du premier jour suivant l'expiration du délai de mise en demeure et jusqu'à la cessation du manquement. Le montant des pénalités fera l'objet d'une facturation séparée.</w:t>
      </w:r>
    </w:p>
    <w:p w14:paraId="5341EACB" w14:textId="77777777" w:rsidR="00BF09D2" w:rsidRDefault="00BF09D2" w:rsidP="00905278"/>
    <w:p w14:paraId="0468597F" w14:textId="77777777" w:rsidR="00BF09D2" w:rsidRDefault="00BF09D2" w:rsidP="00905278"/>
    <w:p w14:paraId="6DC7E46B" w14:textId="59013306" w:rsidR="005C69BB" w:rsidRDefault="002D4FA9" w:rsidP="003830FC">
      <w:pPr>
        <w:pStyle w:val="Titre3"/>
      </w:pPr>
      <w:bookmarkStart w:id="63" w:name="_Toc192771887"/>
      <w:r>
        <w:t xml:space="preserve">10.2 </w:t>
      </w:r>
      <w:r w:rsidR="008110FD">
        <w:t>–</w:t>
      </w:r>
      <w:r>
        <w:t xml:space="preserve"> </w:t>
      </w:r>
      <w:r w:rsidR="008110FD">
        <w:t>Pénalités applicables</w:t>
      </w:r>
      <w:bookmarkEnd w:id="63"/>
    </w:p>
    <w:p w14:paraId="119D2DE2" w14:textId="77777777" w:rsidR="00BF09D2" w:rsidRDefault="00BF09D2" w:rsidP="005C69BB"/>
    <w:p w14:paraId="0D4AB457" w14:textId="3D7A3636" w:rsidR="008110FD" w:rsidRDefault="003B147D" w:rsidP="005C69BB">
      <w:r w:rsidRPr="003B147D">
        <w:t xml:space="preserve">En cas de non-respect des obligations contractuelles, </w:t>
      </w:r>
      <w:r w:rsidR="008110FD" w:rsidRPr="003B147D">
        <w:t>l’occupant</w:t>
      </w:r>
      <w:r w:rsidRPr="003B147D">
        <w:t xml:space="preserve"> encourt </w:t>
      </w:r>
      <w:r w:rsidR="008110FD">
        <w:t>l</w:t>
      </w:r>
      <w:r w:rsidRPr="003B147D">
        <w:t xml:space="preserve">es pénalités </w:t>
      </w:r>
      <w:r w:rsidR="008110FD">
        <w:t>forfaitaires suivantes.</w:t>
      </w:r>
    </w:p>
    <w:p w14:paraId="5366EECD" w14:textId="77777777" w:rsidR="008110FD" w:rsidRDefault="008110FD" w:rsidP="005C69BB"/>
    <w:tbl>
      <w:tblPr>
        <w:tblStyle w:val="Grilledutableau"/>
        <w:tblW w:w="0" w:type="auto"/>
        <w:tblLook w:val="04A0" w:firstRow="1" w:lastRow="0" w:firstColumn="1" w:lastColumn="0" w:noHBand="0" w:noVBand="1"/>
      </w:tblPr>
      <w:tblGrid>
        <w:gridCol w:w="4530"/>
        <w:gridCol w:w="4530"/>
      </w:tblGrid>
      <w:tr w:rsidR="008110FD" w14:paraId="041F4228" w14:textId="77777777" w:rsidTr="0009308A">
        <w:tc>
          <w:tcPr>
            <w:tcW w:w="4530" w:type="dxa"/>
            <w:vAlign w:val="center"/>
          </w:tcPr>
          <w:p w14:paraId="1D3FBE28" w14:textId="61352A91" w:rsidR="008110FD" w:rsidRDefault="0009308A" w:rsidP="0009308A">
            <w:pPr>
              <w:jc w:val="left"/>
            </w:pPr>
            <w:r>
              <w:t>Manquement aux obligations contractuelles ou réglementaires</w:t>
            </w:r>
          </w:p>
        </w:tc>
        <w:tc>
          <w:tcPr>
            <w:tcW w:w="4530" w:type="dxa"/>
            <w:vAlign w:val="center"/>
          </w:tcPr>
          <w:p w14:paraId="316ED647" w14:textId="14F7A4DA" w:rsidR="008110FD" w:rsidRDefault="0009308A" w:rsidP="0009308A">
            <w:pPr>
              <w:jc w:val="left"/>
            </w:pPr>
            <w:r>
              <w:t>150 euros par constat au-delà de 3 constats</w:t>
            </w:r>
          </w:p>
        </w:tc>
      </w:tr>
      <w:tr w:rsidR="008110FD" w14:paraId="2ED53768" w14:textId="77777777" w:rsidTr="0009308A">
        <w:tc>
          <w:tcPr>
            <w:tcW w:w="4530" w:type="dxa"/>
            <w:vAlign w:val="center"/>
          </w:tcPr>
          <w:p w14:paraId="3E399C46" w14:textId="3AB8846C" w:rsidR="008110FD" w:rsidRDefault="0009308A" w:rsidP="0009308A">
            <w:pPr>
              <w:jc w:val="left"/>
            </w:pPr>
            <w:r w:rsidRPr="003B147D">
              <w:t>Manquement</w:t>
            </w:r>
            <w:r w:rsidR="008110FD" w:rsidRPr="003B147D">
              <w:t xml:space="preserve"> aux obligations de maintenance et d'entretien</w:t>
            </w:r>
          </w:p>
        </w:tc>
        <w:tc>
          <w:tcPr>
            <w:tcW w:w="4530" w:type="dxa"/>
            <w:vAlign w:val="center"/>
          </w:tcPr>
          <w:p w14:paraId="432CF58F" w14:textId="0664D4D0" w:rsidR="008110FD" w:rsidRDefault="008110FD" w:rsidP="0009308A">
            <w:pPr>
              <w:jc w:val="left"/>
            </w:pPr>
            <w:r>
              <w:t>100 euros par jour de retard</w:t>
            </w:r>
          </w:p>
        </w:tc>
      </w:tr>
      <w:tr w:rsidR="008110FD" w14:paraId="5A8AC881" w14:textId="77777777" w:rsidTr="0009308A">
        <w:tc>
          <w:tcPr>
            <w:tcW w:w="4530" w:type="dxa"/>
            <w:vAlign w:val="center"/>
          </w:tcPr>
          <w:p w14:paraId="44BB5D0F" w14:textId="140C162A" w:rsidR="008110FD" w:rsidRDefault="0009308A" w:rsidP="0009308A">
            <w:pPr>
              <w:jc w:val="left"/>
            </w:pPr>
            <w:r w:rsidRPr="003B147D">
              <w:t>Défaut</w:t>
            </w:r>
            <w:r w:rsidR="008110FD" w:rsidRPr="003B147D">
              <w:t xml:space="preserve"> d’entretien ou de réparation</w:t>
            </w:r>
          </w:p>
        </w:tc>
        <w:tc>
          <w:tcPr>
            <w:tcW w:w="4530" w:type="dxa"/>
            <w:vAlign w:val="center"/>
          </w:tcPr>
          <w:p w14:paraId="62EDDED7" w14:textId="7B88CA6F" w:rsidR="008110FD" w:rsidRDefault="0009308A" w:rsidP="0009308A">
            <w:pPr>
              <w:jc w:val="left"/>
            </w:pPr>
            <w:r w:rsidRPr="003B147D">
              <w:t>Délai</w:t>
            </w:r>
            <w:r w:rsidR="008110FD" w:rsidRPr="003B147D">
              <w:t xml:space="preserve"> de 72 heures pour remédier à la situation</w:t>
            </w:r>
            <w:r w:rsidR="008110FD">
              <w:t xml:space="preserve">, puis </w:t>
            </w:r>
            <w:r w:rsidR="008110FD" w:rsidRPr="003B147D">
              <w:t>pénalité de 150 euros par jour de retard</w:t>
            </w:r>
          </w:p>
        </w:tc>
      </w:tr>
      <w:tr w:rsidR="0009308A" w14:paraId="232535C0" w14:textId="77777777" w:rsidTr="0009308A">
        <w:tc>
          <w:tcPr>
            <w:tcW w:w="4530" w:type="dxa"/>
            <w:vAlign w:val="center"/>
          </w:tcPr>
          <w:p w14:paraId="0E47823B" w14:textId="5DC5FA65" w:rsidR="0009308A" w:rsidRPr="003B147D" w:rsidRDefault="0009308A" w:rsidP="0009308A">
            <w:pPr>
              <w:jc w:val="left"/>
            </w:pPr>
            <w:r>
              <w:t>Problèmes récurrents / Non-résolution en cas d’incidents techniques</w:t>
            </w:r>
          </w:p>
        </w:tc>
        <w:tc>
          <w:tcPr>
            <w:tcW w:w="4530" w:type="dxa"/>
            <w:vAlign w:val="center"/>
          </w:tcPr>
          <w:p w14:paraId="685BC1C3" w14:textId="390F017D" w:rsidR="0009308A" w:rsidRPr="003B147D" w:rsidRDefault="0009308A" w:rsidP="0009308A">
            <w:pPr>
              <w:jc w:val="left"/>
            </w:pPr>
            <w:r>
              <w:t xml:space="preserve">200 euros par constat </w:t>
            </w:r>
          </w:p>
        </w:tc>
      </w:tr>
      <w:tr w:rsidR="008110FD" w14:paraId="47EF2023" w14:textId="77777777" w:rsidTr="0009308A">
        <w:tc>
          <w:tcPr>
            <w:tcW w:w="4530" w:type="dxa"/>
            <w:vAlign w:val="center"/>
          </w:tcPr>
          <w:p w14:paraId="193AD402" w14:textId="5747C0EA" w:rsidR="008110FD" w:rsidRDefault="0009308A" w:rsidP="0009308A">
            <w:pPr>
              <w:jc w:val="left"/>
            </w:pPr>
            <w:r w:rsidRPr="003B147D">
              <w:t>Défaut</w:t>
            </w:r>
            <w:r w:rsidR="008110FD" w:rsidRPr="003B147D">
              <w:t xml:space="preserve"> d’approvisionnement des distributeurs</w:t>
            </w:r>
          </w:p>
        </w:tc>
        <w:tc>
          <w:tcPr>
            <w:tcW w:w="4530" w:type="dxa"/>
            <w:vAlign w:val="center"/>
          </w:tcPr>
          <w:p w14:paraId="00E40DB9" w14:textId="2CBC13F5" w:rsidR="008110FD" w:rsidRDefault="0009308A" w:rsidP="0009308A">
            <w:pPr>
              <w:jc w:val="left"/>
            </w:pPr>
            <w:r w:rsidRPr="003B147D">
              <w:t>Délai</w:t>
            </w:r>
            <w:r w:rsidR="008110FD" w:rsidRPr="003B147D">
              <w:t xml:space="preserve"> de </w:t>
            </w:r>
            <w:r w:rsidR="008110FD">
              <w:t>48</w:t>
            </w:r>
            <w:r w:rsidR="008110FD" w:rsidRPr="003B147D">
              <w:t xml:space="preserve"> heures pour remédier à la situation</w:t>
            </w:r>
            <w:r w:rsidR="008110FD">
              <w:t xml:space="preserve">, puis </w:t>
            </w:r>
            <w:r w:rsidR="008110FD" w:rsidRPr="003B147D">
              <w:t>pénalité de 150 euros par jour de retard</w:t>
            </w:r>
          </w:p>
        </w:tc>
      </w:tr>
      <w:tr w:rsidR="0009308A" w14:paraId="297707BF" w14:textId="77777777" w:rsidTr="0009308A">
        <w:tc>
          <w:tcPr>
            <w:tcW w:w="4530" w:type="dxa"/>
            <w:vAlign w:val="center"/>
          </w:tcPr>
          <w:p w14:paraId="73C73218" w14:textId="2CACAA86" w:rsidR="0009308A" w:rsidRPr="003B147D" w:rsidRDefault="0009308A" w:rsidP="0009308A">
            <w:pPr>
              <w:jc w:val="left"/>
            </w:pPr>
            <w:r>
              <w:t>Traitement des réclamations</w:t>
            </w:r>
          </w:p>
        </w:tc>
        <w:tc>
          <w:tcPr>
            <w:tcW w:w="4530" w:type="dxa"/>
            <w:vAlign w:val="center"/>
          </w:tcPr>
          <w:p w14:paraId="3BD9B163" w14:textId="454321BE" w:rsidR="0009308A" w:rsidRPr="003B147D" w:rsidRDefault="0009308A" w:rsidP="0009308A">
            <w:pPr>
              <w:jc w:val="left"/>
            </w:pPr>
            <w:r w:rsidRPr="003B147D">
              <w:t xml:space="preserve">Délai de </w:t>
            </w:r>
            <w:r>
              <w:t>48</w:t>
            </w:r>
            <w:r w:rsidRPr="003B147D">
              <w:t xml:space="preserve"> heures pour remédier à la situation</w:t>
            </w:r>
            <w:r>
              <w:t xml:space="preserve">, puis </w:t>
            </w:r>
            <w:r w:rsidRPr="003B147D">
              <w:t>pénalité de 50 euros par jour de retard</w:t>
            </w:r>
          </w:p>
        </w:tc>
      </w:tr>
      <w:tr w:rsidR="008110FD" w14:paraId="642F4D3A" w14:textId="77777777" w:rsidTr="0009308A">
        <w:tc>
          <w:tcPr>
            <w:tcW w:w="4530" w:type="dxa"/>
            <w:vAlign w:val="center"/>
          </w:tcPr>
          <w:p w14:paraId="3BB0C5D1" w14:textId="29BB4077" w:rsidR="008110FD" w:rsidRDefault="008110FD" w:rsidP="0009308A">
            <w:pPr>
              <w:jc w:val="left"/>
            </w:pPr>
            <w:r>
              <w:t xml:space="preserve">Transmission des </w:t>
            </w:r>
            <w:proofErr w:type="spellStart"/>
            <w:r>
              <w:t>reporting</w:t>
            </w:r>
            <w:proofErr w:type="spellEnd"/>
            <w:r w:rsidR="0009308A">
              <w:t xml:space="preserve"> (rapports sur le chiffre d’affaires, rapport annuel d’activité certifié)</w:t>
            </w:r>
          </w:p>
        </w:tc>
        <w:tc>
          <w:tcPr>
            <w:tcW w:w="4530" w:type="dxa"/>
            <w:vAlign w:val="center"/>
          </w:tcPr>
          <w:p w14:paraId="07A1C5D6" w14:textId="2152C5E0" w:rsidR="008110FD" w:rsidRDefault="0009308A" w:rsidP="0009308A">
            <w:pPr>
              <w:jc w:val="left"/>
            </w:pPr>
            <w:r>
              <w:t xml:space="preserve">Pénalité de 50 jours par jour de retard à compter du dépassement des délais fixés à la présente convention </w:t>
            </w:r>
          </w:p>
        </w:tc>
      </w:tr>
      <w:tr w:rsidR="008110FD" w14:paraId="6AD8125C" w14:textId="77777777" w:rsidTr="0009308A">
        <w:tc>
          <w:tcPr>
            <w:tcW w:w="4530" w:type="dxa"/>
            <w:vAlign w:val="center"/>
          </w:tcPr>
          <w:p w14:paraId="05B2838A" w14:textId="2F422BB0" w:rsidR="008110FD" w:rsidRDefault="008110FD" w:rsidP="0009308A">
            <w:pPr>
              <w:jc w:val="left"/>
            </w:pPr>
            <w:r>
              <w:t>Retrait des distributeurs</w:t>
            </w:r>
          </w:p>
        </w:tc>
        <w:tc>
          <w:tcPr>
            <w:tcW w:w="4530" w:type="dxa"/>
            <w:vAlign w:val="center"/>
          </w:tcPr>
          <w:p w14:paraId="2C6CF3F7" w14:textId="46CD606E" w:rsidR="008110FD" w:rsidRDefault="0009308A" w:rsidP="0009308A">
            <w:pPr>
              <w:jc w:val="left"/>
            </w:pPr>
            <w:r w:rsidRPr="003B147D">
              <w:t>L’occupant</w:t>
            </w:r>
            <w:r w:rsidR="008110FD" w:rsidRPr="003B147D">
              <w:t xml:space="preserve"> doit retirer les distributeurs dans un délai de 15 jours à compter de la date de résiliation. En cas de retard, une pénalité de 100 euros par jour de retard sera appliquée. Si le retard excède 30 jours, l’UTBM pourra faire procéder au retrait des distributeurs aux frais de l'occupant.</w:t>
            </w:r>
          </w:p>
        </w:tc>
      </w:tr>
    </w:tbl>
    <w:p w14:paraId="0F088081" w14:textId="77777777" w:rsidR="005C69BB" w:rsidRDefault="005C69BB" w:rsidP="005C69BB"/>
    <w:p w14:paraId="0D010AED" w14:textId="77777777" w:rsidR="00BF09D2" w:rsidRDefault="00BF09D2" w:rsidP="00215E22"/>
    <w:p w14:paraId="14501A25" w14:textId="748FC31F" w:rsidR="00215E22" w:rsidRDefault="008B5099" w:rsidP="003830FC">
      <w:pPr>
        <w:pStyle w:val="Titre3"/>
      </w:pPr>
      <w:bookmarkStart w:id="64" w:name="_Toc192771888"/>
      <w:r>
        <w:t>1</w:t>
      </w:r>
      <w:r w:rsidR="004170AC">
        <w:t>0</w:t>
      </w:r>
      <w:r>
        <w:t>.</w:t>
      </w:r>
      <w:r w:rsidR="004170AC">
        <w:t>3</w:t>
      </w:r>
      <w:r>
        <w:t xml:space="preserve"> - </w:t>
      </w:r>
      <w:r w:rsidR="00215E22">
        <w:t>Modalités de résiliation</w:t>
      </w:r>
      <w:bookmarkEnd w:id="64"/>
    </w:p>
    <w:p w14:paraId="1698D055" w14:textId="77777777" w:rsidR="00BF09D2" w:rsidRDefault="00BF09D2" w:rsidP="00215E22"/>
    <w:p w14:paraId="06BF9F9D" w14:textId="77777777" w:rsidR="00D97FAC" w:rsidRDefault="003B147D" w:rsidP="00215E22">
      <w:r w:rsidRPr="003B147D">
        <w:t xml:space="preserve">La résiliation de la convention doit être notifiée par lettre recommandée avec accusé de réception. La notification doit préciser les motifs de la résiliation et la date à laquelle elle prend effet. </w:t>
      </w:r>
    </w:p>
    <w:p w14:paraId="3D57C0CA" w14:textId="77777777" w:rsidR="00D97FAC" w:rsidRDefault="00D97FAC" w:rsidP="00215E22"/>
    <w:p w14:paraId="7B21621B" w14:textId="005AFAE5" w:rsidR="00BF09D2" w:rsidRDefault="003B147D" w:rsidP="00215E22">
      <w:r w:rsidRPr="003B147D">
        <w:t>En cas de résiliation pour faute, un délai de préavis de 30 jours est accordé à l'occupant pour remédier aux manquements constatés, sauf en cas de faute grave.</w:t>
      </w:r>
    </w:p>
    <w:p w14:paraId="65D93264" w14:textId="77777777" w:rsidR="00BF09D2" w:rsidRDefault="00BF09D2" w:rsidP="00215E22"/>
    <w:p w14:paraId="6007B171" w14:textId="368EE49E" w:rsidR="00215E22" w:rsidRDefault="008B5099" w:rsidP="003830FC">
      <w:pPr>
        <w:pStyle w:val="Titre3"/>
      </w:pPr>
      <w:bookmarkStart w:id="65" w:name="_Toc192771889"/>
      <w:r>
        <w:t>1</w:t>
      </w:r>
      <w:r w:rsidR="004170AC">
        <w:t>0</w:t>
      </w:r>
      <w:r>
        <w:t>.</w:t>
      </w:r>
      <w:r w:rsidR="004170AC">
        <w:t>4</w:t>
      </w:r>
      <w:r>
        <w:t xml:space="preserve"> - </w:t>
      </w:r>
      <w:r w:rsidR="00215E22">
        <w:t>Résiliation pour faute</w:t>
      </w:r>
      <w:bookmarkEnd w:id="65"/>
    </w:p>
    <w:p w14:paraId="118C9E74" w14:textId="77777777" w:rsidR="00D97FAC" w:rsidRDefault="00D97FAC" w:rsidP="00215E22"/>
    <w:p w14:paraId="3796CA13" w14:textId="64A32090" w:rsidR="00BF09D2" w:rsidRDefault="003B147D" w:rsidP="00215E22">
      <w:r w:rsidRPr="003B147D">
        <w:t>En cas de manquement grave ou répété aux obligations contractuelles, l’UTBM peut résilier la convention pour faute. La résiliation pour faute n’ouvre droit à aucune indemnité pour l'occupant.</w:t>
      </w:r>
    </w:p>
    <w:p w14:paraId="5E1601DE" w14:textId="0FB2185E" w:rsidR="00BF09D2" w:rsidRDefault="008B5099" w:rsidP="003830FC">
      <w:pPr>
        <w:pStyle w:val="Titre3"/>
      </w:pPr>
      <w:bookmarkStart w:id="66" w:name="_Toc192771890"/>
      <w:r>
        <w:lastRenderedPageBreak/>
        <w:t>1</w:t>
      </w:r>
      <w:r w:rsidR="004170AC">
        <w:t>0</w:t>
      </w:r>
      <w:r>
        <w:t>.</w:t>
      </w:r>
      <w:r w:rsidR="004170AC">
        <w:t>5</w:t>
      </w:r>
      <w:r>
        <w:t xml:space="preserve"> - </w:t>
      </w:r>
      <w:r w:rsidR="00215E22">
        <w:t>Résiliation pour motif d’intérêt général</w:t>
      </w:r>
      <w:bookmarkEnd w:id="66"/>
      <w:r w:rsidR="00215E22">
        <w:t xml:space="preserve"> </w:t>
      </w:r>
    </w:p>
    <w:p w14:paraId="33BF34E6" w14:textId="77777777" w:rsidR="00BF09D2" w:rsidRDefault="00BF09D2" w:rsidP="00215E22"/>
    <w:p w14:paraId="149D3A7C" w14:textId="61251B90" w:rsidR="00BF09D2" w:rsidRDefault="003B147D" w:rsidP="00215E22">
      <w:r w:rsidRPr="003B147D">
        <w:t>L’UTBM peut résilier la convention pour motif d’intérêt général, avec un préavis de trois mois. L'occupant a droit à une indemnisation couvrant les investissements non amortis et le manque à gagner, sur présentation de justificatifs.</w:t>
      </w:r>
    </w:p>
    <w:p w14:paraId="51879042" w14:textId="77777777" w:rsidR="003B147D" w:rsidRDefault="003B147D" w:rsidP="00215E22"/>
    <w:p w14:paraId="03BDD9A0" w14:textId="0F345DA5" w:rsidR="00215E22" w:rsidRDefault="008B5099" w:rsidP="003830FC">
      <w:pPr>
        <w:pStyle w:val="Titre3"/>
      </w:pPr>
      <w:bookmarkStart w:id="67" w:name="_Toc192771891"/>
      <w:r>
        <w:t>1</w:t>
      </w:r>
      <w:r w:rsidR="004170AC">
        <w:t>0</w:t>
      </w:r>
      <w:r>
        <w:t>.</w:t>
      </w:r>
      <w:r w:rsidR="004170AC">
        <w:t>6</w:t>
      </w:r>
      <w:r>
        <w:t xml:space="preserve"> - </w:t>
      </w:r>
      <w:r w:rsidR="00215E22">
        <w:t>Résiliation de plein droit</w:t>
      </w:r>
      <w:bookmarkEnd w:id="67"/>
      <w:r w:rsidR="00215E22">
        <w:t xml:space="preserve"> </w:t>
      </w:r>
    </w:p>
    <w:p w14:paraId="1DF05026" w14:textId="77777777" w:rsidR="00215E22" w:rsidRDefault="00215E22" w:rsidP="005C69BB"/>
    <w:p w14:paraId="64B47EEC" w14:textId="7B1D2496" w:rsidR="00D97FAC" w:rsidRDefault="003B147D" w:rsidP="005C69BB">
      <w:r w:rsidRPr="003B147D">
        <w:t>La convention peut être résiliée de plein droit en cas de liquidation judiciaire de l'occupant, de destruction des locaux par cas fortuit ou force majeure, ou de désaccord sur la nouvelle grille tarifaire proposée par l'occupant.</w:t>
      </w:r>
    </w:p>
    <w:p w14:paraId="49ED4C88" w14:textId="7B760EA7" w:rsidR="00215E22" w:rsidRDefault="003B147D" w:rsidP="005C69BB">
      <w:r w:rsidRPr="003B147D">
        <w:t>La résiliation de plein droit prend effet immédiatement.</w:t>
      </w:r>
    </w:p>
    <w:p w14:paraId="0005EDDB" w14:textId="77777777" w:rsidR="003B147D" w:rsidRPr="005C69BB" w:rsidRDefault="003B147D" w:rsidP="005C69BB"/>
    <w:p w14:paraId="22CB0F96" w14:textId="03E29EF1" w:rsidR="005C69BB" w:rsidRDefault="00E20EBB" w:rsidP="003830FC">
      <w:pPr>
        <w:pStyle w:val="Titre2"/>
      </w:pPr>
      <w:bookmarkStart w:id="68" w:name="_Toc192771892"/>
      <w:r>
        <w:t>Article</w:t>
      </w:r>
      <w:r w:rsidRPr="005C69BB">
        <w:t xml:space="preserve"> </w:t>
      </w:r>
      <w:r w:rsidR="008D37A3">
        <w:t>1</w:t>
      </w:r>
      <w:r w:rsidR="004170AC">
        <w:t>1</w:t>
      </w:r>
      <w:r w:rsidR="008D37A3">
        <w:t xml:space="preserve"> - </w:t>
      </w:r>
      <w:r w:rsidR="005C69BB" w:rsidRPr="005C69BB">
        <w:t>Dispositions diverses</w:t>
      </w:r>
      <w:bookmarkEnd w:id="68"/>
    </w:p>
    <w:p w14:paraId="22674462" w14:textId="77777777" w:rsidR="00BF09D2" w:rsidRDefault="00BF09D2" w:rsidP="005C69BB"/>
    <w:p w14:paraId="00E06D3C" w14:textId="77777777" w:rsidR="00BF09D2" w:rsidRPr="005C69BB" w:rsidRDefault="00BF09D2" w:rsidP="005C69BB"/>
    <w:p w14:paraId="6321AF47" w14:textId="76C5EBD6" w:rsidR="005C69BB" w:rsidRDefault="008B5099" w:rsidP="003830FC">
      <w:pPr>
        <w:pStyle w:val="Titre3"/>
      </w:pPr>
      <w:bookmarkStart w:id="69" w:name="_Toc192771893"/>
      <w:r>
        <w:t>1</w:t>
      </w:r>
      <w:r w:rsidR="004170AC">
        <w:t>1</w:t>
      </w:r>
      <w:r>
        <w:t xml:space="preserve">.1 - </w:t>
      </w:r>
      <w:r w:rsidR="005C69BB" w:rsidRPr="005C69BB">
        <w:t>Cession et sous-location</w:t>
      </w:r>
      <w:bookmarkEnd w:id="69"/>
    </w:p>
    <w:p w14:paraId="5E492CF6" w14:textId="77777777" w:rsidR="00BF09D2" w:rsidRDefault="00BF09D2" w:rsidP="005C69BB"/>
    <w:p w14:paraId="2269FBD3" w14:textId="341A4024" w:rsidR="003B147D" w:rsidRDefault="004170AC" w:rsidP="005C69BB">
      <w:r w:rsidRPr="003B147D">
        <w:t>L’occupant</w:t>
      </w:r>
      <w:r w:rsidR="003B147D" w:rsidRPr="003B147D">
        <w:t xml:space="preserve"> de la convention ne peut céder, transférer ou sous-louer tout ou partie de ses droits et obligations découlant de la présente convention sans l'accord préalable et écrit de l'UTBM. Toute demande de cession ou de sous-location doit être formulée par écrit et adressée à l'UTBM, accompagnée des justificatifs nécessaires concernant le cessionnaire ou le sous-locataire proposé. En cas de cession ou de sous-location non autorisée, l'UTBM se réserve le droit de résilier la convention aux torts exclusifs </w:t>
      </w:r>
      <w:r w:rsidRPr="003B147D">
        <w:t>de l’occupant</w:t>
      </w:r>
      <w:r w:rsidR="003B147D" w:rsidRPr="003B147D">
        <w:t>, sans préavis ni indemnité.</w:t>
      </w:r>
    </w:p>
    <w:p w14:paraId="432031AB" w14:textId="77777777" w:rsidR="00BF09D2" w:rsidRPr="005C69BB" w:rsidRDefault="00BF09D2" w:rsidP="005C69BB"/>
    <w:p w14:paraId="1E4E2311" w14:textId="5CDBA99D" w:rsidR="005C69BB" w:rsidRDefault="008B5099" w:rsidP="003830FC">
      <w:pPr>
        <w:pStyle w:val="Titre3"/>
      </w:pPr>
      <w:bookmarkStart w:id="70" w:name="_Toc192771894"/>
      <w:r>
        <w:t>1</w:t>
      </w:r>
      <w:r w:rsidR="004170AC">
        <w:t>1</w:t>
      </w:r>
      <w:r>
        <w:t xml:space="preserve">.2 - </w:t>
      </w:r>
      <w:r w:rsidR="005C69BB" w:rsidRPr="005C69BB">
        <w:t>Modification de la convention</w:t>
      </w:r>
      <w:bookmarkEnd w:id="70"/>
    </w:p>
    <w:p w14:paraId="37136BD7" w14:textId="77777777" w:rsidR="00BF09D2" w:rsidRDefault="00BF09D2" w:rsidP="005C69BB"/>
    <w:p w14:paraId="129C7960" w14:textId="05D64B16" w:rsidR="00BF09D2" w:rsidRDefault="003B147D" w:rsidP="005C69BB">
      <w:r w:rsidRPr="003B147D">
        <w:t>Toute modification de la présente convention doit faire l'objet d'un avenant signé par les deux parties. Les demandes de modification doivent être formulées par écrit et justifiées. L'UTBM se réserve le droit de refuser toute modification qui ne serait pas conforme à ses intérêts ou à la réglementation en vigueur. Les modifications ne prennent effet qu'à compter de la date de signature de l'avenant par les deux parties ou à la date indiquée dans l'avenant.</w:t>
      </w:r>
    </w:p>
    <w:p w14:paraId="64D7F12C" w14:textId="77777777" w:rsidR="00BF09D2" w:rsidRDefault="00BF09D2" w:rsidP="005C69BB"/>
    <w:p w14:paraId="0A240B8E" w14:textId="2DA1E8E9" w:rsidR="00860337" w:rsidRDefault="008B5099" w:rsidP="003830FC">
      <w:pPr>
        <w:pStyle w:val="Titre3"/>
      </w:pPr>
      <w:bookmarkStart w:id="71" w:name="_Toc192771895"/>
      <w:r>
        <w:t>1</w:t>
      </w:r>
      <w:r w:rsidR="004170AC">
        <w:t>1</w:t>
      </w:r>
      <w:r>
        <w:t xml:space="preserve">.3 - </w:t>
      </w:r>
      <w:r w:rsidR="00860337">
        <w:t>Propriété</w:t>
      </w:r>
      <w:bookmarkEnd w:id="71"/>
      <w:r w:rsidR="00625207">
        <w:t xml:space="preserve"> </w:t>
      </w:r>
    </w:p>
    <w:p w14:paraId="4D306F43" w14:textId="77777777" w:rsidR="00BF09D2" w:rsidRDefault="00BF09D2" w:rsidP="005C69BB"/>
    <w:p w14:paraId="048D4487" w14:textId="53834012" w:rsidR="00BF09D2" w:rsidRDefault="003B147D" w:rsidP="003B147D">
      <w:r>
        <w:t xml:space="preserve">Les distributeurs automatiques installés dans les locaux de l'UTBM demeurent la propriété exclusive </w:t>
      </w:r>
      <w:r w:rsidR="004170AC">
        <w:t>de l’occupant</w:t>
      </w:r>
      <w:r>
        <w:t xml:space="preserve">. Chaque appareil doit être clairement identifié par une plaque indiquant le nom </w:t>
      </w:r>
      <w:r w:rsidR="004170AC">
        <w:t>de l’occupant</w:t>
      </w:r>
      <w:r>
        <w:t xml:space="preserve">, ses coordonnées et un numéro d'identification unique. </w:t>
      </w:r>
      <w:r w:rsidR="004170AC">
        <w:t>L’occupant</w:t>
      </w:r>
      <w:r>
        <w:t xml:space="preserve"> est responsable de l'entretien, de la maintenance et du bon fonctionnement des appareils. En cas de résiliation de la convention, </w:t>
      </w:r>
      <w:r w:rsidR="004170AC">
        <w:t>l’occupant</w:t>
      </w:r>
      <w:r>
        <w:t xml:space="preserve"> s'engage à retirer ses distributeurs dans un délai de trente jours, sous peine de pénalités.</w:t>
      </w:r>
    </w:p>
    <w:p w14:paraId="49365901" w14:textId="77777777" w:rsidR="005C69BB" w:rsidRPr="005C69BB" w:rsidRDefault="005C69BB" w:rsidP="005C69BB"/>
    <w:p w14:paraId="36A408B6" w14:textId="2A9A4C4B" w:rsidR="005C69BB" w:rsidRDefault="00E20EBB" w:rsidP="003830FC">
      <w:pPr>
        <w:pStyle w:val="Titre2"/>
      </w:pPr>
      <w:bookmarkStart w:id="72" w:name="_Toc192771896"/>
      <w:r>
        <w:t>Article</w:t>
      </w:r>
      <w:r w:rsidRPr="005C69BB">
        <w:t xml:space="preserve"> </w:t>
      </w:r>
      <w:r w:rsidR="008D37A3">
        <w:t>1</w:t>
      </w:r>
      <w:r w:rsidR="004170AC">
        <w:t>2</w:t>
      </w:r>
      <w:r w:rsidR="008D37A3">
        <w:t xml:space="preserve"> - </w:t>
      </w:r>
      <w:r w:rsidR="005C69BB" w:rsidRPr="005C69BB">
        <w:t>Litiges et contentieux</w:t>
      </w:r>
      <w:bookmarkEnd w:id="72"/>
    </w:p>
    <w:p w14:paraId="40C31090" w14:textId="77777777" w:rsidR="00BF09D2" w:rsidRDefault="00BF09D2" w:rsidP="005C69BB"/>
    <w:p w14:paraId="46F47DB8" w14:textId="6D3DE3E7" w:rsidR="00D97FAC" w:rsidRDefault="00D97FAC" w:rsidP="004170AC">
      <w:r w:rsidRPr="003B147D">
        <w:t xml:space="preserve">Les dispositions de la présente convention sont régies par le droit français. En cas de litige, les parties s’efforceront de trouver une solution amiable. </w:t>
      </w:r>
    </w:p>
    <w:p w14:paraId="3CE82307" w14:textId="77777777" w:rsidR="00BF09D2" w:rsidRDefault="00BF09D2" w:rsidP="005C69BB"/>
    <w:p w14:paraId="4C77C8F9" w14:textId="174866FF" w:rsidR="00625207" w:rsidRDefault="008B5099" w:rsidP="003830FC">
      <w:pPr>
        <w:pStyle w:val="Titre3"/>
      </w:pPr>
      <w:bookmarkStart w:id="73" w:name="_Toc192771897"/>
      <w:r>
        <w:t>1</w:t>
      </w:r>
      <w:r w:rsidR="004170AC">
        <w:t>2</w:t>
      </w:r>
      <w:r>
        <w:t xml:space="preserve">.1 - </w:t>
      </w:r>
      <w:r w:rsidR="00625207">
        <w:t xml:space="preserve">Contentieux entre </w:t>
      </w:r>
      <w:r w:rsidR="002720CF">
        <w:t>occupant</w:t>
      </w:r>
      <w:r w:rsidR="00625207">
        <w:t xml:space="preserve"> et un usager / consommateur</w:t>
      </w:r>
      <w:bookmarkEnd w:id="73"/>
      <w:r w:rsidR="00625207">
        <w:t xml:space="preserve"> </w:t>
      </w:r>
    </w:p>
    <w:p w14:paraId="5EFA83B3" w14:textId="77777777" w:rsidR="004170AC" w:rsidRDefault="004170AC" w:rsidP="005C69BB"/>
    <w:p w14:paraId="72E2E17D" w14:textId="7439A27E" w:rsidR="00BF09D2" w:rsidRDefault="003B147D" w:rsidP="005C69BB">
      <w:r w:rsidRPr="003B147D">
        <w:t xml:space="preserve">En cas de litige entre </w:t>
      </w:r>
      <w:r w:rsidR="004170AC" w:rsidRPr="003B147D">
        <w:t>l’occupant</w:t>
      </w:r>
      <w:r w:rsidRPr="003B147D">
        <w:t xml:space="preserve"> et un usager ou consommateur, l</w:t>
      </w:r>
      <w:r w:rsidR="004170AC">
        <w:t>’</w:t>
      </w:r>
      <w:r w:rsidR="002720CF">
        <w:t>occupant</w:t>
      </w:r>
      <w:r w:rsidRPr="003B147D">
        <w:t xml:space="preserve"> s'engage à </w:t>
      </w:r>
      <w:r w:rsidR="004170AC">
        <w:t>résoudre la situation</w:t>
      </w:r>
      <w:r w:rsidRPr="003B147D">
        <w:t xml:space="preserve"> dans les meilleurs délais et à apporter une réponse appropriée. Si le litige persiste, l'usager ou le consommateur peut saisir l'UTBM, qui tentera de concilier les parties. En dernier recours, le litige pourra être porté devant les juridictions compétentes.</w:t>
      </w:r>
    </w:p>
    <w:p w14:paraId="3A2F2483" w14:textId="77777777" w:rsidR="00BF09D2" w:rsidRDefault="00BF09D2" w:rsidP="005C69BB"/>
    <w:p w14:paraId="218F5774" w14:textId="77777777" w:rsidR="00BF09D2" w:rsidRDefault="00BF09D2" w:rsidP="005C69BB"/>
    <w:p w14:paraId="614D4ACF" w14:textId="5FFF4761" w:rsidR="00625207" w:rsidRDefault="008B5099" w:rsidP="003830FC">
      <w:pPr>
        <w:pStyle w:val="Titre3"/>
      </w:pPr>
      <w:bookmarkStart w:id="74" w:name="_Toc192771898"/>
      <w:r>
        <w:t>1</w:t>
      </w:r>
      <w:r w:rsidR="004170AC">
        <w:t>2</w:t>
      </w:r>
      <w:r>
        <w:t xml:space="preserve">.2 - </w:t>
      </w:r>
      <w:r w:rsidR="00625207">
        <w:t xml:space="preserve">Contentieux entre UTBM et </w:t>
      </w:r>
      <w:r w:rsidR="002720CF">
        <w:t>occupant</w:t>
      </w:r>
      <w:bookmarkEnd w:id="74"/>
    </w:p>
    <w:p w14:paraId="040A3726" w14:textId="77777777" w:rsidR="00BF09D2" w:rsidRDefault="00BF09D2" w:rsidP="005C69BB"/>
    <w:p w14:paraId="041571D3" w14:textId="24841FC1" w:rsidR="003B147D" w:rsidRDefault="003B147D" w:rsidP="005C69BB">
      <w:r w:rsidRPr="003B147D">
        <w:t xml:space="preserve">En cas de litige entre l'UTBM et </w:t>
      </w:r>
      <w:r w:rsidR="004170AC" w:rsidRPr="003B147D">
        <w:t>l’occupant</w:t>
      </w:r>
      <w:r w:rsidRPr="003B147D">
        <w:t>, les parties s'engagent à se rencontrer dans un délai de quinze jours à compter de la notification du différend, afin de tenter de trouver une solution amiable. Si aucune solution n'est trouvée, le litige pourra être porté devant les juridictions compétentes</w:t>
      </w:r>
      <w:r w:rsidR="004170AC">
        <w:t>.</w:t>
      </w:r>
    </w:p>
    <w:p w14:paraId="6C0E1432" w14:textId="77777777" w:rsidR="00BF09D2" w:rsidRDefault="00BF09D2" w:rsidP="005C69BB"/>
    <w:p w14:paraId="220FD8F9" w14:textId="77777777" w:rsidR="00BF09D2" w:rsidRPr="005C69BB" w:rsidRDefault="00BF09D2" w:rsidP="005C69BB"/>
    <w:p w14:paraId="4DEEF72C" w14:textId="5632340E" w:rsidR="005C69BB" w:rsidRDefault="008B5099" w:rsidP="003830FC">
      <w:pPr>
        <w:pStyle w:val="Titre3"/>
      </w:pPr>
      <w:bookmarkStart w:id="75" w:name="_Toc192771899"/>
      <w:r>
        <w:t>1</w:t>
      </w:r>
      <w:r w:rsidR="004170AC">
        <w:t>2</w:t>
      </w:r>
      <w:r>
        <w:t xml:space="preserve">.3 - </w:t>
      </w:r>
      <w:r w:rsidR="005C69BB" w:rsidRPr="005C69BB">
        <w:t>Conciliation</w:t>
      </w:r>
      <w:bookmarkEnd w:id="75"/>
    </w:p>
    <w:p w14:paraId="65A1928B" w14:textId="77777777" w:rsidR="00BF09D2" w:rsidRDefault="00BF09D2" w:rsidP="005C69BB"/>
    <w:p w14:paraId="1F719D28" w14:textId="52277485" w:rsidR="003B147D" w:rsidRDefault="003B147D" w:rsidP="005C69BB">
      <w:r w:rsidRPr="003B147D">
        <w:t>En cas de différend entre les parties, celles-ci s'engagent à recourir à une procédure de conciliation avant toute action contentieuse. La conciliation sera menée par un médiateur désigné d'un commun accord par les parties. À défaut d'accord sur le choix du médiateur, celui-ci sera désigné par le président du tribunal administratif compétent. La procédure de conciliation ne pourra excéder un délai de deux mois à compter de la désignation du médiateur.</w:t>
      </w:r>
    </w:p>
    <w:p w14:paraId="7E922A91" w14:textId="77777777" w:rsidR="00BF09D2" w:rsidRDefault="00BF09D2" w:rsidP="005C69BB"/>
    <w:p w14:paraId="3D7DD461" w14:textId="77777777" w:rsidR="00BF09D2" w:rsidRPr="005C69BB" w:rsidRDefault="00BF09D2" w:rsidP="005C69BB"/>
    <w:p w14:paraId="638D30A5" w14:textId="33197F99" w:rsidR="005C69BB" w:rsidRDefault="008B5099" w:rsidP="003830FC">
      <w:pPr>
        <w:pStyle w:val="Titre3"/>
      </w:pPr>
      <w:bookmarkStart w:id="76" w:name="_Toc192771900"/>
      <w:r>
        <w:t>1</w:t>
      </w:r>
      <w:r w:rsidR="004170AC">
        <w:t>2</w:t>
      </w:r>
      <w:r>
        <w:t xml:space="preserve">.4 - </w:t>
      </w:r>
      <w:r w:rsidR="005C69BB" w:rsidRPr="005C69BB">
        <w:t>Tribunal compétent</w:t>
      </w:r>
      <w:bookmarkEnd w:id="76"/>
    </w:p>
    <w:p w14:paraId="5F623B3C" w14:textId="77777777" w:rsidR="005C69BB" w:rsidRPr="005C69BB" w:rsidRDefault="005C69BB" w:rsidP="005C69BB"/>
    <w:p w14:paraId="0F7123E5" w14:textId="304AAC2E" w:rsidR="005C69BB" w:rsidRDefault="003B147D" w:rsidP="00905278">
      <w:r w:rsidRPr="003B147D">
        <w:t xml:space="preserve">En cas de litige persistant après épuisement des procédures de conciliation, </w:t>
      </w:r>
      <w:r w:rsidR="004170AC">
        <w:t>la juridiction compétente</w:t>
      </w:r>
      <w:r w:rsidRPr="003B147D">
        <w:t xml:space="preserve"> pour connaître des différends relatifs à l'exécution de la présente convention est </w:t>
      </w:r>
      <w:r w:rsidR="004170AC">
        <w:t>le tribunal administratif de Besançon</w:t>
      </w:r>
      <w:r w:rsidRPr="003B147D">
        <w:t xml:space="preserve">. </w:t>
      </w:r>
    </w:p>
    <w:p w14:paraId="306BD751" w14:textId="77777777" w:rsidR="004170AC" w:rsidRDefault="004170AC" w:rsidP="00905278"/>
    <w:p w14:paraId="295A18BC" w14:textId="77777777" w:rsidR="004170AC" w:rsidRDefault="004170AC" w:rsidP="00905278"/>
    <w:p w14:paraId="6F6123C7" w14:textId="77777777" w:rsidR="004170AC" w:rsidRDefault="004170AC" w:rsidP="00905278"/>
    <w:p w14:paraId="1A325EA8" w14:textId="77777777" w:rsidR="004170AC" w:rsidRDefault="004170AC" w:rsidP="00905278"/>
    <w:p w14:paraId="3464B746" w14:textId="77777777" w:rsidR="004170AC" w:rsidRDefault="004170AC" w:rsidP="0090527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4380"/>
      </w:tblGrid>
      <w:tr w:rsidR="004170AC" w:rsidRPr="007B242A" w14:paraId="03556A9C" w14:textId="77777777" w:rsidTr="00654642">
        <w:trPr>
          <w:jc w:val="center"/>
        </w:trPr>
        <w:tc>
          <w:tcPr>
            <w:tcW w:w="4930" w:type="dxa"/>
            <w:shd w:val="clear" w:color="auto" w:fill="auto"/>
          </w:tcPr>
          <w:p w14:paraId="3EEFAB12" w14:textId="271523FD" w:rsidR="004170AC" w:rsidRDefault="004170AC" w:rsidP="00654642">
            <w:pPr>
              <w:rPr>
                <w:rFonts w:asciiTheme="minorHAnsi" w:hAnsiTheme="minorHAnsi" w:cstheme="minorHAnsi"/>
              </w:rPr>
            </w:pPr>
            <w:r w:rsidRPr="007B242A">
              <w:rPr>
                <w:rFonts w:asciiTheme="minorHAnsi" w:hAnsiTheme="minorHAnsi" w:cstheme="minorHAnsi"/>
              </w:rPr>
              <w:t xml:space="preserve">Date : </w:t>
            </w:r>
            <w:sdt>
              <w:sdtPr>
                <w:rPr>
                  <w:rFonts w:asciiTheme="minorHAnsi" w:hAnsiTheme="minorHAnsi" w:cstheme="minorHAnsi"/>
                </w:rPr>
                <w:id w:val="-124701709"/>
                <w:placeholder>
                  <w:docPart w:val="DefaultPlaceholder_-1854013440"/>
                </w:placeholder>
                <w:showingPlcHdr/>
              </w:sdtPr>
              <w:sdtContent>
                <w:r w:rsidR="00527873" w:rsidRPr="00CB705F">
                  <w:rPr>
                    <w:rStyle w:val="Textedelespacerserv"/>
                  </w:rPr>
                  <w:t>Cliquez ou appuyez ici pour entrer du texte.</w:t>
                </w:r>
              </w:sdtContent>
            </w:sdt>
          </w:p>
          <w:p w14:paraId="79178647" w14:textId="77777777" w:rsidR="004170AC" w:rsidRPr="007B242A" w:rsidRDefault="004170AC" w:rsidP="00654642">
            <w:pPr>
              <w:rPr>
                <w:rFonts w:asciiTheme="minorHAnsi" w:hAnsiTheme="minorHAnsi" w:cstheme="minorHAnsi"/>
              </w:rPr>
            </w:pPr>
          </w:p>
          <w:p w14:paraId="0B82A1CA" w14:textId="77777777" w:rsidR="004170AC" w:rsidRPr="007B242A" w:rsidRDefault="004170AC" w:rsidP="00654642">
            <w:pPr>
              <w:rPr>
                <w:rFonts w:asciiTheme="minorHAnsi" w:hAnsiTheme="minorHAnsi" w:cstheme="minorHAnsi"/>
              </w:rPr>
            </w:pPr>
            <w:r w:rsidRPr="007B242A">
              <w:rPr>
                <w:rFonts w:asciiTheme="minorHAnsi" w:hAnsiTheme="minorHAnsi" w:cstheme="minorHAnsi"/>
              </w:rPr>
              <w:t>Lu et approuvé</w:t>
            </w:r>
          </w:p>
          <w:p w14:paraId="2D858A77" w14:textId="77777777" w:rsidR="004170AC" w:rsidRPr="007B242A" w:rsidRDefault="004170AC" w:rsidP="00654642">
            <w:pPr>
              <w:rPr>
                <w:rFonts w:asciiTheme="minorHAnsi" w:hAnsiTheme="minorHAnsi" w:cstheme="minorHAnsi"/>
              </w:rPr>
            </w:pPr>
          </w:p>
          <w:p w14:paraId="771DC707" w14:textId="77777777" w:rsidR="004170AC" w:rsidRPr="007B242A" w:rsidRDefault="004170AC" w:rsidP="00654642">
            <w:pPr>
              <w:rPr>
                <w:rFonts w:asciiTheme="minorHAnsi" w:hAnsiTheme="minorHAnsi" w:cstheme="minorHAnsi"/>
              </w:rPr>
            </w:pPr>
          </w:p>
          <w:p w14:paraId="4C69428A" w14:textId="77777777" w:rsidR="004170AC" w:rsidRDefault="004170AC" w:rsidP="00654642">
            <w:pPr>
              <w:rPr>
                <w:rFonts w:asciiTheme="minorHAnsi" w:hAnsiTheme="minorHAnsi" w:cstheme="minorHAnsi"/>
              </w:rPr>
            </w:pPr>
          </w:p>
          <w:p w14:paraId="622F88BC" w14:textId="77777777" w:rsidR="007532E1" w:rsidRDefault="007532E1" w:rsidP="00654642">
            <w:pPr>
              <w:rPr>
                <w:rFonts w:asciiTheme="minorHAnsi" w:hAnsiTheme="minorHAnsi" w:cstheme="minorHAnsi"/>
              </w:rPr>
            </w:pPr>
          </w:p>
          <w:p w14:paraId="3A42FC19" w14:textId="77777777" w:rsidR="007532E1" w:rsidRDefault="007532E1" w:rsidP="00654642">
            <w:pPr>
              <w:rPr>
                <w:rFonts w:asciiTheme="minorHAnsi" w:hAnsiTheme="minorHAnsi" w:cstheme="minorHAnsi"/>
              </w:rPr>
            </w:pPr>
          </w:p>
          <w:p w14:paraId="1C9F2C97" w14:textId="77777777" w:rsidR="007532E1" w:rsidRDefault="007532E1" w:rsidP="00654642">
            <w:pPr>
              <w:rPr>
                <w:rFonts w:asciiTheme="minorHAnsi" w:hAnsiTheme="minorHAnsi" w:cstheme="minorHAnsi"/>
              </w:rPr>
            </w:pPr>
          </w:p>
          <w:p w14:paraId="096615D1" w14:textId="77777777" w:rsidR="007532E1" w:rsidRDefault="007532E1" w:rsidP="00654642">
            <w:pPr>
              <w:rPr>
                <w:rFonts w:asciiTheme="minorHAnsi" w:hAnsiTheme="minorHAnsi" w:cstheme="minorHAnsi"/>
              </w:rPr>
            </w:pPr>
          </w:p>
          <w:p w14:paraId="6D5CE521" w14:textId="77777777" w:rsidR="007532E1" w:rsidRPr="007B242A" w:rsidRDefault="007532E1" w:rsidP="00654642">
            <w:pPr>
              <w:rPr>
                <w:rFonts w:asciiTheme="minorHAnsi" w:hAnsiTheme="minorHAnsi" w:cstheme="minorHAnsi"/>
              </w:rPr>
            </w:pPr>
          </w:p>
          <w:p w14:paraId="00A23E5A" w14:textId="77777777" w:rsidR="004170AC" w:rsidRDefault="004170AC" w:rsidP="00654642">
            <w:pPr>
              <w:rPr>
                <w:rFonts w:asciiTheme="minorHAnsi" w:hAnsiTheme="minorHAnsi" w:cstheme="minorHAnsi"/>
              </w:rPr>
            </w:pPr>
          </w:p>
          <w:p w14:paraId="64FC65C7" w14:textId="3DEBD4E9" w:rsidR="004170AC" w:rsidRPr="007B242A" w:rsidRDefault="004170AC" w:rsidP="004170AC">
            <w:pPr>
              <w:jc w:val="right"/>
              <w:rPr>
                <w:rFonts w:asciiTheme="minorHAnsi" w:hAnsiTheme="minorHAnsi" w:cstheme="minorHAnsi"/>
              </w:rPr>
            </w:pPr>
            <w:r>
              <w:rPr>
                <w:rFonts w:asciiTheme="minorHAnsi" w:hAnsiTheme="minorHAnsi" w:cstheme="minorHAnsi"/>
              </w:rPr>
              <w:t>L’occupant</w:t>
            </w:r>
            <w:r w:rsidRPr="007B242A">
              <w:rPr>
                <w:rFonts w:asciiTheme="minorHAnsi" w:hAnsiTheme="minorHAnsi" w:cstheme="minorHAnsi"/>
              </w:rPr>
              <w:t xml:space="preserve">, </w:t>
            </w:r>
          </w:p>
          <w:p w14:paraId="41D98119" w14:textId="77777777" w:rsidR="004170AC" w:rsidRPr="007B242A" w:rsidRDefault="004170AC" w:rsidP="00654642">
            <w:pPr>
              <w:rPr>
                <w:rFonts w:asciiTheme="minorHAnsi" w:hAnsiTheme="minorHAnsi" w:cstheme="minorHAnsi"/>
              </w:rPr>
            </w:pPr>
          </w:p>
        </w:tc>
        <w:tc>
          <w:tcPr>
            <w:tcW w:w="4598" w:type="dxa"/>
            <w:shd w:val="clear" w:color="auto" w:fill="auto"/>
          </w:tcPr>
          <w:p w14:paraId="503A74F2" w14:textId="77777777" w:rsidR="004170AC" w:rsidRDefault="004170AC" w:rsidP="00654642">
            <w:pPr>
              <w:rPr>
                <w:rFonts w:asciiTheme="minorHAnsi" w:hAnsiTheme="minorHAnsi" w:cstheme="minorHAnsi"/>
              </w:rPr>
            </w:pPr>
            <w:r w:rsidRPr="007B242A">
              <w:rPr>
                <w:rFonts w:asciiTheme="minorHAnsi" w:hAnsiTheme="minorHAnsi" w:cstheme="minorHAnsi"/>
              </w:rPr>
              <w:t>Date :</w:t>
            </w:r>
          </w:p>
          <w:p w14:paraId="5D2B5A5F" w14:textId="77777777" w:rsidR="004170AC" w:rsidRPr="007B242A" w:rsidRDefault="004170AC" w:rsidP="00654642">
            <w:pPr>
              <w:rPr>
                <w:rFonts w:asciiTheme="minorHAnsi" w:hAnsiTheme="minorHAnsi" w:cstheme="minorHAnsi"/>
              </w:rPr>
            </w:pPr>
          </w:p>
          <w:p w14:paraId="6DA55216" w14:textId="77777777" w:rsidR="004170AC" w:rsidRPr="007B242A" w:rsidRDefault="004170AC" w:rsidP="00654642">
            <w:pPr>
              <w:rPr>
                <w:rFonts w:asciiTheme="minorHAnsi" w:hAnsiTheme="minorHAnsi" w:cstheme="minorHAnsi"/>
              </w:rPr>
            </w:pPr>
            <w:r w:rsidRPr="007B242A">
              <w:rPr>
                <w:rFonts w:asciiTheme="minorHAnsi" w:hAnsiTheme="minorHAnsi" w:cstheme="minorHAnsi"/>
              </w:rPr>
              <w:t>Acceptation de l’autorisation</w:t>
            </w:r>
          </w:p>
          <w:p w14:paraId="7A4AFE97" w14:textId="77777777" w:rsidR="004170AC" w:rsidRPr="007B242A" w:rsidRDefault="004170AC" w:rsidP="00654642">
            <w:pPr>
              <w:rPr>
                <w:rFonts w:asciiTheme="minorHAnsi" w:hAnsiTheme="minorHAnsi" w:cstheme="minorHAnsi"/>
              </w:rPr>
            </w:pPr>
          </w:p>
          <w:p w14:paraId="2A15D693" w14:textId="77777777" w:rsidR="004170AC" w:rsidRPr="007B242A" w:rsidRDefault="004170AC" w:rsidP="00654642">
            <w:pPr>
              <w:rPr>
                <w:rFonts w:asciiTheme="minorHAnsi" w:hAnsiTheme="minorHAnsi" w:cstheme="minorHAnsi"/>
              </w:rPr>
            </w:pPr>
          </w:p>
          <w:p w14:paraId="22D598A6" w14:textId="77777777" w:rsidR="004170AC" w:rsidRDefault="004170AC" w:rsidP="00654642">
            <w:pPr>
              <w:rPr>
                <w:rFonts w:asciiTheme="minorHAnsi" w:hAnsiTheme="minorHAnsi" w:cstheme="minorHAnsi"/>
              </w:rPr>
            </w:pPr>
          </w:p>
          <w:p w14:paraId="79D17C9C" w14:textId="77777777" w:rsidR="004170AC" w:rsidRDefault="004170AC" w:rsidP="00654642">
            <w:pPr>
              <w:rPr>
                <w:rFonts w:asciiTheme="minorHAnsi" w:hAnsiTheme="minorHAnsi" w:cstheme="minorHAnsi"/>
              </w:rPr>
            </w:pPr>
          </w:p>
          <w:p w14:paraId="2F60E27C" w14:textId="77777777" w:rsidR="004170AC" w:rsidRDefault="004170AC" w:rsidP="00654642">
            <w:pPr>
              <w:rPr>
                <w:rFonts w:asciiTheme="minorHAnsi" w:hAnsiTheme="minorHAnsi" w:cstheme="minorHAnsi"/>
              </w:rPr>
            </w:pPr>
          </w:p>
          <w:p w14:paraId="77A58076" w14:textId="77777777" w:rsidR="004170AC" w:rsidRDefault="004170AC" w:rsidP="00654642">
            <w:pPr>
              <w:rPr>
                <w:rFonts w:asciiTheme="minorHAnsi" w:hAnsiTheme="minorHAnsi" w:cstheme="minorHAnsi"/>
              </w:rPr>
            </w:pPr>
          </w:p>
          <w:p w14:paraId="232D9C76" w14:textId="77777777" w:rsidR="004170AC" w:rsidRPr="007B242A" w:rsidRDefault="004170AC" w:rsidP="00654642">
            <w:pPr>
              <w:rPr>
                <w:rFonts w:asciiTheme="minorHAnsi" w:hAnsiTheme="minorHAnsi" w:cstheme="minorHAnsi"/>
              </w:rPr>
            </w:pPr>
          </w:p>
          <w:p w14:paraId="774DEA93" w14:textId="77777777" w:rsidR="004170AC" w:rsidRPr="007B242A" w:rsidRDefault="004170AC" w:rsidP="00654642">
            <w:pPr>
              <w:rPr>
                <w:rFonts w:asciiTheme="minorHAnsi" w:hAnsiTheme="minorHAnsi" w:cstheme="minorHAnsi"/>
              </w:rPr>
            </w:pPr>
          </w:p>
          <w:p w14:paraId="032CF42E" w14:textId="77777777" w:rsidR="004170AC" w:rsidRPr="007B242A" w:rsidRDefault="004170AC" w:rsidP="00654642">
            <w:pPr>
              <w:rPr>
                <w:rFonts w:asciiTheme="minorHAnsi" w:hAnsiTheme="minorHAnsi" w:cstheme="minorHAnsi"/>
              </w:rPr>
            </w:pPr>
          </w:p>
          <w:p w14:paraId="6EA0360A" w14:textId="77777777" w:rsidR="004170AC" w:rsidRPr="007B242A" w:rsidRDefault="004170AC" w:rsidP="004170AC">
            <w:pPr>
              <w:jc w:val="right"/>
              <w:rPr>
                <w:rFonts w:asciiTheme="minorHAnsi" w:hAnsiTheme="minorHAnsi" w:cstheme="minorHAnsi"/>
              </w:rPr>
            </w:pPr>
            <w:r w:rsidRPr="007B242A">
              <w:rPr>
                <w:rFonts w:asciiTheme="minorHAnsi" w:hAnsiTheme="minorHAnsi" w:cstheme="minorHAnsi"/>
              </w:rPr>
              <w:t>Le directeur de l’UTBM,</w:t>
            </w:r>
          </w:p>
          <w:p w14:paraId="66E5135F" w14:textId="77777777" w:rsidR="004170AC" w:rsidRDefault="004170AC" w:rsidP="004170AC">
            <w:pPr>
              <w:jc w:val="right"/>
              <w:rPr>
                <w:rFonts w:asciiTheme="minorHAnsi" w:hAnsiTheme="minorHAnsi" w:cstheme="minorHAnsi"/>
              </w:rPr>
            </w:pPr>
            <w:r w:rsidRPr="007B242A">
              <w:rPr>
                <w:rFonts w:asciiTheme="minorHAnsi" w:hAnsiTheme="minorHAnsi" w:cstheme="minorHAnsi"/>
              </w:rPr>
              <w:t xml:space="preserve">Ghislain </w:t>
            </w:r>
            <w:proofErr w:type="spellStart"/>
            <w:r w:rsidRPr="007B242A">
              <w:rPr>
                <w:rFonts w:asciiTheme="minorHAnsi" w:hAnsiTheme="minorHAnsi" w:cstheme="minorHAnsi"/>
              </w:rPr>
              <w:t>Montavon</w:t>
            </w:r>
            <w:proofErr w:type="spellEnd"/>
          </w:p>
          <w:p w14:paraId="146D99F1" w14:textId="77777777" w:rsidR="007532E1" w:rsidRDefault="007532E1" w:rsidP="004170AC">
            <w:pPr>
              <w:jc w:val="right"/>
              <w:rPr>
                <w:rFonts w:asciiTheme="minorHAnsi" w:hAnsiTheme="minorHAnsi" w:cstheme="minorHAnsi"/>
              </w:rPr>
            </w:pPr>
          </w:p>
          <w:p w14:paraId="134619B8" w14:textId="77777777" w:rsidR="007532E1" w:rsidRPr="007B242A" w:rsidRDefault="007532E1" w:rsidP="004170AC">
            <w:pPr>
              <w:jc w:val="right"/>
              <w:rPr>
                <w:rFonts w:asciiTheme="minorHAnsi" w:hAnsiTheme="minorHAnsi" w:cstheme="minorHAnsi"/>
              </w:rPr>
            </w:pPr>
          </w:p>
        </w:tc>
      </w:tr>
    </w:tbl>
    <w:p w14:paraId="585A7118" w14:textId="6336C43A" w:rsidR="00983BB7" w:rsidRDefault="00983BB7">
      <w:pPr>
        <w:widowControl/>
        <w:suppressAutoHyphens w:val="0"/>
        <w:jc w:val="left"/>
        <w:rPr>
          <w:rFonts w:asciiTheme="minorHAnsi" w:hAnsiTheme="minorHAnsi" w:cstheme="minorHAnsi"/>
        </w:rPr>
      </w:pPr>
    </w:p>
    <w:p w14:paraId="0B665940" w14:textId="416E4AF3" w:rsidR="003A1AED" w:rsidRDefault="003A1AED">
      <w:pPr>
        <w:widowControl/>
        <w:suppressAutoHyphens w:val="0"/>
        <w:jc w:val="left"/>
        <w:rPr>
          <w:rFonts w:asciiTheme="minorHAnsi" w:hAnsiTheme="minorHAnsi" w:cstheme="minorHAnsi"/>
        </w:rPr>
      </w:pPr>
      <w:r w:rsidRPr="007532E1">
        <w:rPr>
          <w:rFonts w:asciiTheme="minorHAnsi" w:hAnsiTheme="minorHAnsi" w:cstheme="minorHAnsi"/>
        </w:rPr>
        <w:t xml:space="preserve">Annexes : </w:t>
      </w:r>
    </w:p>
    <w:p w14:paraId="3AF8339A" w14:textId="77777777" w:rsidR="007532E1" w:rsidRPr="007532E1" w:rsidRDefault="007532E1">
      <w:pPr>
        <w:widowControl/>
        <w:suppressAutoHyphens w:val="0"/>
        <w:jc w:val="left"/>
        <w:rPr>
          <w:rFonts w:asciiTheme="minorHAnsi" w:hAnsiTheme="minorHAnsi" w:cstheme="minorHAnsi"/>
        </w:rPr>
      </w:pPr>
    </w:p>
    <w:p w14:paraId="4D3DCA99" w14:textId="0F0CA5C4" w:rsidR="003A1AED" w:rsidRPr="007532E1" w:rsidRDefault="003A1AED">
      <w:pPr>
        <w:widowControl/>
        <w:suppressAutoHyphens w:val="0"/>
        <w:jc w:val="left"/>
        <w:rPr>
          <w:rFonts w:asciiTheme="minorHAnsi" w:hAnsiTheme="minorHAnsi" w:cstheme="minorHAnsi"/>
        </w:rPr>
      </w:pPr>
      <w:r w:rsidRPr="007532E1">
        <w:rPr>
          <w:rFonts w:asciiTheme="minorHAnsi" w:hAnsiTheme="minorHAnsi" w:cstheme="minorHAnsi"/>
        </w:rPr>
        <w:t>- Relevé d’Identité Bancaire de l’UTBM</w:t>
      </w:r>
    </w:p>
    <w:p w14:paraId="12B510D3" w14:textId="32F67886" w:rsidR="00A61AE0" w:rsidRDefault="00A61AE0">
      <w:pPr>
        <w:widowControl/>
        <w:suppressAutoHyphens w:val="0"/>
        <w:jc w:val="left"/>
        <w:rPr>
          <w:rFonts w:asciiTheme="minorHAnsi" w:hAnsiTheme="minorHAnsi" w:cstheme="minorHAnsi"/>
        </w:rPr>
      </w:pPr>
      <w:r w:rsidRPr="007532E1">
        <w:rPr>
          <w:rFonts w:asciiTheme="minorHAnsi" w:hAnsiTheme="minorHAnsi" w:cstheme="minorHAnsi"/>
        </w:rPr>
        <w:t>- Interlocuteurs administratifs et techniques</w:t>
      </w:r>
      <w:r>
        <w:rPr>
          <w:rFonts w:asciiTheme="minorHAnsi" w:hAnsiTheme="minorHAnsi" w:cstheme="minorHAnsi"/>
        </w:rPr>
        <w:t xml:space="preserve"> </w:t>
      </w:r>
    </w:p>
    <w:p w14:paraId="7A725506" w14:textId="7FA908C9" w:rsidR="003A1AED" w:rsidRDefault="003A1AED">
      <w:pPr>
        <w:widowControl/>
        <w:suppressAutoHyphens w:val="0"/>
        <w:jc w:val="left"/>
        <w:rPr>
          <w:rFonts w:asciiTheme="minorHAnsi" w:hAnsiTheme="minorHAnsi" w:cstheme="minorHAnsi"/>
        </w:rPr>
      </w:pPr>
    </w:p>
    <w:sectPr w:rsidR="003A1AED">
      <w:footerReference w:type="default" r:id="rId10"/>
      <w:pgSz w:w="11906" w:h="16838"/>
      <w:pgMar w:top="1134" w:right="1418" w:bottom="1134" w:left="1418" w:header="720" w:footer="510" w:gutter="0"/>
      <w:cols w:space="720"/>
      <w:titlePg/>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8B8F44" w14:textId="77777777" w:rsidR="00CE146E" w:rsidRDefault="00CE146E">
      <w:r>
        <w:separator/>
      </w:r>
    </w:p>
  </w:endnote>
  <w:endnote w:type="continuationSeparator" w:id="0">
    <w:p w14:paraId="6EF233E5" w14:textId="77777777" w:rsidR="00CE146E" w:rsidRDefault="00CE1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DCDCD" w14:textId="1D7F2EEC" w:rsidR="00CE146E" w:rsidRPr="004B131B" w:rsidRDefault="00F46367">
    <w:pPr>
      <w:pStyle w:val="Pieddepage"/>
      <w:rPr>
        <w:color w:val="0070C0"/>
      </w:rPr>
    </w:pPr>
    <w:r w:rsidRPr="00F46367">
      <w:t>AOT n°202501</w:t>
    </w:r>
    <w:r w:rsidR="00CE146E" w:rsidRPr="004B131B">
      <w:rPr>
        <w:color w:val="0070C0"/>
      </w:rPr>
      <w:tab/>
    </w:r>
    <w:r w:rsidR="00CE146E" w:rsidRPr="004B131B">
      <w:rPr>
        <w:color w:val="0070C0"/>
      </w:rPr>
      <w:tab/>
      <w:t xml:space="preserve">Page </w:t>
    </w:r>
    <w:r w:rsidR="00CE146E" w:rsidRPr="004B131B">
      <w:rPr>
        <w:b/>
        <w:color w:val="0070C0"/>
        <w:szCs w:val="24"/>
      </w:rPr>
      <w:fldChar w:fldCharType="begin"/>
    </w:r>
    <w:r w:rsidR="00CE146E" w:rsidRPr="004B131B">
      <w:rPr>
        <w:b/>
        <w:color w:val="0070C0"/>
        <w:szCs w:val="24"/>
      </w:rPr>
      <w:instrText>PAGE</w:instrText>
    </w:r>
    <w:r w:rsidR="00CE146E" w:rsidRPr="004B131B">
      <w:rPr>
        <w:b/>
        <w:color w:val="0070C0"/>
        <w:szCs w:val="24"/>
      </w:rPr>
      <w:fldChar w:fldCharType="separate"/>
    </w:r>
    <w:r w:rsidR="00CE146E" w:rsidRPr="004B131B">
      <w:rPr>
        <w:b/>
        <w:color w:val="0070C0"/>
        <w:szCs w:val="24"/>
      </w:rPr>
      <w:t>13</w:t>
    </w:r>
    <w:r w:rsidR="00CE146E" w:rsidRPr="004B131B">
      <w:rPr>
        <w:b/>
        <w:color w:val="0070C0"/>
        <w:szCs w:val="24"/>
      </w:rPr>
      <w:fldChar w:fldCharType="end"/>
    </w:r>
    <w:r w:rsidR="00CE146E" w:rsidRPr="004B131B">
      <w:rPr>
        <w:color w:val="0070C0"/>
      </w:rPr>
      <w:t xml:space="preserve"> sur </w:t>
    </w:r>
    <w:r w:rsidR="00CE146E" w:rsidRPr="004B131B">
      <w:rPr>
        <w:b/>
        <w:color w:val="0070C0"/>
        <w:szCs w:val="24"/>
      </w:rPr>
      <w:fldChar w:fldCharType="begin"/>
    </w:r>
    <w:r w:rsidR="00CE146E" w:rsidRPr="004B131B">
      <w:rPr>
        <w:b/>
        <w:color w:val="0070C0"/>
        <w:szCs w:val="24"/>
      </w:rPr>
      <w:instrText>NUMPAGES</w:instrText>
    </w:r>
    <w:r w:rsidR="00CE146E" w:rsidRPr="004B131B">
      <w:rPr>
        <w:b/>
        <w:color w:val="0070C0"/>
        <w:szCs w:val="24"/>
      </w:rPr>
      <w:fldChar w:fldCharType="separate"/>
    </w:r>
    <w:r w:rsidR="00CE146E" w:rsidRPr="004B131B">
      <w:rPr>
        <w:b/>
        <w:color w:val="0070C0"/>
        <w:szCs w:val="24"/>
      </w:rPr>
      <w:t>13</w:t>
    </w:r>
    <w:r w:rsidR="00CE146E" w:rsidRPr="004B131B">
      <w:rPr>
        <w:b/>
        <w:color w:val="0070C0"/>
        <w:szCs w:val="24"/>
      </w:rPr>
      <w:fldChar w:fldCharType="end"/>
    </w:r>
  </w:p>
  <w:p w14:paraId="190D2D42" w14:textId="77777777" w:rsidR="00CE146E" w:rsidRDefault="00CE146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8196E5" w14:textId="77777777" w:rsidR="00CE146E" w:rsidRDefault="00CE146E">
      <w:r>
        <w:separator/>
      </w:r>
    </w:p>
  </w:footnote>
  <w:footnote w:type="continuationSeparator" w:id="0">
    <w:p w14:paraId="5B4E7B39" w14:textId="77777777" w:rsidR="00CE146E" w:rsidRDefault="00CE1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79A2AD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i1025" type="#_x0000_t75" style="width:11.25pt;height:11.25pt;visibility:visible;mso-wrap-style:square">
            <v:imagedata r:id="rId1" o:title="msoB92"/>
          </v:shape>
        </w:pict>
      </mc:Choice>
      <mc:Fallback>
        <w:drawing>
          <wp:inline distT="0" distB="0" distL="0" distR="0" wp14:anchorId="19328B80" wp14:editId="431E67F2">
            <wp:extent cx="142875" cy="142875"/>
            <wp:effectExtent l="0" t="0" r="9525" b="9525"/>
            <wp:docPr id="1185855087" name="Image 1" descr="C:\Users\alaibe\AppData\Local\Temp\msoB9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31692" name="Image 74031692" descr="C:\Users\alaibe\AppData\Local\Temp\msoB92.tmp"/>
                    <pic:cNvPicPr/>
                  </pic:nvPicPr>
                  <pic:blipFill>
                    <a:blip r:embed="rId2">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mc:Fallback>
    </mc:AlternateContent>
  </w:numPicBullet>
  <w:abstractNum w:abstractNumId="0" w15:restartNumberingAfterBreak="0">
    <w:nsid w:val="07D8213D"/>
    <w:multiLevelType w:val="hybridMultilevel"/>
    <w:tmpl w:val="B2BC48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2373C6"/>
    <w:multiLevelType w:val="hybridMultilevel"/>
    <w:tmpl w:val="8870C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601519"/>
    <w:multiLevelType w:val="hybridMultilevel"/>
    <w:tmpl w:val="BBF8C284"/>
    <w:lvl w:ilvl="0" w:tplc="040C0001">
      <w:start w:val="1"/>
      <w:numFmt w:val="bullet"/>
      <w:lvlText w:val=""/>
      <w:lvlJc w:val="left"/>
      <w:pPr>
        <w:ind w:left="786" w:hanging="360"/>
      </w:pPr>
      <w:rPr>
        <w:rFonts w:ascii="Symbol" w:hAnsi="Symbo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30474D27"/>
    <w:multiLevelType w:val="hybridMultilevel"/>
    <w:tmpl w:val="DD70D17A"/>
    <w:lvl w:ilvl="0" w:tplc="040C0007">
      <w:start w:val="1"/>
      <w:numFmt w:val="bullet"/>
      <w:lvlText w:val=""/>
      <w:lvlPicBulletId w:val="0"/>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9313955"/>
    <w:multiLevelType w:val="multilevel"/>
    <w:tmpl w:val="595EBC7E"/>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5" w15:restartNumberingAfterBreak="0">
    <w:nsid w:val="3C5B3DE5"/>
    <w:multiLevelType w:val="hybridMultilevel"/>
    <w:tmpl w:val="B772004A"/>
    <w:lvl w:ilvl="0" w:tplc="040C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FEA3B81"/>
    <w:multiLevelType w:val="hybridMultilevel"/>
    <w:tmpl w:val="023AC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326D9B"/>
    <w:multiLevelType w:val="multilevel"/>
    <w:tmpl w:val="3068781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15:restartNumberingAfterBreak="0">
    <w:nsid w:val="41701570"/>
    <w:multiLevelType w:val="hybridMultilevel"/>
    <w:tmpl w:val="1CC62B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3354A6"/>
    <w:multiLevelType w:val="hybridMultilevel"/>
    <w:tmpl w:val="AD447658"/>
    <w:lvl w:ilvl="0" w:tplc="EFD8E83A">
      <w:numFmt w:val="bullet"/>
      <w:lvlText w:val="•"/>
      <w:lvlJc w:val="left"/>
      <w:pPr>
        <w:ind w:left="1065" w:hanging="705"/>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A1F48F6"/>
    <w:multiLevelType w:val="hybridMultilevel"/>
    <w:tmpl w:val="8FE6CDA8"/>
    <w:lvl w:ilvl="0" w:tplc="040C0007">
      <w:start w:val="1"/>
      <w:numFmt w:val="bullet"/>
      <w:lvlText w:val=""/>
      <w:lvlPicBulletId w:val="0"/>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1" w15:restartNumberingAfterBreak="0">
    <w:nsid w:val="4B094A11"/>
    <w:multiLevelType w:val="multilevel"/>
    <w:tmpl w:val="702EFD56"/>
    <w:lvl w:ilvl="0">
      <w:start w:val="1"/>
      <w:numFmt w:val="bullet"/>
      <w:lvlText w:val=""/>
      <w:lvlJc w:val="left"/>
      <w:pPr>
        <w:tabs>
          <w:tab w:val="num" w:pos="944"/>
        </w:tabs>
        <w:ind w:left="944" w:hanging="360"/>
      </w:pPr>
      <w:rPr>
        <w:rFonts w:ascii="Wingdings" w:hAnsi="Wingdings" w:cs="StarSymbol" w:hint="default"/>
        <w:sz w:val="20"/>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12" w15:restartNumberingAfterBreak="0">
    <w:nsid w:val="56E73741"/>
    <w:multiLevelType w:val="hybridMultilevel"/>
    <w:tmpl w:val="4196AC80"/>
    <w:lvl w:ilvl="0" w:tplc="3036F14A">
      <w:numFmt w:val="bullet"/>
      <w:lvlText w:val="-"/>
      <w:lvlJc w:val="left"/>
      <w:pPr>
        <w:ind w:left="1068" w:hanging="708"/>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6A150A"/>
    <w:multiLevelType w:val="hybridMultilevel"/>
    <w:tmpl w:val="720CC84A"/>
    <w:lvl w:ilvl="0" w:tplc="A73AD832">
      <w:numFmt w:val="bullet"/>
      <w:lvlText w:val="•"/>
      <w:lvlJc w:val="left"/>
      <w:pPr>
        <w:ind w:left="1068" w:hanging="708"/>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A44FE5"/>
    <w:multiLevelType w:val="multilevel"/>
    <w:tmpl w:val="88DE3162"/>
    <w:lvl w:ilvl="0">
      <w:start w:val="1"/>
      <w:numFmt w:val="bullet"/>
      <w:lvlText w:val=""/>
      <w:lvlJc w:val="left"/>
      <w:pPr>
        <w:tabs>
          <w:tab w:val="num" w:pos="944"/>
        </w:tabs>
        <w:ind w:left="944" w:hanging="360"/>
      </w:pPr>
      <w:rPr>
        <w:rFonts w:ascii="Wingdings" w:hAnsi="Wingdings" w:cs="StarSymbol" w:hint="default"/>
        <w:sz w:val="18"/>
        <w:szCs w:val="18"/>
      </w:rPr>
    </w:lvl>
    <w:lvl w:ilvl="1">
      <w:start w:val="1"/>
      <w:numFmt w:val="decimal"/>
      <w:lvlText w:val="%2."/>
      <w:lvlJc w:val="left"/>
      <w:pPr>
        <w:tabs>
          <w:tab w:val="num" w:pos="1304"/>
        </w:tabs>
        <w:ind w:left="1304" w:hanging="360"/>
      </w:pPr>
    </w:lvl>
    <w:lvl w:ilvl="2">
      <w:start w:val="1"/>
      <w:numFmt w:val="decimal"/>
      <w:lvlText w:val="%3."/>
      <w:lvlJc w:val="left"/>
      <w:pPr>
        <w:tabs>
          <w:tab w:val="num" w:pos="1664"/>
        </w:tabs>
        <w:ind w:left="1664" w:hanging="360"/>
      </w:pPr>
    </w:lvl>
    <w:lvl w:ilvl="3">
      <w:start w:val="1"/>
      <w:numFmt w:val="decimal"/>
      <w:lvlText w:val="%4."/>
      <w:lvlJc w:val="left"/>
      <w:pPr>
        <w:tabs>
          <w:tab w:val="num" w:pos="2024"/>
        </w:tabs>
        <w:ind w:left="2024" w:hanging="360"/>
      </w:pPr>
    </w:lvl>
    <w:lvl w:ilvl="4">
      <w:start w:val="1"/>
      <w:numFmt w:val="decimal"/>
      <w:lvlText w:val="%5."/>
      <w:lvlJc w:val="left"/>
      <w:pPr>
        <w:tabs>
          <w:tab w:val="num" w:pos="2384"/>
        </w:tabs>
        <w:ind w:left="2384" w:hanging="360"/>
      </w:pPr>
    </w:lvl>
    <w:lvl w:ilvl="5">
      <w:start w:val="1"/>
      <w:numFmt w:val="decimal"/>
      <w:lvlText w:val="%6."/>
      <w:lvlJc w:val="left"/>
      <w:pPr>
        <w:tabs>
          <w:tab w:val="num" w:pos="2744"/>
        </w:tabs>
        <w:ind w:left="2744" w:hanging="360"/>
      </w:pPr>
    </w:lvl>
    <w:lvl w:ilvl="6">
      <w:start w:val="1"/>
      <w:numFmt w:val="decimal"/>
      <w:lvlText w:val="%7."/>
      <w:lvlJc w:val="left"/>
      <w:pPr>
        <w:tabs>
          <w:tab w:val="num" w:pos="3104"/>
        </w:tabs>
        <w:ind w:left="3104" w:hanging="360"/>
      </w:pPr>
    </w:lvl>
    <w:lvl w:ilvl="7">
      <w:start w:val="1"/>
      <w:numFmt w:val="decimal"/>
      <w:lvlText w:val="%8."/>
      <w:lvlJc w:val="left"/>
      <w:pPr>
        <w:tabs>
          <w:tab w:val="num" w:pos="3464"/>
        </w:tabs>
        <w:ind w:left="3464" w:hanging="360"/>
      </w:pPr>
    </w:lvl>
    <w:lvl w:ilvl="8">
      <w:start w:val="1"/>
      <w:numFmt w:val="decimal"/>
      <w:lvlText w:val="%9."/>
      <w:lvlJc w:val="left"/>
      <w:pPr>
        <w:tabs>
          <w:tab w:val="num" w:pos="3824"/>
        </w:tabs>
        <w:ind w:left="3824" w:hanging="360"/>
      </w:pPr>
    </w:lvl>
  </w:abstractNum>
  <w:abstractNum w:abstractNumId="15" w15:restartNumberingAfterBreak="0">
    <w:nsid w:val="647C224A"/>
    <w:multiLevelType w:val="hybridMultilevel"/>
    <w:tmpl w:val="91446012"/>
    <w:lvl w:ilvl="0" w:tplc="2A9876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8B7CBA"/>
    <w:multiLevelType w:val="hybridMultilevel"/>
    <w:tmpl w:val="33F46102"/>
    <w:lvl w:ilvl="0" w:tplc="B2EC7A52">
      <w:numFmt w:val="bullet"/>
      <w:lvlText w:val="-"/>
      <w:lvlJc w:val="left"/>
      <w:pPr>
        <w:ind w:left="1068" w:hanging="708"/>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5746F08"/>
    <w:multiLevelType w:val="hybridMultilevel"/>
    <w:tmpl w:val="BE542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4F93F6E"/>
    <w:multiLevelType w:val="hybridMultilevel"/>
    <w:tmpl w:val="1AEE6D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6CA73F6"/>
    <w:multiLevelType w:val="multilevel"/>
    <w:tmpl w:val="C9EC145C"/>
    <w:lvl w:ilvl="0">
      <w:start w:val="1"/>
      <w:numFmt w:val="bullet"/>
      <w:lvlText w:val=""/>
      <w:lvlJc w:val="left"/>
      <w:pPr>
        <w:tabs>
          <w:tab w:val="num" w:pos="720"/>
        </w:tabs>
        <w:ind w:left="720" w:hanging="360"/>
      </w:pPr>
      <w:rPr>
        <w:rFonts w:ascii="Symbol" w:hAnsi="Symbol" w:cs="StarSymbol" w:hint="default"/>
        <w:b w:val="0"/>
        <w:sz w:val="20"/>
        <w:szCs w:val="18"/>
      </w:rPr>
    </w:lvl>
    <w:lvl w:ilvl="1">
      <w:start w:val="1"/>
      <w:numFmt w:val="bullet"/>
      <w:lvlText w:val="◦"/>
      <w:lvlJc w:val="left"/>
      <w:pPr>
        <w:tabs>
          <w:tab w:val="num" w:pos="1080"/>
        </w:tabs>
        <w:ind w:left="1080" w:hanging="360"/>
      </w:pPr>
      <w:rPr>
        <w:rFonts w:ascii="OpenSymbol" w:hAnsi="OpenSymbol" w:cs="StarSymbol" w:hint="default"/>
        <w:sz w:val="18"/>
        <w:szCs w:val="18"/>
      </w:rPr>
    </w:lvl>
    <w:lvl w:ilvl="2">
      <w:start w:val="1"/>
      <w:numFmt w:val="bullet"/>
      <w:lvlText w:val="▪"/>
      <w:lvlJc w:val="left"/>
      <w:pPr>
        <w:tabs>
          <w:tab w:val="num" w:pos="1440"/>
        </w:tabs>
        <w:ind w:left="1440" w:hanging="360"/>
      </w:pPr>
      <w:rPr>
        <w:rFonts w:ascii="OpenSymbol" w:hAnsi="OpenSymbol" w:cs="StarSymbol" w:hint="default"/>
        <w:sz w:val="18"/>
        <w:szCs w:val="18"/>
      </w:rPr>
    </w:lvl>
    <w:lvl w:ilvl="3">
      <w:start w:val="1"/>
      <w:numFmt w:val="bullet"/>
      <w:lvlText w:val=""/>
      <w:lvlJc w:val="left"/>
      <w:pPr>
        <w:tabs>
          <w:tab w:val="num" w:pos="1800"/>
        </w:tabs>
        <w:ind w:left="1800" w:hanging="360"/>
      </w:pPr>
      <w:rPr>
        <w:rFonts w:ascii="Symbol" w:hAnsi="Symbol" w:cs="StarSymbol" w:hint="default"/>
        <w:sz w:val="18"/>
        <w:szCs w:val="18"/>
      </w:rPr>
    </w:lvl>
    <w:lvl w:ilvl="4">
      <w:start w:val="1"/>
      <w:numFmt w:val="bullet"/>
      <w:lvlText w:val="◦"/>
      <w:lvlJc w:val="left"/>
      <w:pPr>
        <w:tabs>
          <w:tab w:val="num" w:pos="2160"/>
        </w:tabs>
        <w:ind w:left="2160" w:hanging="360"/>
      </w:pPr>
      <w:rPr>
        <w:rFonts w:ascii="OpenSymbol" w:hAnsi="OpenSymbol" w:cs="StarSymbol" w:hint="default"/>
        <w:sz w:val="18"/>
        <w:szCs w:val="18"/>
      </w:rPr>
    </w:lvl>
    <w:lvl w:ilvl="5">
      <w:start w:val="1"/>
      <w:numFmt w:val="bullet"/>
      <w:lvlText w:val="▪"/>
      <w:lvlJc w:val="left"/>
      <w:pPr>
        <w:tabs>
          <w:tab w:val="num" w:pos="2520"/>
        </w:tabs>
        <w:ind w:left="2520" w:hanging="360"/>
      </w:pPr>
      <w:rPr>
        <w:rFonts w:ascii="OpenSymbol" w:hAnsi="OpenSymbol" w:cs="StarSymbol" w:hint="default"/>
        <w:sz w:val="18"/>
        <w:szCs w:val="18"/>
      </w:rPr>
    </w:lvl>
    <w:lvl w:ilvl="6">
      <w:start w:val="1"/>
      <w:numFmt w:val="bullet"/>
      <w:lvlText w:val=""/>
      <w:lvlJc w:val="left"/>
      <w:pPr>
        <w:tabs>
          <w:tab w:val="num" w:pos="2880"/>
        </w:tabs>
        <w:ind w:left="2880" w:hanging="360"/>
      </w:pPr>
      <w:rPr>
        <w:rFonts w:ascii="Symbol" w:hAnsi="Symbol" w:cs="StarSymbol" w:hint="default"/>
        <w:sz w:val="18"/>
        <w:szCs w:val="18"/>
      </w:rPr>
    </w:lvl>
    <w:lvl w:ilvl="7">
      <w:start w:val="1"/>
      <w:numFmt w:val="bullet"/>
      <w:lvlText w:val="◦"/>
      <w:lvlJc w:val="left"/>
      <w:pPr>
        <w:tabs>
          <w:tab w:val="num" w:pos="3240"/>
        </w:tabs>
        <w:ind w:left="3240" w:hanging="360"/>
      </w:pPr>
      <w:rPr>
        <w:rFonts w:ascii="OpenSymbol" w:hAnsi="OpenSymbol" w:cs="StarSymbol" w:hint="default"/>
        <w:sz w:val="18"/>
        <w:szCs w:val="18"/>
      </w:rPr>
    </w:lvl>
    <w:lvl w:ilvl="8">
      <w:start w:val="1"/>
      <w:numFmt w:val="bullet"/>
      <w:lvlText w:val="▪"/>
      <w:lvlJc w:val="left"/>
      <w:pPr>
        <w:tabs>
          <w:tab w:val="num" w:pos="3600"/>
        </w:tabs>
        <w:ind w:left="3600" w:hanging="360"/>
      </w:pPr>
      <w:rPr>
        <w:rFonts w:ascii="OpenSymbol" w:hAnsi="OpenSymbol" w:cs="StarSymbol" w:hint="default"/>
        <w:sz w:val="18"/>
        <w:szCs w:val="18"/>
      </w:rPr>
    </w:lvl>
  </w:abstractNum>
  <w:abstractNum w:abstractNumId="20" w15:restartNumberingAfterBreak="0">
    <w:nsid w:val="7AB40F56"/>
    <w:multiLevelType w:val="multilevel"/>
    <w:tmpl w:val="1E94757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360425370">
    <w:abstractNumId w:val="20"/>
  </w:num>
  <w:num w:numId="2" w16cid:durableId="2049642725">
    <w:abstractNumId w:val="11"/>
  </w:num>
  <w:num w:numId="3" w16cid:durableId="1697734598">
    <w:abstractNumId w:val="4"/>
  </w:num>
  <w:num w:numId="4" w16cid:durableId="1475952493">
    <w:abstractNumId w:val="14"/>
  </w:num>
  <w:num w:numId="5" w16cid:durableId="1571042300">
    <w:abstractNumId w:val="19"/>
  </w:num>
  <w:num w:numId="6" w16cid:durableId="1443723268">
    <w:abstractNumId w:val="7"/>
  </w:num>
  <w:num w:numId="7" w16cid:durableId="2133088320">
    <w:abstractNumId w:val="17"/>
  </w:num>
  <w:num w:numId="8" w16cid:durableId="1870952860">
    <w:abstractNumId w:val="9"/>
  </w:num>
  <w:num w:numId="9" w16cid:durableId="345904507">
    <w:abstractNumId w:val="6"/>
  </w:num>
  <w:num w:numId="10" w16cid:durableId="456876595">
    <w:abstractNumId w:val="15"/>
  </w:num>
  <w:num w:numId="11" w16cid:durableId="235751845">
    <w:abstractNumId w:val="18"/>
  </w:num>
  <w:num w:numId="12" w16cid:durableId="1255624547">
    <w:abstractNumId w:val="13"/>
  </w:num>
  <w:num w:numId="13" w16cid:durableId="603534588">
    <w:abstractNumId w:val="3"/>
  </w:num>
  <w:num w:numId="14" w16cid:durableId="153574200">
    <w:abstractNumId w:val="10"/>
  </w:num>
  <w:num w:numId="15" w16cid:durableId="479079531">
    <w:abstractNumId w:val="2"/>
  </w:num>
  <w:num w:numId="16" w16cid:durableId="714937096">
    <w:abstractNumId w:val="8"/>
  </w:num>
  <w:num w:numId="17" w16cid:durableId="410271221">
    <w:abstractNumId w:val="12"/>
  </w:num>
  <w:num w:numId="18" w16cid:durableId="721246652">
    <w:abstractNumId w:val="5"/>
  </w:num>
  <w:num w:numId="19" w16cid:durableId="1534028056">
    <w:abstractNumId w:val="1"/>
  </w:num>
  <w:num w:numId="20" w16cid:durableId="414060016">
    <w:abstractNumId w:val="16"/>
  </w:num>
  <w:num w:numId="21" w16cid:durableId="869302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ocumentProtection w:edit="forms" w:enforcement="1" w:cryptProviderType="rsaAES" w:cryptAlgorithmClass="hash" w:cryptAlgorithmType="typeAny" w:cryptAlgorithmSid="14" w:cryptSpinCount="100000" w:hash="bpdT0dJV4QYEuJrKK8jVzraoE+jzmDDAw27ruWx8XoJGwO3Mzy9Q8nK9oiUs2Vo02I7svVfUMjsFNm2tVznqjQ==" w:salt="v/d6NKC/BPHpmqssF++w4A=="/>
  <w:defaultTabStop w:val="709"/>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4BCA"/>
    <w:rsid w:val="00004CB0"/>
    <w:rsid w:val="00051257"/>
    <w:rsid w:val="000742BD"/>
    <w:rsid w:val="00091F59"/>
    <w:rsid w:val="0009308A"/>
    <w:rsid w:val="00093EDB"/>
    <w:rsid w:val="000B5FB8"/>
    <w:rsid w:val="000C3C5C"/>
    <w:rsid w:val="000C4F45"/>
    <w:rsid w:val="000C648C"/>
    <w:rsid w:val="001117EC"/>
    <w:rsid w:val="00117D3B"/>
    <w:rsid w:val="00146F8B"/>
    <w:rsid w:val="00147B24"/>
    <w:rsid w:val="001554ED"/>
    <w:rsid w:val="0019727E"/>
    <w:rsid w:val="001A1D4D"/>
    <w:rsid w:val="001B51A3"/>
    <w:rsid w:val="001C6912"/>
    <w:rsid w:val="001D73AD"/>
    <w:rsid w:val="001E274B"/>
    <w:rsid w:val="0020652B"/>
    <w:rsid w:val="00215E22"/>
    <w:rsid w:val="002473AD"/>
    <w:rsid w:val="00253701"/>
    <w:rsid w:val="00253A29"/>
    <w:rsid w:val="00254096"/>
    <w:rsid w:val="00271E70"/>
    <w:rsid w:val="002720CF"/>
    <w:rsid w:val="0028427A"/>
    <w:rsid w:val="002A23AF"/>
    <w:rsid w:val="002B5EFD"/>
    <w:rsid w:val="002C20BD"/>
    <w:rsid w:val="002D4FA9"/>
    <w:rsid w:val="002E0EB9"/>
    <w:rsid w:val="002F1015"/>
    <w:rsid w:val="00313C8F"/>
    <w:rsid w:val="00320D2C"/>
    <w:rsid w:val="0032139F"/>
    <w:rsid w:val="00337745"/>
    <w:rsid w:val="00373C37"/>
    <w:rsid w:val="003779D1"/>
    <w:rsid w:val="003830FC"/>
    <w:rsid w:val="00383CB8"/>
    <w:rsid w:val="00387A30"/>
    <w:rsid w:val="003A1AED"/>
    <w:rsid w:val="003A40EF"/>
    <w:rsid w:val="003B147D"/>
    <w:rsid w:val="003B2305"/>
    <w:rsid w:val="003C70C1"/>
    <w:rsid w:val="003C7AD6"/>
    <w:rsid w:val="003D3E0F"/>
    <w:rsid w:val="003D7EC2"/>
    <w:rsid w:val="003F2B5E"/>
    <w:rsid w:val="004170AC"/>
    <w:rsid w:val="00422A8F"/>
    <w:rsid w:val="004440A7"/>
    <w:rsid w:val="0045725C"/>
    <w:rsid w:val="00463ACE"/>
    <w:rsid w:val="004A23D0"/>
    <w:rsid w:val="004A475A"/>
    <w:rsid w:val="004A4BCA"/>
    <w:rsid w:val="004B131B"/>
    <w:rsid w:val="004F0134"/>
    <w:rsid w:val="00502D96"/>
    <w:rsid w:val="00503103"/>
    <w:rsid w:val="00527873"/>
    <w:rsid w:val="00541F05"/>
    <w:rsid w:val="00595C8E"/>
    <w:rsid w:val="005A1A9E"/>
    <w:rsid w:val="005B7F42"/>
    <w:rsid w:val="005C0DD3"/>
    <w:rsid w:val="005C1FA9"/>
    <w:rsid w:val="005C60BC"/>
    <w:rsid w:val="005C69BB"/>
    <w:rsid w:val="005E025D"/>
    <w:rsid w:val="005E1BB1"/>
    <w:rsid w:val="005E3BBE"/>
    <w:rsid w:val="005F184C"/>
    <w:rsid w:val="005F598D"/>
    <w:rsid w:val="005F670E"/>
    <w:rsid w:val="00621238"/>
    <w:rsid w:val="00622BBD"/>
    <w:rsid w:val="00625019"/>
    <w:rsid w:val="00625207"/>
    <w:rsid w:val="00642A05"/>
    <w:rsid w:val="00650941"/>
    <w:rsid w:val="0066055D"/>
    <w:rsid w:val="006637F1"/>
    <w:rsid w:val="00664F4B"/>
    <w:rsid w:val="006655DD"/>
    <w:rsid w:val="00686F92"/>
    <w:rsid w:val="006935D5"/>
    <w:rsid w:val="006A4A4B"/>
    <w:rsid w:val="006B4117"/>
    <w:rsid w:val="006C256B"/>
    <w:rsid w:val="006F3E23"/>
    <w:rsid w:val="0071296E"/>
    <w:rsid w:val="00714FAD"/>
    <w:rsid w:val="00726380"/>
    <w:rsid w:val="00731CD6"/>
    <w:rsid w:val="00735292"/>
    <w:rsid w:val="007366D8"/>
    <w:rsid w:val="007527C0"/>
    <w:rsid w:val="007532E1"/>
    <w:rsid w:val="00755EE8"/>
    <w:rsid w:val="00756791"/>
    <w:rsid w:val="007616CC"/>
    <w:rsid w:val="00762E21"/>
    <w:rsid w:val="00781874"/>
    <w:rsid w:val="00797F98"/>
    <w:rsid w:val="007D2CF4"/>
    <w:rsid w:val="007D51C8"/>
    <w:rsid w:val="00801B0E"/>
    <w:rsid w:val="008110FD"/>
    <w:rsid w:val="00815E9B"/>
    <w:rsid w:val="0082048C"/>
    <w:rsid w:val="00826AB7"/>
    <w:rsid w:val="00833EF4"/>
    <w:rsid w:val="00835E76"/>
    <w:rsid w:val="00855D08"/>
    <w:rsid w:val="00860337"/>
    <w:rsid w:val="008944C8"/>
    <w:rsid w:val="00896027"/>
    <w:rsid w:val="008B5099"/>
    <w:rsid w:val="008D37A3"/>
    <w:rsid w:val="008D3CD5"/>
    <w:rsid w:val="008E0306"/>
    <w:rsid w:val="008E56D5"/>
    <w:rsid w:val="00902041"/>
    <w:rsid w:val="00905278"/>
    <w:rsid w:val="00920640"/>
    <w:rsid w:val="00923352"/>
    <w:rsid w:val="00937EAA"/>
    <w:rsid w:val="00967AF2"/>
    <w:rsid w:val="00983BB7"/>
    <w:rsid w:val="00983E20"/>
    <w:rsid w:val="0099546B"/>
    <w:rsid w:val="009B2442"/>
    <w:rsid w:val="009C4EA0"/>
    <w:rsid w:val="009E5772"/>
    <w:rsid w:val="00A10B25"/>
    <w:rsid w:val="00A2238D"/>
    <w:rsid w:val="00A36671"/>
    <w:rsid w:val="00A40CB0"/>
    <w:rsid w:val="00A530EF"/>
    <w:rsid w:val="00A61AE0"/>
    <w:rsid w:val="00A71FA6"/>
    <w:rsid w:val="00A84F2C"/>
    <w:rsid w:val="00AB5F1A"/>
    <w:rsid w:val="00AB77F9"/>
    <w:rsid w:val="00AE0470"/>
    <w:rsid w:val="00AE1671"/>
    <w:rsid w:val="00AE2B69"/>
    <w:rsid w:val="00B02D09"/>
    <w:rsid w:val="00B056CC"/>
    <w:rsid w:val="00B06FF0"/>
    <w:rsid w:val="00B1481E"/>
    <w:rsid w:val="00B148EB"/>
    <w:rsid w:val="00B236E3"/>
    <w:rsid w:val="00B538DF"/>
    <w:rsid w:val="00B673A3"/>
    <w:rsid w:val="00B81415"/>
    <w:rsid w:val="00B820DF"/>
    <w:rsid w:val="00B97A46"/>
    <w:rsid w:val="00BA2903"/>
    <w:rsid w:val="00BA4A72"/>
    <w:rsid w:val="00BB2CBD"/>
    <w:rsid w:val="00BE15E3"/>
    <w:rsid w:val="00BF09D2"/>
    <w:rsid w:val="00BF284A"/>
    <w:rsid w:val="00BF2D56"/>
    <w:rsid w:val="00BF2E5E"/>
    <w:rsid w:val="00C04142"/>
    <w:rsid w:val="00C07B8B"/>
    <w:rsid w:val="00C27B93"/>
    <w:rsid w:val="00C34923"/>
    <w:rsid w:val="00C3734B"/>
    <w:rsid w:val="00C479E3"/>
    <w:rsid w:val="00C607EE"/>
    <w:rsid w:val="00C80DB6"/>
    <w:rsid w:val="00CE146E"/>
    <w:rsid w:val="00D02DBA"/>
    <w:rsid w:val="00D04B58"/>
    <w:rsid w:val="00D11605"/>
    <w:rsid w:val="00D14CB8"/>
    <w:rsid w:val="00D463B7"/>
    <w:rsid w:val="00D736C0"/>
    <w:rsid w:val="00D82D3D"/>
    <w:rsid w:val="00D97FAC"/>
    <w:rsid w:val="00DB24F1"/>
    <w:rsid w:val="00DB3F16"/>
    <w:rsid w:val="00DC61A2"/>
    <w:rsid w:val="00DE522B"/>
    <w:rsid w:val="00DF17EA"/>
    <w:rsid w:val="00DF58E9"/>
    <w:rsid w:val="00E026E8"/>
    <w:rsid w:val="00E03FD7"/>
    <w:rsid w:val="00E13A8C"/>
    <w:rsid w:val="00E20EBB"/>
    <w:rsid w:val="00E25993"/>
    <w:rsid w:val="00E666C6"/>
    <w:rsid w:val="00E92829"/>
    <w:rsid w:val="00E9755D"/>
    <w:rsid w:val="00EB054A"/>
    <w:rsid w:val="00EC20EC"/>
    <w:rsid w:val="00ED31BB"/>
    <w:rsid w:val="00F10E75"/>
    <w:rsid w:val="00F31525"/>
    <w:rsid w:val="00F46322"/>
    <w:rsid w:val="00F46367"/>
    <w:rsid w:val="00F9377C"/>
    <w:rsid w:val="00FB2DF0"/>
    <w:rsid w:val="00FC5630"/>
    <w:rsid w:val="00FE2756"/>
    <w:rsid w:val="00FE74B1"/>
    <w:rsid w:val="00FF36F5"/>
    <w:rsid w:val="00FF69B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CC923"/>
  <w15:docId w15:val="{D6DEEF84-82C0-4F9D-AEAA-718ECEA5D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jc w:val="both"/>
    </w:pPr>
    <w:rPr>
      <w:rFonts w:ascii="Calibri" w:hAnsi="Calibri" w:cs="Calibri"/>
    </w:rPr>
  </w:style>
  <w:style w:type="paragraph" w:styleId="Titre1">
    <w:name w:val="heading 1"/>
    <w:basedOn w:val="Normal"/>
    <w:next w:val="Normal"/>
    <w:qFormat/>
    <w:pPr>
      <w:widowControl/>
      <w:suppressAutoHyphens w:val="0"/>
      <w:spacing w:line="259" w:lineRule="auto"/>
      <w:ind w:left="360" w:hanging="360"/>
      <w:contextualSpacing/>
      <w:outlineLvl w:val="0"/>
    </w:pPr>
    <w:rPr>
      <w:rFonts w:eastAsia="Calibri"/>
      <w:b/>
      <w:color w:val="0076CC"/>
      <w:sz w:val="28"/>
      <w:szCs w:val="22"/>
      <w:lang w:eastAsia="en-US"/>
    </w:rPr>
  </w:style>
  <w:style w:type="paragraph" w:styleId="Titre2">
    <w:name w:val="heading 2"/>
    <w:basedOn w:val="Titre1"/>
    <w:next w:val="Normal"/>
    <w:qFormat/>
    <w:pPr>
      <w:ind w:left="720"/>
      <w:outlineLvl w:val="1"/>
    </w:pPr>
  </w:style>
  <w:style w:type="paragraph" w:styleId="Titre3">
    <w:name w:val="heading 3"/>
    <w:basedOn w:val="Normal"/>
    <w:next w:val="Normal"/>
    <w:qFormat/>
    <w:pPr>
      <w:ind w:firstLine="709"/>
      <w:outlineLvl w:val="2"/>
    </w:pPr>
    <w:rPr>
      <w:rFonts w:cs="Arial"/>
      <w:b/>
      <w:szCs w:val="22"/>
    </w:rPr>
  </w:style>
  <w:style w:type="paragraph" w:styleId="Titre4">
    <w:name w:val="heading 4"/>
    <w:basedOn w:val="Normal"/>
    <w:next w:val="Normal"/>
    <w:qFormat/>
    <w:pPr>
      <w:keepNext/>
      <w:keepLines/>
      <w:spacing w:before="40"/>
      <w:outlineLvl w:val="3"/>
    </w:pPr>
    <w:rPr>
      <w:rFonts w:ascii="Calibri Light" w:hAnsi="Calibri Light" w:cs="Times New Roman"/>
      <w:i/>
      <w:iCs/>
      <w:color w:val="2E74B5"/>
    </w:rPr>
  </w:style>
  <w:style w:type="paragraph" w:styleId="Titre5">
    <w:name w:val="heading 5"/>
    <w:basedOn w:val="Normal"/>
    <w:next w:val="Normal"/>
    <w:qFormat/>
    <w:pPr>
      <w:spacing w:before="240" w:after="60"/>
      <w:outlineLvl w:val="4"/>
    </w:pPr>
    <w:rPr>
      <w:b/>
      <w:i/>
      <w:sz w:val="26"/>
      <w:szCs w:val="26"/>
    </w:rPr>
  </w:style>
  <w:style w:type="paragraph" w:styleId="Titre6">
    <w:name w:val="heading 6"/>
    <w:basedOn w:val="Normal"/>
    <w:next w:val="Normal"/>
    <w:qFormat/>
    <w:pPr>
      <w:spacing w:before="240" w:after="60"/>
      <w:outlineLvl w:val="5"/>
    </w:pPr>
    <w:rPr>
      <w:b/>
      <w:sz w:val="22"/>
      <w:szCs w:val="22"/>
    </w:rPr>
  </w:style>
  <w:style w:type="paragraph" w:styleId="Titre7">
    <w:name w:val="heading 7"/>
    <w:basedOn w:val="Normal"/>
    <w:next w:val="Normal"/>
    <w:qFormat/>
    <w:pPr>
      <w:spacing w:before="240" w:after="60"/>
      <w:outlineLvl w:val="6"/>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ascii="Arial" w:eastAsia="Times New Roman" w:hAnsi="Arial"/>
    </w:rPr>
  </w:style>
  <w:style w:type="character" w:customStyle="1" w:styleId="WW8Num3z0">
    <w:name w:val="WW8Num3z0"/>
    <w:qFormat/>
    <w:rPr>
      <w:rFonts w:ascii="Arial" w:hAnsi="Arial"/>
    </w:rPr>
  </w:style>
  <w:style w:type="character" w:customStyle="1" w:styleId="WW8Num5z0">
    <w:name w:val="WW8Num5z0"/>
    <w:qFormat/>
    <w:rPr>
      <w:rFonts w:ascii="Symbol" w:hAnsi="Symbol"/>
    </w:rPr>
  </w:style>
  <w:style w:type="character" w:customStyle="1" w:styleId="WW8Num6z0">
    <w:name w:val="WW8Num6z0"/>
    <w:qFormat/>
    <w:rPr>
      <w:rFonts w:ascii="Wingdings" w:hAnsi="Wingdings" w:cs="StarSymbol"/>
      <w:sz w:val="18"/>
      <w:szCs w:val="18"/>
    </w:rPr>
  </w:style>
  <w:style w:type="character" w:customStyle="1" w:styleId="WW8Num6z1">
    <w:name w:val="WW8Num6z1"/>
    <w:qFormat/>
    <w:rPr>
      <w:rFonts w:ascii="Wingdings 2" w:hAnsi="Wingdings 2" w:cs="StarSymbol"/>
      <w:sz w:val="18"/>
      <w:szCs w:val="18"/>
    </w:rPr>
  </w:style>
  <w:style w:type="character" w:customStyle="1" w:styleId="WW8Num6z2">
    <w:name w:val="WW8Num6z2"/>
    <w:qFormat/>
    <w:rPr>
      <w:rFonts w:ascii="StarSymbol" w:hAnsi="StarSymbol" w:cs="StarSymbol"/>
      <w:sz w:val="18"/>
      <w:szCs w:val="18"/>
    </w:rPr>
  </w:style>
  <w:style w:type="character" w:customStyle="1" w:styleId="WW8Num7z0">
    <w:name w:val="WW8Num7z0"/>
    <w:qFormat/>
    <w:rPr>
      <w:rFonts w:ascii="Wingdings" w:hAnsi="Wingdings" w:cs="StarSymbol"/>
      <w:sz w:val="18"/>
      <w:szCs w:val="18"/>
    </w:rPr>
  </w:style>
  <w:style w:type="character" w:customStyle="1" w:styleId="WW8Num7z1">
    <w:name w:val="WW8Num7z1"/>
    <w:qFormat/>
    <w:rPr>
      <w:rFonts w:ascii="Wingdings 2" w:hAnsi="Wingdings 2" w:cs="StarSymbol"/>
      <w:sz w:val="18"/>
      <w:szCs w:val="18"/>
    </w:rPr>
  </w:style>
  <w:style w:type="character" w:customStyle="1" w:styleId="WW8Num7z2">
    <w:name w:val="WW8Num7z2"/>
    <w:qFormat/>
    <w:rPr>
      <w:rFonts w:ascii="StarSymbol" w:hAnsi="StarSymbol" w:cs="StarSymbol"/>
      <w:sz w:val="18"/>
      <w:szCs w:val="18"/>
    </w:rPr>
  </w:style>
  <w:style w:type="character" w:customStyle="1" w:styleId="WW8Num8z0">
    <w:name w:val="WW8Num8z0"/>
    <w:qFormat/>
    <w:rPr>
      <w:rFonts w:ascii="Arial" w:eastAsia="Times New Roman" w:hAnsi="Arial"/>
    </w:rPr>
  </w:style>
  <w:style w:type="character" w:customStyle="1" w:styleId="WW8Num8z1">
    <w:name w:val="WW8Num8z1"/>
    <w:qFormat/>
    <w:rPr>
      <w:rFonts w:ascii="Courier New" w:hAnsi="Courier New"/>
    </w:rPr>
  </w:style>
  <w:style w:type="character" w:customStyle="1" w:styleId="WW8Num8z2">
    <w:name w:val="WW8Num8z2"/>
    <w:qFormat/>
    <w:rPr>
      <w:rFonts w:ascii="Wingdings" w:hAnsi="Wingdings"/>
    </w:rPr>
  </w:style>
  <w:style w:type="character" w:customStyle="1" w:styleId="WW8Num9z0">
    <w:name w:val="WW8Num9z0"/>
    <w:qFormat/>
    <w:rPr>
      <w:rFonts w:ascii="Arial" w:eastAsia="Times New Roman" w:hAnsi="Arial"/>
    </w:rPr>
  </w:style>
  <w:style w:type="character" w:customStyle="1" w:styleId="WW8Num9z2">
    <w:name w:val="WW8Num9z2"/>
    <w:qFormat/>
    <w:rPr>
      <w:rFonts w:ascii="Wingdings" w:hAnsi="Wingdings"/>
    </w:rPr>
  </w:style>
  <w:style w:type="character" w:customStyle="1" w:styleId="WW8Num9z3">
    <w:name w:val="WW8Num9z3"/>
    <w:qFormat/>
    <w:rPr>
      <w:rFonts w:ascii="Symbol" w:hAnsi="Symbol"/>
    </w:rPr>
  </w:style>
  <w:style w:type="character" w:customStyle="1" w:styleId="WW8Num10z0">
    <w:name w:val="WW8Num10z0"/>
    <w:qFormat/>
    <w:rPr>
      <w:rFonts w:ascii="Symbol" w:hAnsi="Symbol"/>
      <w:color w:val="auto"/>
      <w:sz w:val="22"/>
      <w:szCs w:val="22"/>
    </w:rPr>
  </w:style>
  <w:style w:type="character" w:customStyle="1" w:styleId="WW8Num11z0">
    <w:name w:val="WW8Num11z0"/>
    <w:qFormat/>
    <w:rPr>
      <w:rFonts w:ascii="Symbol" w:hAnsi="Symbol"/>
    </w:rPr>
  </w:style>
  <w:style w:type="character" w:customStyle="1" w:styleId="WW8Num13z0">
    <w:name w:val="WW8Num13z0"/>
    <w:qFormat/>
    <w:rPr>
      <w:b/>
      <w:i w:val="0"/>
      <w:color w:val="000000"/>
      <w:sz w:val="22"/>
      <w:u w:val="single"/>
    </w:rPr>
  </w:style>
  <w:style w:type="character" w:customStyle="1" w:styleId="WW8Num13z1">
    <w:name w:val="WW8Num13z1"/>
    <w:qFormat/>
    <w:rPr>
      <w:b w:val="0"/>
      <w:i w:val="0"/>
      <w:color w:val="auto"/>
      <w:sz w:val="22"/>
      <w:u w:val="none"/>
    </w:rPr>
  </w:style>
  <w:style w:type="character" w:customStyle="1" w:styleId="WW8Num13z2">
    <w:name w:val="WW8Num13z2"/>
    <w:qFormat/>
    <w:rPr>
      <w:color w:val="auto"/>
      <w:sz w:val="20"/>
      <w:u w:val="none"/>
    </w:rPr>
  </w:style>
  <w:style w:type="character" w:customStyle="1" w:styleId="WW8Num14z0">
    <w:name w:val="WW8Num14z0"/>
    <w:qFormat/>
    <w:rPr>
      <w:b/>
      <w:i w:val="0"/>
      <w:color w:val="000000"/>
      <w:sz w:val="22"/>
      <w:u w:val="single"/>
    </w:rPr>
  </w:style>
  <w:style w:type="character" w:customStyle="1" w:styleId="WW8Num14z1">
    <w:name w:val="WW8Num14z1"/>
    <w:qFormat/>
    <w:rPr>
      <w:b w:val="0"/>
      <w:i w:val="0"/>
      <w:color w:val="auto"/>
      <w:sz w:val="22"/>
      <w:u w:val="none"/>
    </w:rPr>
  </w:style>
  <w:style w:type="character" w:customStyle="1" w:styleId="Policepardfaut2">
    <w:name w:val="Police par défaut2"/>
    <w:qFormat/>
  </w:style>
  <w:style w:type="character" w:customStyle="1" w:styleId="WW8Num1z1">
    <w:name w:val="WW8Num1z1"/>
    <w:qFormat/>
    <w:rPr>
      <w:rFonts w:ascii="Courier New" w:hAnsi="Courier New"/>
    </w:rPr>
  </w:style>
  <w:style w:type="character" w:customStyle="1" w:styleId="WW8Num1z2">
    <w:name w:val="WW8Num1z2"/>
    <w:qFormat/>
    <w:rPr>
      <w:rFonts w:ascii="Wingdings" w:hAnsi="Wingdings"/>
    </w:rPr>
  </w:style>
  <w:style w:type="character" w:customStyle="1" w:styleId="WW8Num1z3">
    <w:name w:val="WW8Num1z3"/>
    <w:qFormat/>
    <w:rPr>
      <w:rFonts w:ascii="Symbol" w:hAnsi="Symbol"/>
    </w:rPr>
  </w:style>
  <w:style w:type="character" w:customStyle="1" w:styleId="WW8Num4z0">
    <w:name w:val="WW8Num4z0"/>
    <w:qFormat/>
    <w:rPr>
      <w:rFonts w:ascii="Arial" w:eastAsia="Times New Roman" w:hAnsi="Arial" w:cs="Wingdings"/>
    </w:rPr>
  </w:style>
  <w:style w:type="character" w:customStyle="1" w:styleId="WW8Num4z1">
    <w:name w:val="WW8Num4z1"/>
    <w:qFormat/>
    <w:rPr>
      <w:rFonts w:ascii="Courier New" w:hAnsi="Courier New" w:cs="Wingdings"/>
    </w:rPr>
  </w:style>
  <w:style w:type="character" w:customStyle="1" w:styleId="WW8Num4z2">
    <w:name w:val="WW8Num4z2"/>
    <w:qFormat/>
    <w:rPr>
      <w:rFonts w:ascii="Wingdings" w:hAnsi="Wingdings"/>
    </w:rPr>
  </w:style>
  <w:style w:type="character" w:customStyle="1" w:styleId="WW8Num4z3">
    <w:name w:val="WW8Num4z3"/>
    <w:qFormat/>
    <w:rPr>
      <w:rFonts w:ascii="Symbol" w:hAnsi="Symbol"/>
    </w:rPr>
  </w:style>
  <w:style w:type="character" w:customStyle="1" w:styleId="WW8Num8z3">
    <w:name w:val="WW8Num8z3"/>
    <w:qFormat/>
    <w:rPr>
      <w:rFonts w:ascii="Symbol" w:hAnsi="Symbol"/>
    </w:rPr>
  </w:style>
  <w:style w:type="character" w:customStyle="1" w:styleId="WW8Num9z1">
    <w:name w:val="WW8Num9z1"/>
    <w:qFormat/>
    <w:rPr>
      <w:rFonts w:ascii="Courier New" w:hAnsi="Courier New"/>
    </w:rPr>
  </w:style>
  <w:style w:type="character" w:customStyle="1" w:styleId="WW8Num12z0">
    <w:name w:val="WW8Num12z0"/>
    <w:qFormat/>
    <w:rPr>
      <w:rFonts w:ascii="Arial" w:eastAsia="Times New Roman" w:hAnsi="Arial"/>
    </w:rPr>
  </w:style>
  <w:style w:type="character" w:customStyle="1" w:styleId="WW8Num12z1">
    <w:name w:val="WW8Num12z1"/>
    <w:qFormat/>
    <w:rPr>
      <w:rFonts w:ascii="Courier New" w:hAnsi="Courier New"/>
    </w:rPr>
  </w:style>
  <w:style w:type="character" w:customStyle="1" w:styleId="WW8Num12z2">
    <w:name w:val="WW8Num12z2"/>
    <w:qFormat/>
    <w:rPr>
      <w:rFonts w:ascii="Wingdings" w:hAnsi="Wingdings"/>
    </w:rPr>
  </w:style>
  <w:style w:type="character" w:customStyle="1" w:styleId="WW8Num12z3">
    <w:name w:val="WW8Num12z3"/>
    <w:qFormat/>
    <w:rPr>
      <w:rFonts w:ascii="Symbol" w:hAnsi="Symbol"/>
    </w:rPr>
  </w:style>
  <w:style w:type="character" w:customStyle="1" w:styleId="Policepardfaut1">
    <w:name w:val="Police par défaut1"/>
    <w:qFormat/>
  </w:style>
  <w:style w:type="character" w:styleId="Numrodepage">
    <w:name w:val="page number"/>
    <w:basedOn w:val="Policepardfaut1"/>
    <w:qFormat/>
  </w:style>
  <w:style w:type="character" w:customStyle="1" w:styleId="LienInternet">
    <w:name w:val="Lien Internet"/>
    <w:basedOn w:val="Policepardfaut"/>
    <w:uiPriority w:val="99"/>
    <w:unhideWhenUsed/>
    <w:rsid w:val="00B95C0A"/>
    <w:rPr>
      <w:color w:val="0563C1" w:themeColor="hyperlink"/>
      <w:u w:val="single"/>
    </w:rPr>
  </w:style>
  <w:style w:type="character" w:customStyle="1" w:styleId="Caractresdenumrotation">
    <w:name w:val="Caractères de numérotation"/>
    <w:qFormat/>
  </w:style>
  <w:style w:type="character" w:customStyle="1" w:styleId="Puces">
    <w:name w:val="Puces"/>
    <w:qFormat/>
    <w:rPr>
      <w:rFonts w:ascii="StarSymbol" w:eastAsia="StarSymbol" w:hAnsi="StarSymbol" w:cs="StarSymbol"/>
      <w:sz w:val="18"/>
      <w:szCs w:val="18"/>
    </w:rPr>
  </w:style>
  <w:style w:type="character" w:customStyle="1" w:styleId="WW8Num23z0">
    <w:name w:val="WW8Num23z0"/>
    <w:qFormat/>
    <w:rPr>
      <w:rFonts w:ascii="Courier New" w:hAnsi="Courier New" w:cs="Courier New"/>
    </w:rPr>
  </w:style>
  <w:style w:type="character" w:customStyle="1" w:styleId="WW8Num23z2">
    <w:name w:val="WW8Num23z2"/>
    <w:qFormat/>
    <w:rPr>
      <w:rFonts w:ascii="Wingdings" w:hAnsi="Wingdings"/>
    </w:rPr>
  </w:style>
  <w:style w:type="character" w:customStyle="1" w:styleId="WW8Num23z3">
    <w:name w:val="WW8Num23z3"/>
    <w:qFormat/>
    <w:rPr>
      <w:rFonts w:ascii="Symbol" w:hAnsi="Symbol"/>
    </w:rPr>
  </w:style>
  <w:style w:type="character" w:customStyle="1" w:styleId="WW8Num26z0">
    <w:name w:val="WW8Num26z0"/>
    <w:qFormat/>
    <w:rPr>
      <w:rFonts w:ascii="Symbol" w:hAnsi="Symbol"/>
      <w:color w:val="auto"/>
      <w:sz w:val="22"/>
      <w:szCs w:val="22"/>
    </w:rPr>
  </w:style>
  <w:style w:type="character" w:customStyle="1" w:styleId="WW8Num26z1">
    <w:name w:val="WW8Num26z1"/>
    <w:qFormat/>
    <w:rPr>
      <w:rFonts w:ascii="Courier New" w:hAnsi="Courier New" w:cs="Courier New"/>
    </w:rPr>
  </w:style>
  <w:style w:type="character" w:customStyle="1" w:styleId="WW8Num26z2">
    <w:name w:val="WW8Num26z2"/>
    <w:qFormat/>
    <w:rPr>
      <w:rFonts w:ascii="Wingdings" w:hAnsi="Wingdings"/>
    </w:rPr>
  </w:style>
  <w:style w:type="character" w:customStyle="1" w:styleId="WW8Num26z3">
    <w:name w:val="WW8Num26z3"/>
    <w:qFormat/>
    <w:rPr>
      <w:rFonts w:ascii="Symbol" w:hAnsi="Symbol"/>
    </w:rPr>
  </w:style>
  <w:style w:type="character" w:customStyle="1" w:styleId="WW8Num19z0">
    <w:name w:val="WW8Num19z0"/>
    <w:qFormat/>
    <w:rPr>
      <w:rFonts w:ascii="Symbol" w:hAnsi="Symbol"/>
      <w:color w:val="auto"/>
      <w:sz w:val="22"/>
      <w:szCs w:val="2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rPr>
  </w:style>
  <w:style w:type="character" w:customStyle="1" w:styleId="WW8Num19z3">
    <w:name w:val="WW8Num19z3"/>
    <w:qFormat/>
    <w:rPr>
      <w:rFonts w:ascii="Symbol" w:hAnsi="Symbol"/>
    </w:rPr>
  </w:style>
  <w:style w:type="character" w:customStyle="1" w:styleId="PieddepageCar">
    <w:name w:val="Pied de page Car"/>
    <w:qFormat/>
    <w:rPr>
      <w:sz w:val="24"/>
      <w:lang w:eastAsia="ar-SA"/>
    </w:rPr>
  </w:style>
  <w:style w:type="character" w:customStyle="1" w:styleId="Titre2Car">
    <w:name w:val="Titre 2 Car"/>
    <w:qFormat/>
    <w:rPr>
      <w:rFonts w:ascii="Calibri" w:eastAsia="Calibri" w:hAnsi="Calibri"/>
      <w:b/>
      <w:color w:val="0076CC"/>
      <w:sz w:val="28"/>
      <w:szCs w:val="22"/>
      <w:lang w:eastAsia="en-US"/>
    </w:rPr>
  </w:style>
  <w:style w:type="character" w:styleId="lev">
    <w:name w:val="Strong"/>
    <w:qFormat/>
    <w:rPr>
      <w:b/>
      <w:bCs/>
    </w:rPr>
  </w:style>
  <w:style w:type="character" w:customStyle="1" w:styleId="Titre4Car">
    <w:name w:val="Titre 4 Car"/>
    <w:basedOn w:val="Policepardfaut"/>
    <w:qFormat/>
    <w:rPr>
      <w:rFonts w:ascii="Calibri Light" w:eastAsia="Times New Roman" w:hAnsi="Calibri Light" w:cs="Times New Roman"/>
      <w:i/>
      <w:iCs/>
      <w:color w:val="2E74B5"/>
      <w:sz w:val="24"/>
      <w:lang w:eastAsia="ar-SA"/>
    </w:rPr>
  </w:style>
  <w:style w:type="character" w:customStyle="1" w:styleId="NotedebasdepageCar">
    <w:name w:val="Note de bas de page Car"/>
    <w:basedOn w:val="Policepardfaut"/>
    <w:uiPriority w:val="99"/>
    <w:qFormat/>
    <w:rPr>
      <w:rFonts w:ascii="Calibri" w:eastAsia="Calibri" w:hAnsi="Calibri" w:cs="Times New Roman"/>
      <w:lang w:eastAsia="en-US"/>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qFormat/>
    <w:rPr>
      <w:vertAlign w:val="superscript"/>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rPr>
      <w:lang w:eastAsia="ar-SA"/>
    </w:rPr>
  </w:style>
  <w:style w:type="character" w:customStyle="1" w:styleId="ObjetducommentaireCar">
    <w:name w:val="Objet du commentaire Car"/>
    <w:basedOn w:val="CommentaireCar"/>
    <w:qFormat/>
    <w:rPr>
      <w:b/>
      <w:bCs/>
      <w:lang w:eastAsia="ar-SA"/>
    </w:rPr>
  </w:style>
  <w:style w:type="character" w:customStyle="1" w:styleId="ListLabel1">
    <w:name w:val="ListLabel 1"/>
    <w:qFormat/>
    <w:rPr>
      <w:rFonts w:eastAsia="Times New Roman" w:cs="Times New Roman"/>
      <w:b w:val="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sz w:val="20"/>
    </w:rPr>
  </w:style>
  <w:style w:type="character" w:customStyle="1" w:styleId="ListLabel12">
    <w:name w:val="ListLabel 12"/>
    <w:qFormat/>
    <w:rPr>
      <w:sz w:val="20"/>
    </w:rPr>
  </w:style>
  <w:style w:type="character" w:customStyle="1" w:styleId="ListLabel13">
    <w:name w:val="ListLabel 13"/>
    <w:qFormat/>
    <w:rPr>
      <w:sz w:val="20"/>
    </w:rPr>
  </w:style>
  <w:style w:type="character" w:customStyle="1" w:styleId="ListLabel14">
    <w:name w:val="ListLabel 14"/>
    <w:qFormat/>
    <w:rPr>
      <w:sz w:val="20"/>
    </w:rPr>
  </w:style>
  <w:style w:type="character" w:customStyle="1" w:styleId="ListLabel15">
    <w:name w:val="ListLabel 15"/>
    <w:qFormat/>
    <w:rPr>
      <w:sz w:val="20"/>
    </w:rPr>
  </w:style>
  <w:style w:type="character" w:customStyle="1" w:styleId="ListLabel16">
    <w:name w:val="ListLabel 16"/>
    <w:qFormat/>
    <w:rPr>
      <w:sz w:val="20"/>
    </w:rPr>
  </w:style>
  <w:style w:type="character" w:customStyle="1" w:styleId="ListLabel17">
    <w:name w:val="ListLabel 17"/>
    <w:qFormat/>
    <w:rPr>
      <w:sz w:val="20"/>
    </w:rPr>
  </w:style>
  <w:style w:type="character" w:customStyle="1" w:styleId="ListLabel18">
    <w:name w:val="ListLabel 18"/>
    <w:qFormat/>
    <w:rPr>
      <w:sz w:val="20"/>
    </w:rPr>
  </w:style>
  <w:style w:type="character" w:customStyle="1" w:styleId="ListLabel19">
    <w:name w:val="ListLabel 19"/>
    <w:qFormat/>
    <w:rPr>
      <w:sz w:val="20"/>
    </w:rPr>
  </w:style>
  <w:style w:type="character" w:customStyle="1" w:styleId="ListLabel20">
    <w:name w:val="ListLabel 20"/>
    <w:qFormat/>
    <w:rPr>
      <w:sz w:val="20"/>
    </w:rPr>
  </w:style>
  <w:style w:type="character" w:customStyle="1" w:styleId="ListLabel21">
    <w:name w:val="ListLabel 21"/>
    <w:qFormat/>
    <w:rPr>
      <w:sz w:val="20"/>
    </w:rPr>
  </w:style>
  <w:style w:type="character" w:customStyle="1" w:styleId="ListLabel22">
    <w:name w:val="ListLabel 22"/>
    <w:qFormat/>
    <w:rPr>
      <w:sz w:val="20"/>
    </w:rPr>
  </w:style>
  <w:style w:type="character" w:customStyle="1" w:styleId="ListLabel23">
    <w:name w:val="ListLabel 23"/>
    <w:qFormat/>
    <w:rPr>
      <w:sz w:val="20"/>
    </w:rPr>
  </w:style>
  <w:style w:type="character" w:customStyle="1" w:styleId="ListLabel24">
    <w:name w:val="ListLabel 24"/>
    <w:qFormat/>
    <w:rPr>
      <w:sz w:val="20"/>
    </w:rPr>
  </w:style>
  <w:style w:type="character" w:customStyle="1" w:styleId="ListLabel25">
    <w:name w:val="ListLabel 25"/>
    <w:qFormat/>
    <w:rPr>
      <w:sz w:val="20"/>
    </w:rPr>
  </w:style>
  <w:style w:type="character" w:customStyle="1" w:styleId="ListLabel26">
    <w:name w:val="ListLabel 26"/>
    <w:qFormat/>
    <w:rPr>
      <w:sz w:val="20"/>
    </w:rPr>
  </w:style>
  <w:style w:type="character" w:customStyle="1" w:styleId="ListLabel27">
    <w:name w:val="ListLabel 27"/>
    <w:qFormat/>
    <w:rPr>
      <w:sz w:val="20"/>
    </w:rPr>
  </w:style>
  <w:style w:type="character" w:customStyle="1" w:styleId="ListLabel28">
    <w:name w:val="ListLabel 28"/>
    <w:qFormat/>
    <w:rPr>
      <w:sz w:val="20"/>
    </w:rPr>
  </w:style>
  <w:style w:type="character" w:customStyle="1" w:styleId="ListLabel29">
    <w:name w:val="ListLabel 29"/>
    <w:qFormat/>
    <w:rPr>
      <w:sz w:val="20"/>
    </w:rPr>
  </w:style>
  <w:style w:type="character" w:customStyle="1" w:styleId="ListLabel30">
    <w:name w:val="ListLabel 30"/>
    <w:qFormat/>
    <w:rPr>
      <w:sz w:val="20"/>
    </w:rPr>
  </w:style>
  <w:style w:type="character" w:customStyle="1" w:styleId="ListLabel31">
    <w:name w:val="ListLabel 31"/>
    <w:qFormat/>
    <w:rPr>
      <w:sz w:val="20"/>
    </w:rPr>
  </w:style>
  <w:style w:type="character" w:customStyle="1" w:styleId="ListLabel32">
    <w:name w:val="ListLabel 32"/>
    <w:qFormat/>
    <w:rPr>
      <w:sz w:val="20"/>
    </w:rPr>
  </w:style>
  <w:style w:type="character" w:customStyle="1" w:styleId="ListLabel33">
    <w:name w:val="ListLabel 33"/>
    <w:qFormat/>
    <w:rPr>
      <w:sz w:val="20"/>
    </w:rPr>
  </w:style>
  <w:style w:type="character" w:customStyle="1" w:styleId="ListLabel34">
    <w:name w:val="ListLabel 34"/>
    <w:qFormat/>
    <w:rPr>
      <w:sz w:val="20"/>
    </w:rPr>
  </w:style>
  <w:style w:type="character" w:customStyle="1" w:styleId="ListLabel35">
    <w:name w:val="ListLabel 35"/>
    <w:qFormat/>
    <w:rPr>
      <w:sz w:val="20"/>
    </w:rPr>
  </w:style>
  <w:style w:type="character" w:customStyle="1" w:styleId="ListLabel36">
    <w:name w:val="ListLabel 36"/>
    <w:qFormat/>
    <w:rPr>
      <w:sz w:val="20"/>
    </w:rPr>
  </w:style>
  <w:style w:type="character" w:customStyle="1" w:styleId="ListLabel37">
    <w:name w:val="ListLabel 37"/>
    <w:qFormat/>
    <w:rPr>
      <w:sz w:val="20"/>
    </w:rPr>
  </w:style>
  <w:style w:type="character" w:customStyle="1" w:styleId="ListLabel38">
    <w:name w:val="ListLabel 38"/>
    <w:qFormat/>
    <w:rPr>
      <w:sz w:val="20"/>
    </w:rPr>
  </w:style>
  <w:style w:type="character" w:customStyle="1" w:styleId="ListLabel39">
    <w:name w:val="ListLabel 39"/>
    <w:qFormat/>
    <w:rPr>
      <w:sz w:val="20"/>
    </w:rPr>
  </w:style>
  <w:style w:type="character" w:customStyle="1" w:styleId="ListLabel40">
    <w:name w:val="ListLabel 40"/>
    <w:qFormat/>
    <w:rPr>
      <w:sz w:val="20"/>
    </w:rPr>
  </w:style>
  <w:style w:type="character" w:customStyle="1" w:styleId="ListLabel41">
    <w:name w:val="ListLabel 41"/>
    <w:qFormat/>
    <w:rPr>
      <w:sz w:val="20"/>
    </w:rPr>
  </w:style>
  <w:style w:type="character" w:customStyle="1" w:styleId="ListLabel42">
    <w:name w:val="ListLabel 42"/>
    <w:qFormat/>
    <w:rPr>
      <w:sz w:val="20"/>
    </w:rPr>
  </w:style>
  <w:style w:type="character" w:customStyle="1" w:styleId="ListLabel43">
    <w:name w:val="ListLabel 43"/>
    <w:qFormat/>
    <w:rPr>
      <w:sz w:val="20"/>
    </w:rPr>
  </w:style>
  <w:style w:type="character" w:customStyle="1" w:styleId="ListLabel44">
    <w:name w:val="ListLabel 44"/>
    <w:qFormat/>
    <w:rPr>
      <w:sz w:val="20"/>
    </w:rPr>
  </w:style>
  <w:style w:type="character" w:customStyle="1" w:styleId="ListLabel45">
    <w:name w:val="ListLabel 45"/>
    <w:qFormat/>
    <w:rPr>
      <w:sz w:val="20"/>
    </w:rPr>
  </w:style>
  <w:style w:type="character" w:customStyle="1" w:styleId="ListLabel46">
    <w:name w:val="ListLabel 46"/>
    <w:qFormat/>
    <w:rPr>
      <w:sz w:val="20"/>
    </w:rPr>
  </w:style>
  <w:style w:type="character" w:customStyle="1" w:styleId="ListLabel47">
    <w:name w:val="ListLabel 47"/>
    <w:qFormat/>
    <w:rPr>
      <w:sz w:val="20"/>
    </w:rPr>
  </w:style>
  <w:style w:type="character" w:customStyle="1" w:styleId="ListLabel48">
    <w:name w:val="ListLabel 48"/>
    <w:qFormat/>
    <w:rPr>
      <w:sz w:val="20"/>
    </w:rPr>
  </w:style>
  <w:style w:type="character" w:customStyle="1" w:styleId="ListLabel49">
    <w:name w:val="ListLabel 49"/>
    <w:qFormat/>
    <w:rPr>
      <w:sz w:val="20"/>
    </w:rPr>
  </w:style>
  <w:style w:type="character" w:customStyle="1" w:styleId="ListLabel50">
    <w:name w:val="ListLabel 50"/>
    <w:qFormat/>
    <w:rPr>
      <w:sz w:val="20"/>
    </w:rPr>
  </w:style>
  <w:style w:type="character" w:customStyle="1" w:styleId="ListLabel51">
    <w:name w:val="ListLabel 51"/>
    <w:qFormat/>
    <w:rPr>
      <w:sz w:val="20"/>
    </w:rPr>
  </w:style>
  <w:style w:type="character" w:customStyle="1" w:styleId="ListLabel52">
    <w:name w:val="ListLabel 52"/>
    <w:qFormat/>
    <w:rPr>
      <w:sz w:val="20"/>
    </w:rPr>
  </w:style>
  <w:style w:type="character" w:customStyle="1" w:styleId="ListLabel53">
    <w:name w:val="ListLabel 53"/>
    <w:qFormat/>
    <w:rPr>
      <w:sz w:val="20"/>
    </w:rPr>
  </w:style>
  <w:style w:type="character" w:customStyle="1" w:styleId="ListLabel54">
    <w:name w:val="ListLabel 54"/>
    <w:qFormat/>
    <w:rPr>
      <w:sz w:val="20"/>
    </w:rPr>
  </w:style>
  <w:style w:type="character" w:customStyle="1" w:styleId="ListLabel55">
    <w:name w:val="ListLabel 55"/>
    <w:qFormat/>
    <w:rPr>
      <w:sz w:val="20"/>
    </w:rPr>
  </w:style>
  <w:style w:type="character" w:customStyle="1" w:styleId="ListLabel56">
    <w:name w:val="ListLabel 56"/>
    <w:qFormat/>
    <w:rPr>
      <w:sz w:val="20"/>
    </w:rPr>
  </w:style>
  <w:style w:type="character" w:customStyle="1" w:styleId="ListLabel57">
    <w:name w:val="ListLabel 57"/>
    <w:qFormat/>
    <w:rPr>
      <w:sz w:val="20"/>
    </w:rPr>
  </w:style>
  <w:style w:type="character" w:customStyle="1" w:styleId="ListLabel58">
    <w:name w:val="ListLabel 58"/>
    <w:qFormat/>
    <w:rPr>
      <w:sz w:val="20"/>
    </w:rPr>
  </w:style>
  <w:style w:type="character" w:customStyle="1" w:styleId="ListLabel59">
    <w:name w:val="ListLabel 59"/>
    <w:qFormat/>
    <w:rPr>
      <w:sz w:val="20"/>
    </w:rPr>
  </w:style>
  <w:style w:type="character" w:customStyle="1" w:styleId="ListLabel60">
    <w:name w:val="ListLabel 60"/>
    <w:qFormat/>
    <w:rPr>
      <w:sz w:val="20"/>
    </w:rPr>
  </w:style>
  <w:style w:type="character" w:customStyle="1" w:styleId="ListLabel61">
    <w:name w:val="ListLabel 61"/>
    <w:qFormat/>
    <w:rPr>
      <w:sz w:val="20"/>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sz w:val="20"/>
    </w:rPr>
  </w:style>
  <w:style w:type="character" w:customStyle="1" w:styleId="ListLabel72">
    <w:name w:val="ListLabel 72"/>
    <w:qFormat/>
    <w:rPr>
      <w:sz w:val="20"/>
    </w:rPr>
  </w:style>
  <w:style w:type="character" w:customStyle="1" w:styleId="ListLabel73">
    <w:name w:val="ListLabel 73"/>
    <w:qFormat/>
    <w:rPr>
      <w:sz w:val="20"/>
    </w:rPr>
  </w:style>
  <w:style w:type="character" w:customStyle="1" w:styleId="ListLabel74">
    <w:name w:val="ListLabel 74"/>
    <w:qFormat/>
    <w:rPr>
      <w:sz w:val="20"/>
    </w:rPr>
  </w:style>
  <w:style w:type="character" w:customStyle="1" w:styleId="ListLabel75">
    <w:name w:val="ListLabel 75"/>
    <w:qFormat/>
    <w:rPr>
      <w:sz w:val="20"/>
    </w:rPr>
  </w:style>
  <w:style w:type="character" w:customStyle="1" w:styleId="ListLabel76">
    <w:name w:val="ListLabel 76"/>
    <w:qFormat/>
    <w:rPr>
      <w:sz w:val="20"/>
    </w:rPr>
  </w:style>
  <w:style w:type="character" w:customStyle="1" w:styleId="ListLabel77">
    <w:name w:val="ListLabel 77"/>
    <w:qFormat/>
    <w:rPr>
      <w:sz w:val="20"/>
    </w:rPr>
  </w:style>
  <w:style w:type="character" w:customStyle="1" w:styleId="ListLabel78">
    <w:name w:val="ListLabel 78"/>
    <w:qFormat/>
    <w:rPr>
      <w:sz w:val="20"/>
    </w:rPr>
  </w:style>
  <w:style w:type="character" w:customStyle="1" w:styleId="ListLabel79">
    <w:name w:val="ListLabel 79"/>
    <w:qFormat/>
    <w:rPr>
      <w:sz w:val="20"/>
    </w:rPr>
  </w:style>
  <w:style w:type="character" w:customStyle="1" w:styleId="ListLabel80">
    <w:name w:val="ListLabel 80"/>
    <w:qFormat/>
    <w:rPr>
      <w:sz w:val="20"/>
    </w:rPr>
  </w:style>
  <w:style w:type="character" w:customStyle="1" w:styleId="ListLabel81">
    <w:name w:val="ListLabel 81"/>
    <w:qFormat/>
    <w:rPr>
      <w:sz w:val="20"/>
    </w:rPr>
  </w:style>
  <w:style w:type="character" w:customStyle="1" w:styleId="ListLabel82">
    <w:name w:val="ListLabel 82"/>
    <w:qFormat/>
    <w:rPr>
      <w:sz w:val="20"/>
    </w:rPr>
  </w:style>
  <w:style w:type="character" w:customStyle="1" w:styleId="ListLabel83">
    <w:name w:val="ListLabel 83"/>
    <w:qFormat/>
    <w:rPr>
      <w:sz w:val="20"/>
    </w:rPr>
  </w:style>
  <w:style w:type="character" w:customStyle="1" w:styleId="ListLabel84">
    <w:name w:val="ListLabel 84"/>
    <w:qFormat/>
    <w:rPr>
      <w:sz w:val="20"/>
    </w:rPr>
  </w:style>
  <w:style w:type="character" w:customStyle="1" w:styleId="ListLabel85">
    <w:name w:val="ListLabel 85"/>
    <w:qFormat/>
    <w:rPr>
      <w:sz w:val="20"/>
    </w:rPr>
  </w:style>
  <w:style w:type="character" w:customStyle="1" w:styleId="ListLabel86">
    <w:name w:val="ListLabel 86"/>
    <w:qFormat/>
    <w:rPr>
      <w:sz w:val="20"/>
    </w:rPr>
  </w:style>
  <w:style w:type="character" w:customStyle="1" w:styleId="ListLabel87">
    <w:name w:val="ListLabel 87"/>
    <w:qFormat/>
    <w:rPr>
      <w:sz w:val="20"/>
    </w:rPr>
  </w:style>
  <w:style w:type="character" w:customStyle="1" w:styleId="ListLabel88">
    <w:name w:val="ListLabel 88"/>
    <w:qFormat/>
    <w:rPr>
      <w:sz w:val="20"/>
    </w:rPr>
  </w:style>
  <w:style w:type="character" w:customStyle="1" w:styleId="ListLabel89">
    <w:name w:val="ListLabel 89"/>
    <w:qFormat/>
    <w:rPr>
      <w:sz w:val="20"/>
    </w:rPr>
  </w:style>
  <w:style w:type="character" w:customStyle="1" w:styleId="ListLabel90">
    <w:name w:val="ListLabel 90"/>
    <w:qFormat/>
    <w:rPr>
      <w:sz w:val="20"/>
    </w:rPr>
  </w:style>
  <w:style w:type="character" w:customStyle="1" w:styleId="ListLabel91">
    <w:name w:val="ListLabel 91"/>
    <w:qFormat/>
    <w:rPr>
      <w:sz w:val="20"/>
    </w:rPr>
  </w:style>
  <w:style w:type="character" w:customStyle="1" w:styleId="ListLabel92">
    <w:name w:val="ListLabel 92"/>
    <w:qFormat/>
    <w:rPr>
      <w:rFonts w:eastAsia="Times New Roman" w:cs="Times New Roman"/>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eastAsia="Times New Roman" w:cs="Times New Roman"/>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eastAsia="Times New Roman" w:cs="Calibri"/>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Sautdindex">
    <w:name w:val="Saut d'index"/>
    <w:qFormat/>
  </w:style>
  <w:style w:type="character" w:customStyle="1" w:styleId="Caractresdenotedebasdepage">
    <w:name w:val="Caractères de note de bas de page"/>
    <w:qFormat/>
  </w:style>
  <w:style w:type="character" w:customStyle="1" w:styleId="ListLabel427">
    <w:name w:val="ListLabel 427"/>
    <w:qFormat/>
    <w:rPr>
      <w:u w:val="none"/>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ListLabel428">
    <w:name w:val="ListLabel 428"/>
    <w:qFormat/>
    <w:rPr>
      <w:rFonts w:cs="Times New Roman"/>
      <w:b w:val="0"/>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Calibri"/>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Calibri" w:eastAsia="Times New Roman" w:hAnsi="Calibri" w:cs="Times New Roman"/>
      <w:color w:val="auto"/>
      <w:sz w:val="20"/>
      <w:szCs w:val="20"/>
      <w:u w:val="none"/>
      <w:lang w:eastAsia="ar-SA"/>
    </w:rPr>
  </w:style>
  <w:style w:type="character" w:customStyle="1" w:styleId="ListLabel447">
    <w:name w:val="ListLabel 447"/>
    <w:qFormat/>
    <w:rPr>
      <w:rFonts w:ascii="Calibri" w:hAnsi="Calibri"/>
      <w:strike w:val="0"/>
      <w:dstrike w:val="0"/>
      <w:color w:val="auto"/>
      <w:sz w:val="20"/>
      <w:szCs w:val="20"/>
      <w:u w:val="none"/>
      <w:effect w:val="none"/>
    </w:rPr>
  </w:style>
  <w:style w:type="character" w:customStyle="1" w:styleId="ListLabel448">
    <w:name w:val="ListLabel 448"/>
    <w:qFormat/>
    <w:rPr>
      <w:highlight w:val="green"/>
      <w:u w:val="none"/>
    </w:rPr>
  </w:style>
  <w:style w:type="character" w:customStyle="1" w:styleId="ListLabel423">
    <w:name w:val="ListLabel 423"/>
    <w:qFormat/>
    <w:rPr>
      <w:u w:val="none"/>
    </w:rPr>
  </w:style>
  <w:style w:type="character" w:customStyle="1" w:styleId="ListLabel449">
    <w:name w:val="ListLabel 449"/>
    <w:qFormat/>
    <w:rPr>
      <w:rFonts w:cs="Times New Roman"/>
      <w:b w:val="0"/>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cs="Calibri"/>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color w:val="auto"/>
      <w:sz w:val="20"/>
      <w:szCs w:val="20"/>
      <w:u w:val="none"/>
    </w:rPr>
  </w:style>
  <w:style w:type="character" w:customStyle="1" w:styleId="ListLabel468">
    <w:name w:val="ListLabel 468"/>
    <w:qFormat/>
    <w:rPr>
      <w:highlight w:val="green"/>
      <w:u w:val="none"/>
    </w:rPr>
  </w:style>
  <w:style w:type="character" w:customStyle="1" w:styleId="ListLabel469">
    <w:name w:val="ListLabel 469"/>
    <w:qFormat/>
    <w:rPr>
      <w:rFonts w:cs="Times New Roman"/>
      <w:b w:val="0"/>
    </w:rPr>
  </w:style>
  <w:style w:type="character" w:customStyle="1" w:styleId="ListLabel470">
    <w:name w:val="ListLabel 470"/>
    <w:qFormat/>
    <w:rPr>
      <w:rFonts w:cs="Courier New"/>
    </w:rPr>
  </w:style>
  <w:style w:type="character" w:customStyle="1" w:styleId="ListLabel471">
    <w:name w:val="ListLabel 471"/>
    <w:qFormat/>
    <w:rPr>
      <w:rFonts w:cs="Wingdings"/>
    </w:rPr>
  </w:style>
  <w:style w:type="character" w:customStyle="1" w:styleId="ListLabel472">
    <w:name w:val="ListLabel 472"/>
    <w:qFormat/>
    <w:rPr>
      <w:rFonts w:cs="Symbol"/>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Calibri"/>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cs="Symbol"/>
    </w:rPr>
  </w:style>
  <w:style w:type="character" w:customStyle="1" w:styleId="ListLabel482">
    <w:name w:val="ListLabel 482"/>
    <w:qFormat/>
    <w:rPr>
      <w:rFonts w:cs="Courier New"/>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color w:val="auto"/>
      <w:u w:val="none"/>
    </w:rPr>
  </w:style>
  <w:style w:type="character" w:customStyle="1" w:styleId="ListLabel488">
    <w:name w:val="ListLabel 488"/>
    <w:qFormat/>
    <w:rPr>
      <w:u w:val="none"/>
    </w:rPr>
  </w:style>
  <w:style w:type="character" w:customStyle="1" w:styleId="ListLabel489">
    <w:name w:val="ListLabel 489"/>
    <w:qFormat/>
    <w:rPr>
      <w:rFonts w:cs="Times New Roman"/>
      <w:b w:val="0"/>
    </w:rPr>
  </w:style>
  <w:style w:type="character" w:customStyle="1" w:styleId="ListLabel490">
    <w:name w:val="ListLabel 490"/>
    <w:qFormat/>
    <w:rPr>
      <w:rFonts w:cs="Courier New"/>
    </w:rPr>
  </w:style>
  <w:style w:type="character" w:customStyle="1" w:styleId="ListLabel491">
    <w:name w:val="ListLabel 491"/>
    <w:qFormat/>
    <w:rPr>
      <w:rFonts w:cs="Wingdings"/>
    </w:rPr>
  </w:style>
  <w:style w:type="character" w:customStyle="1" w:styleId="ListLabel492">
    <w:name w:val="ListLabel 492"/>
    <w:qFormat/>
    <w:rPr>
      <w:rFonts w:cs="Symbol"/>
    </w:rPr>
  </w:style>
  <w:style w:type="character" w:customStyle="1" w:styleId="ListLabel493">
    <w:name w:val="ListLabel 493"/>
    <w:qFormat/>
    <w:rPr>
      <w:rFonts w:cs="Courier New"/>
    </w:rPr>
  </w:style>
  <w:style w:type="character" w:customStyle="1" w:styleId="ListLabel494">
    <w:name w:val="ListLabel 494"/>
    <w:qFormat/>
    <w:rPr>
      <w:rFonts w:cs="Wingdings"/>
    </w:rPr>
  </w:style>
  <w:style w:type="character" w:customStyle="1" w:styleId="ListLabel495">
    <w:name w:val="ListLabel 495"/>
    <w:qFormat/>
    <w:rPr>
      <w:rFonts w:cs="Symbol"/>
    </w:rPr>
  </w:style>
  <w:style w:type="character" w:customStyle="1" w:styleId="ListLabel496">
    <w:name w:val="ListLabel 496"/>
    <w:qFormat/>
    <w:rPr>
      <w:rFonts w:cs="Courier New"/>
    </w:rPr>
  </w:style>
  <w:style w:type="character" w:customStyle="1" w:styleId="ListLabel497">
    <w:name w:val="ListLabel 497"/>
    <w:qFormat/>
    <w:rPr>
      <w:rFonts w:cs="Wingdings"/>
    </w:rPr>
  </w:style>
  <w:style w:type="character" w:customStyle="1" w:styleId="ListLabel498">
    <w:name w:val="ListLabel 498"/>
    <w:qFormat/>
    <w:rPr>
      <w:rFonts w:cs="Calibri"/>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color w:val="auto"/>
      <w:u w:val="none"/>
    </w:rPr>
  </w:style>
  <w:style w:type="character" w:customStyle="1" w:styleId="ListLabel508">
    <w:name w:val="ListLabel 508"/>
    <w:qFormat/>
    <w:rPr>
      <w:u w:val="none"/>
    </w:rPr>
  </w:style>
  <w:style w:type="character" w:customStyle="1" w:styleId="ListLabel509">
    <w:name w:val="ListLabel 509"/>
    <w:qFormat/>
    <w:rPr>
      <w:rFonts w:cs="Times New Roman"/>
      <w:b w:val="0"/>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Calibri"/>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color w:val="auto"/>
      <w:u w:val="none"/>
    </w:rPr>
  </w:style>
  <w:style w:type="character" w:customStyle="1" w:styleId="ListLabel528">
    <w:name w:val="ListLabel 528"/>
    <w:qFormat/>
    <w:rPr>
      <w:u w:val="none"/>
    </w:rPr>
  </w:style>
  <w:style w:type="character" w:customStyle="1" w:styleId="ListLabel529">
    <w:name w:val="ListLabel 529"/>
    <w:qFormat/>
    <w:rPr>
      <w:rFonts w:cs="Calibri"/>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tarSymbol"/>
      <w:sz w:val="18"/>
      <w:szCs w:val="18"/>
    </w:rPr>
  </w:style>
  <w:style w:type="character" w:customStyle="1" w:styleId="ListLabel539">
    <w:name w:val="ListLabel 539"/>
    <w:qFormat/>
    <w:rPr>
      <w:color w:val="auto"/>
      <w:u w:val="none"/>
    </w:rPr>
  </w:style>
  <w:style w:type="character" w:customStyle="1" w:styleId="ListLabel540">
    <w:name w:val="ListLabel 540"/>
    <w:qFormat/>
    <w:rPr>
      <w:u w:val="none"/>
    </w:rPr>
  </w:style>
  <w:style w:type="character" w:customStyle="1" w:styleId="ListLabel541">
    <w:name w:val="ListLabel 541"/>
    <w:qFormat/>
    <w:rPr>
      <w:rFonts w:cs="Calibri"/>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tarSymbol"/>
      <w:sz w:val="18"/>
      <w:szCs w:val="18"/>
    </w:rPr>
  </w:style>
  <w:style w:type="character" w:customStyle="1" w:styleId="ListLabel551">
    <w:name w:val="ListLabel 551"/>
    <w:qFormat/>
    <w:rPr>
      <w:rFonts w:cs="StarSymbol"/>
      <w:b w:val="0"/>
      <w:sz w:val="20"/>
      <w:szCs w:val="18"/>
    </w:rPr>
  </w:style>
  <w:style w:type="character" w:customStyle="1" w:styleId="ListLabel552">
    <w:name w:val="ListLabel 552"/>
    <w:qFormat/>
    <w:rPr>
      <w:rFonts w:cs="StarSymbol"/>
      <w:sz w:val="18"/>
      <w:szCs w:val="18"/>
    </w:rPr>
  </w:style>
  <w:style w:type="character" w:customStyle="1" w:styleId="ListLabel553">
    <w:name w:val="ListLabel 553"/>
    <w:qFormat/>
    <w:rPr>
      <w:rFonts w:cs="StarSymbol"/>
      <w:sz w:val="18"/>
      <w:szCs w:val="18"/>
    </w:rPr>
  </w:style>
  <w:style w:type="character" w:customStyle="1" w:styleId="ListLabel554">
    <w:name w:val="ListLabel 554"/>
    <w:qFormat/>
    <w:rPr>
      <w:rFonts w:cs="StarSymbol"/>
      <w:sz w:val="18"/>
      <w:szCs w:val="18"/>
    </w:rPr>
  </w:style>
  <w:style w:type="character" w:customStyle="1" w:styleId="ListLabel555">
    <w:name w:val="ListLabel 555"/>
    <w:qFormat/>
    <w:rPr>
      <w:rFonts w:cs="StarSymbol"/>
      <w:sz w:val="18"/>
      <w:szCs w:val="18"/>
    </w:rPr>
  </w:style>
  <w:style w:type="character" w:customStyle="1" w:styleId="ListLabel556">
    <w:name w:val="ListLabel 556"/>
    <w:qFormat/>
    <w:rPr>
      <w:rFonts w:cs="StarSymbol"/>
      <w:sz w:val="18"/>
      <w:szCs w:val="18"/>
    </w:rPr>
  </w:style>
  <w:style w:type="character" w:customStyle="1" w:styleId="ListLabel557">
    <w:name w:val="ListLabel 557"/>
    <w:qFormat/>
    <w:rPr>
      <w:rFonts w:cs="StarSymbol"/>
      <w:sz w:val="18"/>
      <w:szCs w:val="18"/>
    </w:rPr>
  </w:style>
  <w:style w:type="character" w:customStyle="1" w:styleId="ListLabel558">
    <w:name w:val="ListLabel 558"/>
    <w:qFormat/>
    <w:rPr>
      <w:rFonts w:cs="StarSymbol"/>
      <w:sz w:val="18"/>
      <w:szCs w:val="18"/>
    </w:rPr>
  </w:style>
  <w:style w:type="character" w:customStyle="1" w:styleId="ListLabel559">
    <w:name w:val="ListLabel 559"/>
    <w:qFormat/>
    <w:rPr>
      <w:rFonts w:cs="StarSymbol"/>
      <w:sz w:val="18"/>
      <w:szCs w:val="18"/>
    </w:rPr>
  </w:style>
  <w:style w:type="character" w:customStyle="1" w:styleId="ListLabel560">
    <w:name w:val="ListLabel 560"/>
    <w:qFormat/>
    <w:rPr>
      <w:color w:val="auto"/>
      <w:u w:val="none"/>
    </w:rPr>
  </w:style>
  <w:style w:type="character" w:customStyle="1" w:styleId="ListLabel561">
    <w:name w:val="ListLabel 561"/>
    <w:qFormat/>
    <w:rPr>
      <w:u w:val="none"/>
    </w:rPr>
  </w:style>
  <w:style w:type="character" w:customStyle="1" w:styleId="ListLabel562">
    <w:name w:val="ListLabel 562"/>
    <w:qFormat/>
    <w:rPr>
      <w:rFonts w:cs="Calibri"/>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cs="Symbol"/>
    </w:rPr>
  </w:style>
  <w:style w:type="character" w:customStyle="1" w:styleId="ListLabel569">
    <w:name w:val="ListLabel 569"/>
    <w:qFormat/>
    <w:rPr>
      <w:rFonts w:cs="Courier New"/>
    </w:rPr>
  </w:style>
  <w:style w:type="character" w:customStyle="1" w:styleId="ListLabel570">
    <w:name w:val="ListLabel 570"/>
    <w:qFormat/>
    <w:rPr>
      <w:rFonts w:cs="Wingdings"/>
    </w:rPr>
  </w:style>
  <w:style w:type="character" w:customStyle="1" w:styleId="ListLabel571">
    <w:name w:val="ListLabel 571"/>
    <w:qFormat/>
    <w:rPr>
      <w:rFonts w:cs="StarSymbol"/>
      <w:sz w:val="20"/>
      <w:szCs w:val="18"/>
    </w:rPr>
  </w:style>
  <w:style w:type="character" w:customStyle="1" w:styleId="ListLabel572">
    <w:name w:val="ListLabel 572"/>
    <w:qFormat/>
    <w:rPr>
      <w:rFonts w:cs="StarSymbol"/>
      <w:b w:val="0"/>
      <w:sz w:val="20"/>
      <w:szCs w:val="18"/>
    </w:rPr>
  </w:style>
  <w:style w:type="character" w:customStyle="1" w:styleId="ListLabel573">
    <w:name w:val="ListLabel 573"/>
    <w:qFormat/>
    <w:rPr>
      <w:rFonts w:cs="StarSymbol"/>
      <w:sz w:val="18"/>
      <w:szCs w:val="18"/>
    </w:rPr>
  </w:style>
  <w:style w:type="character" w:customStyle="1" w:styleId="ListLabel574">
    <w:name w:val="ListLabel 574"/>
    <w:qFormat/>
    <w:rPr>
      <w:rFonts w:cs="StarSymbol"/>
      <w:sz w:val="18"/>
      <w:szCs w:val="18"/>
    </w:rPr>
  </w:style>
  <w:style w:type="character" w:customStyle="1" w:styleId="ListLabel575">
    <w:name w:val="ListLabel 575"/>
    <w:qFormat/>
    <w:rPr>
      <w:rFonts w:cs="StarSymbol"/>
      <w:sz w:val="18"/>
      <w:szCs w:val="18"/>
    </w:rPr>
  </w:style>
  <w:style w:type="character" w:customStyle="1" w:styleId="ListLabel576">
    <w:name w:val="ListLabel 576"/>
    <w:qFormat/>
    <w:rPr>
      <w:rFonts w:cs="StarSymbol"/>
      <w:sz w:val="18"/>
      <w:szCs w:val="18"/>
    </w:rPr>
  </w:style>
  <w:style w:type="character" w:customStyle="1" w:styleId="ListLabel577">
    <w:name w:val="ListLabel 577"/>
    <w:qFormat/>
    <w:rPr>
      <w:rFonts w:cs="StarSymbol"/>
      <w:sz w:val="18"/>
      <w:szCs w:val="18"/>
    </w:rPr>
  </w:style>
  <w:style w:type="character" w:customStyle="1" w:styleId="ListLabel578">
    <w:name w:val="ListLabel 578"/>
    <w:qFormat/>
    <w:rPr>
      <w:rFonts w:cs="StarSymbol"/>
      <w:sz w:val="18"/>
      <w:szCs w:val="18"/>
    </w:rPr>
  </w:style>
  <w:style w:type="character" w:customStyle="1" w:styleId="ListLabel579">
    <w:name w:val="ListLabel 579"/>
    <w:qFormat/>
    <w:rPr>
      <w:rFonts w:cs="StarSymbol"/>
      <w:sz w:val="18"/>
      <w:szCs w:val="18"/>
    </w:rPr>
  </w:style>
  <w:style w:type="character" w:customStyle="1" w:styleId="ListLabel580">
    <w:name w:val="ListLabel 580"/>
    <w:qFormat/>
    <w:rPr>
      <w:rFonts w:cs="StarSymbol"/>
      <w:sz w:val="18"/>
      <w:szCs w:val="18"/>
    </w:rPr>
  </w:style>
  <w:style w:type="character" w:customStyle="1" w:styleId="ListLabel581">
    <w:name w:val="ListLabel 581"/>
    <w:qFormat/>
    <w:rPr>
      <w:rFonts w:cs="StarSymbol"/>
      <w:sz w:val="18"/>
      <w:szCs w:val="18"/>
    </w:rPr>
  </w:style>
  <w:style w:type="character" w:customStyle="1" w:styleId="ListLabel582">
    <w:name w:val="ListLabel 582"/>
    <w:qFormat/>
    <w:rPr>
      <w:rFonts w:cs="StarSymbol"/>
      <w:b w:val="0"/>
      <w:sz w:val="20"/>
      <w:szCs w:val="18"/>
    </w:rPr>
  </w:style>
  <w:style w:type="character" w:customStyle="1" w:styleId="ListLabel583">
    <w:name w:val="ListLabel 583"/>
    <w:qFormat/>
    <w:rPr>
      <w:rFonts w:cs="StarSymbol"/>
      <w:sz w:val="18"/>
      <w:szCs w:val="18"/>
    </w:rPr>
  </w:style>
  <w:style w:type="character" w:customStyle="1" w:styleId="ListLabel584">
    <w:name w:val="ListLabel 584"/>
    <w:qFormat/>
    <w:rPr>
      <w:rFonts w:cs="StarSymbol"/>
      <w:sz w:val="18"/>
      <w:szCs w:val="18"/>
    </w:rPr>
  </w:style>
  <w:style w:type="character" w:customStyle="1" w:styleId="ListLabel585">
    <w:name w:val="ListLabel 585"/>
    <w:qFormat/>
    <w:rPr>
      <w:rFonts w:cs="StarSymbol"/>
      <w:sz w:val="18"/>
      <w:szCs w:val="18"/>
    </w:rPr>
  </w:style>
  <w:style w:type="character" w:customStyle="1" w:styleId="ListLabel586">
    <w:name w:val="ListLabel 586"/>
    <w:qFormat/>
    <w:rPr>
      <w:rFonts w:cs="StarSymbol"/>
      <w:sz w:val="18"/>
      <w:szCs w:val="18"/>
    </w:rPr>
  </w:style>
  <w:style w:type="character" w:customStyle="1" w:styleId="ListLabel587">
    <w:name w:val="ListLabel 587"/>
    <w:qFormat/>
    <w:rPr>
      <w:rFonts w:cs="StarSymbol"/>
      <w:sz w:val="18"/>
      <w:szCs w:val="18"/>
    </w:rPr>
  </w:style>
  <w:style w:type="character" w:customStyle="1" w:styleId="ListLabel588">
    <w:name w:val="ListLabel 588"/>
    <w:qFormat/>
    <w:rPr>
      <w:rFonts w:cs="StarSymbol"/>
      <w:sz w:val="18"/>
      <w:szCs w:val="18"/>
    </w:rPr>
  </w:style>
  <w:style w:type="character" w:customStyle="1" w:styleId="ListLabel589">
    <w:name w:val="ListLabel 589"/>
    <w:qFormat/>
    <w:rPr>
      <w:rFonts w:cs="StarSymbol"/>
      <w:sz w:val="18"/>
      <w:szCs w:val="18"/>
    </w:rPr>
  </w:style>
  <w:style w:type="character" w:customStyle="1" w:styleId="ListLabel590">
    <w:name w:val="ListLabel 590"/>
    <w:qFormat/>
    <w:rPr>
      <w:rFonts w:cs="StarSymbol"/>
      <w:sz w:val="18"/>
      <w:szCs w:val="18"/>
    </w:rPr>
  </w:style>
  <w:style w:type="character" w:customStyle="1" w:styleId="ListLabel591">
    <w:name w:val="ListLabel 591"/>
    <w:qFormat/>
    <w:rPr>
      <w:color w:val="auto"/>
      <w:u w:val="none"/>
    </w:rPr>
  </w:style>
  <w:style w:type="character" w:customStyle="1" w:styleId="ListLabel592">
    <w:name w:val="ListLabel 592"/>
    <w:qFormat/>
    <w:rPr>
      <w:rFonts w:cs="Times New Roman"/>
      <w:lang w:eastAsia="ar-SA"/>
    </w:rPr>
  </w:style>
  <w:style w:type="character" w:customStyle="1" w:styleId="ListLabel593">
    <w:name w:val="ListLabel 593"/>
    <w:qFormat/>
    <w:rPr>
      <w:u w:val="none"/>
    </w:rPr>
  </w:style>
  <w:style w:type="character" w:customStyle="1" w:styleId="ListLabel594">
    <w:name w:val="ListLabel 594"/>
    <w:qFormat/>
    <w:rPr>
      <w:rFonts w:cs="Calibri"/>
    </w:rPr>
  </w:style>
  <w:style w:type="character" w:customStyle="1" w:styleId="ListLabel595">
    <w:name w:val="ListLabel 595"/>
    <w:qFormat/>
    <w:rPr>
      <w:rFonts w:cs="Courier New"/>
    </w:rPr>
  </w:style>
  <w:style w:type="character" w:customStyle="1" w:styleId="ListLabel596">
    <w:name w:val="ListLabel 596"/>
    <w:qFormat/>
    <w:rPr>
      <w:rFonts w:cs="Wingdings"/>
    </w:rPr>
  </w:style>
  <w:style w:type="character" w:customStyle="1" w:styleId="ListLabel597">
    <w:name w:val="ListLabel 597"/>
    <w:qFormat/>
    <w:rPr>
      <w:rFonts w:cs="Symbol"/>
    </w:rPr>
  </w:style>
  <w:style w:type="character" w:customStyle="1" w:styleId="ListLabel598">
    <w:name w:val="ListLabel 598"/>
    <w:qFormat/>
    <w:rPr>
      <w:rFonts w:cs="Courier New"/>
    </w:rPr>
  </w:style>
  <w:style w:type="character" w:customStyle="1" w:styleId="ListLabel599">
    <w:name w:val="ListLabel 599"/>
    <w:qFormat/>
    <w:rPr>
      <w:rFonts w:cs="Wingdings"/>
    </w:rPr>
  </w:style>
  <w:style w:type="character" w:customStyle="1" w:styleId="ListLabel600">
    <w:name w:val="ListLabel 600"/>
    <w:qFormat/>
    <w:rPr>
      <w:rFonts w:cs="Symbol"/>
    </w:rPr>
  </w:style>
  <w:style w:type="character" w:customStyle="1" w:styleId="ListLabel601">
    <w:name w:val="ListLabel 601"/>
    <w:qFormat/>
    <w:rPr>
      <w:rFonts w:cs="Courier New"/>
    </w:rPr>
  </w:style>
  <w:style w:type="character" w:customStyle="1" w:styleId="ListLabel602">
    <w:name w:val="ListLabel 602"/>
    <w:qFormat/>
    <w:rPr>
      <w:rFonts w:cs="Wingdings"/>
    </w:rPr>
  </w:style>
  <w:style w:type="character" w:customStyle="1" w:styleId="ListLabel603">
    <w:name w:val="ListLabel 603"/>
    <w:qFormat/>
    <w:rPr>
      <w:rFonts w:ascii="Calibri" w:hAnsi="Calibri" w:cs="StarSymbol"/>
      <w:sz w:val="20"/>
      <w:szCs w:val="18"/>
    </w:rPr>
  </w:style>
  <w:style w:type="character" w:customStyle="1" w:styleId="ListLabel604">
    <w:name w:val="ListLabel 604"/>
    <w:qFormat/>
    <w:rPr>
      <w:rFonts w:ascii="Calibri" w:hAnsi="Calibri" w:cs="StarSymbol"/>
      <w:b w:val="0"/>
      <w:sz w:val="20"/>
      <w:szCs w:val="18"/>
    </w:rPr>
  </w:style>
  <w:style w:type="character" w:customStyle="1" w:styleId="ListLabel605">
    <w:name w:val="ListLabel 605"/>
    <w:qFormat/>
    <w:rPr>
      <w:rFonts w:cs="StarSymbol"/>
      <w:sz w:val="18"/>
      <w:szCs w:val="18"/>
    </w:rPr>
  </w:style>
  <w:style w:type="character" w:customStyle="1" w:styleId="ListLabel606">
    <w:name w:val="ListLabel 606"/>
    <w:qFormat/>
    <w:rPr>
      <w:rFonts w:cs="StarSymbol"/>
      <w:sz w:val="18"/>
      <w:szCs w:val="18"/>
    </w:rPr>
  </w:style>
  <w:style w:type="character" w:customStyle="1" w:styleId="ListLabel607">
    <w:name w:val="ListLabel 607"/>
    <w:qFormat/>
    <w:rPr>
      <w:rFonts w:cs="StarSymbol"/>
      <w:sz w:val="18"/>
      <w:szCs w:val="18"/>
    </w:rPr>
  </w:style>
  <w:style w:type="character" w:customStyle="1" w:styleId="ListLabel608">
    <w:name w:val="ListLabel 608"/>
    <w:qFormat/>
    <w:rPr>
      <w:rFonts w:cs="StarSymbol"/>
      <w:sz w:val="18"/>
      <w:szCs w:val="18"/>
    </w:rPr>
  </w:style>
  <w:style w:type="character" w:customStyle="1" w:styleId="ListLabel609">
    <w:name w:val="ListLabel 609"/>
    <w:qFormat/>
    <w:rPr>
      <w:rFonts w:cs="StarSymbol"/>
      <w:sz w:val="18"/>
      <w:szCs w:val="18"/>
    </w:rPr>
  </w:style>
  <w:style w:type="character" w:customStyle="1" w:styleId="ListLabel610">
    <w:name w:val="ListLabel 610"/>
    <w:qFormat/>
    <w:rPr>
      <w:rFonts w:cs="StarSymbol"/>
      <w:sz w:val="18"/>
      <w:szCs w:val="18"/>
    </w:rPr>
  </w:style>
  <w:style w:type="character" w:customStyle="1" w:styleId="ListLabel611">
    <w:name w:val="ListLabel 611"/>
    <w:qFormat/>
    <w:rPr>
      <w:rFonts w:cs="StarSymbol"/>
      <w:sz w:val="18"/>
      <w:szCs w:val="18"/>
    </w:rPr>
  </w:style>
  <w:style w:type="character" w:customStyle="1" w:styleId="ListLabel612">
    <w:name w:val="ListLabel 612"/>
    <w:qFormat/>
    <w:rPr>
      <w:rFonts w:cs="StarSymbol"/>
      <w:sz w:val="18"/>
      <w:szCs w:val="18"/>
    </w:rPr>
  </w:style>
  <w:style w:type="character" w:customStyle="1" w:styleId="ListLabel613">
    <w:name w:val="ListLabel 613"/>
    <w:qFormat/>
    <w:rPr>
      <w:rFonts w:ascii="Calibri" w:hAnsi="Calibri" w:cs="StarSymbol"/>
      <w:sz w:val="18"/>
      <w:szCs w:val="18"/>
    </w:rPr>
  </w:style>
  <w:style w:type="character" w:customStyle="1" w:styleId="ListLabel614">
    <w:name w:val="ListLabel 614"/>
    <w:qFormat/>
    <w:rPr>
      <w:rFonts w:ascii="Calibri" w:hAnsi="Calibri" w:cs="StarSymbol"/>
      <w:b w:val="0"/>
      <w:sz w:val="20"/>
      <w:szCs w:val="18"/>
    </w:rPr>
  </w:style>
  <w:style w:type="character" w:customStyle="1" w:styleId="ListLabel615">
    <w:name w:val="ListLabel 615"/>
    <w:qFormat/>
    <w:rPr>
      <w:rFonts w:cs="StarSymbol"/>
      <w:sz w:val="18"/>
      <w:szCs w:val="18"/>
    </w:rPr>
  </w:style>
  <w:style w:type="character" w:customStyle="1" w:styleId="ListLabel616">
    <w:name w:val="ListLabel 616"/>
    <w:qFormat/>
    <w:rPr>
      <w:rFonts w:cs="StarSymbol"/>
      <w:sz w:val="18"/>
      <w:szCs w:val="18"/>
    </w:rPr>
  </w:style>
  <w:style w:type="character" w:customStyle="1" w:styleId="ListLabel617">
    <w:name w:val="ListLabel 617"/>
    <w:qFormat/>
    <w:rPr>
      <w:rFonts w:cs="StarSymbol"/>
      <w:sz w:val="18"/>
      <w:szCs w:val="18"/>
    </w:rPr>
  </w:style>
  <w:style w:type="character" w:customStyle="1" w:styleId="ListLabel618">
    <w:name w:val="ListLabel 618"/>
    <w:qFormat/>
    <w:rPr>
      <w:rFonts w:cs="StarSymbol"/>
      <w:sz w:val="18"/>
      <w:szCs w:val="18"/>
    </w:rPr>
  </w:style>
  <w:style w:type="character" w:customStyle="1" w:styleId="ListLabel619">
    <w:name w:val="ListLabel 619"/>
    <w:qFormat/>
    <w:rPr>
      <w:rFonts w:cs="StarSymbol"/>
      <w:sz w:val="18"/>
      <w:szCs w:val="18"/>
    </w:rPr>
  </w:style>
  <w:style w:type="character" w:customStyle="1" w:styleId="ListLabel620">
    <w:name w:val="ListLabel 620"/>
    <w:qFormat/>
    <w:rPr>
      <w:rFonts w:cs="StarSymbol"/>
      <w:sz w:val="18"/>
      <w:szCs w:val="18"/>
    </w:rPr>
  </w:style>
  <w:style w:type="character" w:customStyle="1" w:styleId="ListLabel621">
    <w:name w:val="ListLabel 621"/>
    <w:qFormat/>
    <w:rPr>
      <w:rFonts w:cs="StarSymbol"/>
      <w:sz w:val="18"/>
      <w:szCs w:val="18"/>
    </w:rPr>
  </w:style>
  <w:style w:type="character" w:customStyle="1" w:styleId="ListLabel622">
    <w:name w:val="ListLabel 622"/>
    <w:qFormat/>
    <w:rPr>
      <w:rFonts w:cs="StarSymbol"/>
      <w:sz w:val="18"/>
      <w:szCs w:val="18"/>
    </w:rPr>
  </w:style>
  <w:style w:type="character" w:customStyle="1" w:styleId="ListLabel623">
    <w:name w:val="ListLabel 623"/>
    <w:qFormat/>
    <w:rPr>
      <w:color w:val="auto"/>
      <w:u w:val="none"/>
    </w:rPr>
  </w:style>
  <w:style w:type="character" w:customStyle="1" w:styleId="ListLabel624">
    <w:name w:val="ListLabel 624"/>
    <w:qFormat/>
    <w:rPr>
      <w:rFonts w:cs="Times New Roman"/>
      <w:lang w:eastAsia="ar-SA"/>
    </w:rPr>
  </w:style>
  <w:style w:type="character" w:customStyle="1" w:styleId="ListLabel625">
    <w:name w:val="ListLabel 625"/>
    <w:qFormat/>
    <w:rPr>
      <w:u w:val="non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rPr>
      <w:szCs w:val="24"/>
    </w:rPr>
  </w:style>
  <w:style w:type="paragraph" w:styleId="Liste">
    <w:name w:val="List"/>
    <w:basedOn w:val="Corpsdetexte"/>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Titre20">
    <w:name w:val="Titre2"/>
    <w:basedOn w:val="Normal"/>
    <w:qFormat/>
    <w:pPr>
      <w:keepNext/>
      <w:spacing w:before="240" w:after="120"/>
    </w:pPr>
    <w:rPr>
      <w:rFonts w:ascii="Liberation Sans" w:eastAsia="DejaVu Sans" w:hAnsi="Liberation Sans" w:cs="DejaVu Sans"/>
      <w:sz w:val="28"/>
      <w:szCs w:val="28"/>
    </w:rPr>
  </w:style>
  <w:style w:type="paragraph" w:customStyle="1" w:styleId="Lgende2">
    <w:name w:val="Légende2"/>
    <w:basedOn w:val="Normal"/>
    <w:qFormat/>
    <w:pPr>
      <w:suppressLineNumbers/>
      <w:spacing w:before="120" w:after="120"/>
    </w:pPr>
    <w:rPr>
      <w:i/>
      <w:iCs/>
      <w:szCs w:val="24"/>
    </w:rPr>
  </w:style>
  <w:style w:type="paragraph" w:customStyle="1" w:styleId="Rpertoire">
    <w:name w:val="Répertoire"/>
    <w:basedOn w:val="Normal"/>
    <w:qFormat/>
    <w:pPr>
      <w:suppressLineNumbers/>
    </w:pPr>
  </w:style>
  <w:style w:type="paragraph" w:customStyle="1" w:styleId="Titre10">
    <w:name w:val="Titre1"/>
    <w:basedOn w:val="Normal"/>
    <w:qFormat/>
    <w:pPr>
      <w:keepNext/>
      <w:spacing w:before="240" w:after="120"/>
    </w:pPr>
    <w:rPr>
      <w:rFonts w:ascii="Liberation Sans" w:eastAsia="DejaVu Sans" w:hAnsi="Liberation Sans" w:cs="DejaVu Sans"/>
      <w:sz w:val="28"/>
      <w:szCs w:val="28"/>
    </w:rPr>
  </w:style>
  <w:style w:type="paragraph" w:customStyle="1" w:styleId="Lgende1">
    <w:name w:val="Légende1"/>
    <w:basedOn w:val="Normal"/>
    <w:qFormat/>
    <w:pPr>
      <w:suppressLineNumbers/>
      <w:spacing w:before="120" w:after="120"/>
    </w:pPr>
    <w:rPr>
      <w:i/>
      <w:iCs/>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normal12interligne15">
    <w:name w:val="normal 12 interligne 1.5"/>
    <w:basedOn w:val="Normal"/>
    <w:qFormat/>
    <w:pPr>
      <w:spacing w:line="360" w:lineRule="auto"/>
    </w:pPr>
    <w:rPr>
      <w:szCs w:val="24"/>
    </w:rPr>
  </w:style>
  <w:style w:type="paragraph" w:customStyle="1" w:styleId="normal12interligne1">
    <w:name w:val="normal 12 interligne 1"/>
    <w:basedOn w:val="Normal"/>
    <w:qFormat/>
    <w:pPr>
      <w:spacing w:line="360" w:lineRule="auto"/>
    </w:pPr>
  </w:style>
  <w:style w:type="paragraph" w:customStyle="1" w:styleId="Style2">
    <w:name w:val="Style2"/>
    <w:basedOn w:val="Normal"/>
    <w:qFormat/>
    <w:pPr>
      <w:ind w:left="560" w:hanging="540"/>
    </w:pPr>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Texteprformat">
    <w:name w:val="Texte préformaté"/>
    <w:basedOn w:val="Normal"/>
    <w:qFormat/>
    <w:rPr>
      <w:rFonts w:ascii="Liberation Mono" w:eastAsia="Liberation Mono" w:hAnsi="Liberation Mono" w:cs="Liberation Mono"/>
    </w:rPr>
  </w:style>
  <w:style w:type="paragraph" w:styleId="Textedebulles">
    <w:name w:val="Balloon Text"/>
    <w:basedOn w:val="Normal"/>
    <w:qFormat/>
    <w:rPr>
      <w:rFonts w:ascii="Tahoma" w:hAnsi="Tahoma" w:cs="Tahoma"/>
      <w:sz w:val="16"/>
      <w:szCs w:val="16"/>
    </w:rPr>
  </w:style>
  <w:style w:type="paragraph" w:customStyle="1" w:styleId="retrait">
    <w:name w:val="retrait"/>
    <w:basedOn w:val="Normal"/>
    <w:qFormat/>
    <w:pPr>
      <w:widowControl/>
      <w:suppressAutoHyphens w:val="0"/>
      <w:spacing w:before="280" w:after="280"/>
    </w:pPr>
    <w:rPr>
      <w:szCs w:val="24"/>
    </w:rPr>
  </w:style>
  <w:style w:type="paragraph" w:styleId="Paragraphedeliste">
    <w:name w:val="List Paragraph"/>
    <w:basedOn w:val="Normal"/>
    <w:qFormat/>
    <w:pPr>
      <w:ind w:left="720"/>
      <w:contextualSpacing/>
    </w:pPr>
  </w:style>
  <w:style w:type="paragraph" w:styleId="TM1">
    <w:name w:val="toc 1"/>
    <w:basedOn w:val="Normal"/>
    <w:next w:val="Normal"/>
    <w:autoRedefine/>
    <w:uiPriority w:val="39"/>
    <w:pPr>
      <w:spacing w:before="120" w:after="120"/>
      <w:jc w:val="left"/>
    </w:pPr>
    <w:rPr>
      <w:b/>
      <w:bCs/>
      <w:caps/>
    </w:rPr>
  </w:style>
  <w:style w:type="paragraph" w:styleId="TM2">
    <w:name w:val="toc 2"/>
    <w:basedOn w:val="Normal"/>
    <w:next w:val="Normal"/>
    <w:autoRedefine/>
    <w:uiPriority w:val="39"/>
    <w:pPr>
      <w:ind w:left="200"/>
      <w:jc w:val="left"/>
    </w:pPr>
    <w:rPr>
      <w:smallCaps/>
    </w:rPr>
  </w:style>
  <w:style w:type="paragraph" w:styleId="TM3">
    <w:name w:val="toc 3"/>
    <w:basedOn w:val="Normal"/>
    <w:next w:val="Normal"/>
    <w:autoRedefine/>
    <w:uiPriority w:val="39"/>
    <w:pPr>
      <w:ind w:left="400"/>
      <w:jc w:val="left"/>
    </w:pPr>
    <w:rPr>
      <w:i/>
      <w:iCs/>
    </w:rPr>
  </w:style>
  <w:style w:type="paragraph" w:styleId="Notedebasdepage">
    <w:name w:val="footnote text"/>
    <w:basedOn w:val="Normal"/>
    <w:uiPriority w:val="99"/>
    <w:pPr>
      <w:widowControl/>
      <w:suppressAutoHyphens w:val="0"/>
    </w:pPr>
    <w:rPr>
      <w:rFonts w:eastAsia="Calibri" w:cs="Times New Roman"/>
      <w:lang w:eastAsia="en-US"/>
    </w:rPr>
  </w:style>
  <w:style w:type="paragraph" w:styleId="Commentaire">
    <w:name w:val="annotation text"/>
    <w:basedOn w:val="Normal"/>
    <w:qFormat/>
  </w:style>
  <w:style w:type="paragraph" w:styleId="Objetducommentaire">
    <w:name w:val="annotation subject"/>
    <w:basedOn w:val="Commentaire"/>
    <w:qFormat/>
    <w:rPr>
      <w:b/>
      <w:bCs/>
    </w:rPr>
  </w:style>
  <w:style w:type="paragraph" w:styleId="TM4">
    <w:name w:val="toc 4"/>
    <w:basedOn w:val="Normal"/>
    <w:next w:val="Normal"/>
    <w:autoRedefine/>
    <w:pPr>
      <w:ind w:left="600"/>
      <w:jc w:val="left"/>
    </w:pPr>
    <w:rPr>
      <w:sz w:val="18"/>
      <w:szCs w:val="18"/>
    </w:rPr>
  </w:style>
  <w:style w:type="paragraph" w:styleId="TM5">
    <w:name w:val="toc 5"/>
    <w:basedOn w:val="Normal"/>
    <w:next w:val="Normal"/>
    <w:autoRedefine/>
    <w:pPr>
      <w:ind w:left="800"/>
      <w:jc w:val="left"/>
    </w:pPr>
    <w:rPr>
      <w:sz w:val="18"/>
      <w:szCs w:val="18"/>
    </w:rPr>
  </w:style>
  <w:style w:type="paragraph" w:styleId="TM6">
    <w:name w:val="toc 6"/>
    <w:basedOn w:val="Normal"/>
    <w:next w:val="Normal"/>
    <w:autoRedefine/>
    <w:pPr>
      <w:ind w:left="1000"/>
      <w:jc w:val="left"/>
    </w:pPr>
    <w:rPr>
      <w:sz w:val="18"/>
      <w:szCs w:val="18"/>
    </w:rPr>
  </w:style>
  <w:style w:type="paragraph" w:styleId="TM7">
    <w:name w:val="toc 7"/>
    <w:basedOn w:val="Normal"/>
    <w:next w:val="Normal"/>
    <w:autoRedefine/>
    <w:pPr>
      <w:ind w:left="1200"/>
      <w:jc w:val="left"/>
    </w:pPr>
    <w:rPr>
      <w:sz w:val="18"/>
      <w:szCs w:val="18"/>
    </w:rPr>
  </w:style>
  <w:style w:type="paragraph" w:styleId="TM8">
    <w:name w:val="toc 8"/>
    <w:basedOn w:val="Normal"/>
    <w:next w:val="Normal"/>
    <w:autoRedefine/>
    <w:pPr>
      <w:ind w:left="1400"/>
      <w:jc w:val="left"/>
    </w:pPr>
    <w:rPr>
      <w:sz w:val="18"/>
      <w:szCs w:val="18"/>
    </w:rPr>
  </w:style>
  <w:style w:type="paragraph" w:styleId="TM9">
    <w:name w:val="toc 9"/>
    <w:basedOn w:val="Normal"/>
    <w:next w:val="Normal"/>
    <w:autoRedefine/>
    <w:pPr>
      <w:ind w:left="1600"/>
      <w:jc w:val="left"/>
    </w:pPr>
    <w:rPr>
      <w:sz w:val="18"/>
      <w:szCs w:val="18"/>
    </w:rPr>
  </w:style>
  <w:style w:type="paragraph" w:customStyle="1" w:styleId="Default">
    <w:name w:val="Default"/>
    <w:qFormat/>
    <w:pPr>
      <w:widowControl w:val="0"/>
    </w:pPr>
    <w:rPr>
      <w:color w:val="000000"/>
      <w:sz w:val="24"/>
    </w:rPr>
  </w:style>
  <w:style w:type="character" w:styleId="Lienhypertexte">
    <w:name w:val="Hyperlink"/>
    <w:basedOn w:val="Policepardfaut"/>
    <w:uiPriority w:val="99"/>
    <w:unhideWhenUsed/>
    <w:rsid w:val="00541F05"/>
    <w:rPr>
      <w:color w:val="0563C1" w:themeColor="hyperlink"/>
      <w:u w:val="single"/>
    </w:rPr>
  </w:style>
  <w:style w:type="character" w:styleId="Appelnotedebasdep">
    <w:name w:val="footnote reference"/>
    <w:basedOn w:val="Policepardfaut"/>
    <w:uiPriority w:val="99"/>
    <w:unhideWhenUsed/>
    <w:rsid w:val="00983BB7"/>
    <w:rPr>
      <w:vertAlign w:val="superscript"/>
    </w:rPr>
  </w:style>
  <w:style w:type="character" w:styleId="Mentionnonrsolue">
    <w:name w:val="Unresolved Mention"/>
    <w:basedOn w:val="Policepardfaut"/>
    <w:uiPriority w:val="99"/>
    <w:semiHidden/>
    <w:unhideWhenUsed/>
    <w:rsid w:val="00FE74B1"/>
    <w:rPr>
      <w:color w:val="605E5C"/>
      <w:shd w:val="clear" w:color="auto" w:fill="E1DFDD"/>
    </w:rPr>
  </w:style>
  <w:style w:type="table" w:styleId="Grilledutableau">
    <w:name w:val="Table Grid"/>
    <w:basedOn w:val="TableauNormal"/>
    <w:uiPriority w:val="39"/>
    <w:rsid w:val="001C69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52787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8447649">
      <w:bodyDiv w:val="1"/>
      <w:marLeft w:val="0"/>
      <w:marRight w:val="0"/>
      <w:marTop w:val="0"/>
      <w:marBottom w:val="0"/>
      <w:divBdr>
        <w:top w:val="none" w:sz="0" w:space="0" w:color="auto"/>
        <w:left w:val="none" w:sz="0" w:space="0" w:color="auto"/>
        <w:bottom w:val="none" w:sz="0" w:space="0" w:color="auto"/>
        <w:right w:val="none" w:sz="0" w:space="0" w:color="auto"/>
      </w:divBdr>
    </w:div>
    <w:div w:id="1520896808">
      <w:bodyDiv w:val="1"/>
      <w:marLeft w:val="0"/>
      <w:marRight w:val="0"/>
      <w:marTop w:val="0"/>
      <w:marBottom w:val="0"/>
      <w:divBdr>
        <w:top w:val="none" w:sz="0" w:space="0" w:color="auto"/>
        <w:left w:val="none" w:sz="0" w:space="0" w:color="auto"/>
        <w:bottom w:val="none" w:sz="0" w:space="0" w:color="auto"/>
        <w:right w:val="none" w:sz="0" w:space="0" w:color="auto"/>
      </w:divBdr>
    </w:div>
    <w:div w:id="1572081529">
      <w:bodyDiv w:val="1"/>
      <w:marLeft w:val="0"/>
      <w:marRight w:val="0"/>
      <w:marTop w:val="0"/>
      <w:marBottom w:val="0"/>
      <w:divBdr>
        <w:top w:val="none" w:sz="0" w:space="0" w:color="auto"/>
        <w:left w:val="none" w:sz="0" w:space="0" w:color="auto"/>
        <w:bottom w:val="none" w:sz="0" w:space="0" w:color="auto"/>
        <w:right w:val="none" w:sz="0" w:space="0" w:color="auto"/>
      </w:divBdr>
    </w:div>
    <w:div w:id="1671172975">
      <w:bodyDiv w:val="1"/>
      <w:marLeft w:val="0"/>
      <w:marRight w:val="0"/>
      <w:marTop w:val="0"/>
      <w:marBottom w:val="0"/>
      <w:divBdr>
        <w:top w:val="none" w:sz="0" w:space="0" w:color="auto"/>
        <w:left w:val="none" w:sz="0" w:space="0" w:color="auto"/>
        <w:bottom w:val="none" w:sz="0" w:space="0" w:color="auto"/>
        <w:right w:val="none" w:sz="0" w:space="0" w:color="auto"/>
      </w:divBdr>
    </w:div>
    <w:div w:id="19618390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insee.fr/fr/statistiques/serie/001532540"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tmp"/><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6730C46B-6139-4528-B6CF-C58B704002B7}"/>
      </w:docPartPr>
      <w:docPartBody>
        <w:p w:rsidR="001D2ACE" w:rsidRDefault="001D2ACE">
          <w:r w:rsidRPr="00CB705F">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Mincho"/>
    <w:charset w:val="80"/>
    <w:family w:val="auto"/>
    <w:pitch w:val="default"/>
  </w:font>
  <w:font w:name="OpenSymbol">
    <w:altName w:val="Arial Unicode MS"/>
    <w:panose1 w:val="05010000000000000000"/>
    <w:charset w:val="01"/>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Liberation Mono">
    <w:altName w:val="Courier New"/>
    <w:panose1 w:val="02070409020205020404"/>
    <w:charset w:val="00"/>
    <w:family w:val="modern"/>
    <w:pitch w:val="fixed"/>
    <w:sig w:usb0="E0000AFF" w:usb1="400078FF" w:usb2="00000001" w:usb3="00000000" w:csb0="000001B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ACE"/>
    <w:rsid w:val="001D2ACE"/>
    <w:rsid w:val="00755E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2ACE"/>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FB36-44DA-41ED-8F28-3DC804015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4477</TotalTime>
  <Pages>20</Pages>
  <Words>9194</Words>
  <Characters>50572</Characters>
  <Application>Microsoft Office Word</Application>
  <DocSecurity>0</DocSecurity>
  <Lines>421</Lines>
  <Paragraphs>119</Paragraphs>
  <ScaleCrop>false</ScaleCrop>
  <HeadingPairs>
    <vt:vector size="2" baseType="variant">
      <vt:variant>
        <vt:lpstr>Titre</vt:lpstr>
      </vt:variant>
      <vt:variant>
        <vt:i4>1</vt:i4>
      </vt:variant>
    </vt:vector>
  </HeadingPairs>
  <TitlesOfParts>
    <vt:vector size="1" baseType="lpstr">
      <vt:lpstr>Marché n° 07008 : conception d’un principe graphique</vt:lpstr>
    </vt:vector>
  </TitlesOfParts>
  <Company>UTBM</Company>
  <LinksUpToDate>false</LinksUpToDate>
  <CharactersWithSpaces>59647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n° 07008 : conception d’un principe graphique</dc:title>
  <dc:subject/>
  <dc:creator>Anthony Tyrode</dc:creator>
  <dc:description/>
  <cp:lastModifiedBy>Audrey LAIBE</cp:lastModifiedBy>
  <cp:revision>144</cp:revision>
  <cp:lastPrinted>2019-02-28T17:48:00Z</cp:lastPrinted>
  <dcterms:created xsi:type="dcterms:W3CDTF">2020-10-06T13:32:00Z</dcterms:created>
  <dcterms:modified xsi:type="dcterms:W3CDTF">2025-03-13T14:27:00Z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UTBM</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