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2C3C" w:rsidRPr="004B7FFD" w:rsidRDefault="00DB2C3C" w:rsidP="004B7FFD">
      <w:pPr>
        <w:ind w:left="-142" w:right="-428" w:hanging="284"/>
        <w:jc w:val="center"/>
        <w:rPr>
          <w:b/>
          <w:sz w:val="32"/>
          <w:u w:val="single"/>
        </w:rPr>
      </w:pPr>
      <w:r w:rsidRPr="004B7FFD">
        <w:rPr>
          <w:b/>
          <w:sz w:val="32"/>
          <w:u w:val="single"/>
        </w:rPr>
        <w:t xml:space="preserve">Annexe </w:t>
      </w:r>
      <w:proofErr w:type="spellStart"/>
      <w:r w:rsidR="0058114F">
        <w:rPr>
          <w:b/>
          <w:sz w:val="32"/>
          <w:u w:val="single"/>
        </w:rPr>
        <w:t>PsDL</w:t>
      </w:r>
      <w:proofErr w:type="spellEnd"/>
    </w:p>
    <w:p w:rsidR="002E3515" w:rsidRPr="004B7FFD" w:rsidRDefault="00DB2C3C" w:rsidP="004B7FFD">
      <w:pPr>
        <w:spacing w:after="240"/>
        <w:ind w:left="-142" w:right="-428" w:hanging="284"/>
        <w:jc w:val="center"/>
        <w:rPr>
          <w:rFonts w:ascii="Arial" w:hAnsi="Arial" w:cs="Arial"/>
          <w:b/>
          <w:sz w:val="28"/>
          <w:szCs w:val="28"/>
        </w:rPr>
      </w:pPr>
      <w:r w:rsidRPr="004B7FFD">
        <w:rPr>
          <w:rFonts w:ascii="Arial" w:hAnsi="Arial" w:cs="Arial"/>
          <w:b/>
          <w:sz w:val="28"/>
          <w:szCs w:val="28"/>
        </w:rPr>
        <w:t>Décomposition et calcul du PsdL</w:t>
      </w:r>
    </w:p>
    <w:p w:rsidR="004B7FFD" w:rsidRPr="004B7FFD" w:rsidRDefault="004B7FFD" w:rsidP="004B7FFD">
      <w:pPr>
        <w:spacing w:before="120" w:after="120"/>
        <w:jc w:val="both"/>
        <w:rPr>
          <w:rFonts w:ascii="Arial" w:hAnsi="Arial" w:cs="Arial"/>
          <w:u w:val="single"/>
        </w:rPr>
      </w:pPr>
      <w:r w:rsidRPr="004B7FFD">
        <w:rPr>
          <w:rFonts w:ascii="Arial" w:hAnsi="Arial" w:cs="Arial"/>
          <w:u w:val="single"/>
        </w:rPr>
        <w:t>Décomposition et calcul du PsdL</w:t>
      </w:r>
      <w:r w:rsidRPr="004B7FFD">
        <w:rPr>
          <w:rFonts w:ascii="Arial" w:hAnsi="Arial" w:cs="Arial"/>
          <w:u w:val="single"/>
          <w:vertAlign w:val="subscript"/>
        </w:rPr>
        <w:t xml:space="preserve">0 </w:t>
      </w:r>
      <w:r w:rsidRPr="004B7FFD">
        <w:rPr>
          <w:rFonts w:ascii="Arial" w:hAnsi="Arial" w:cs="Arial"/>
          <w:u w:val="single"/>
        </w:rPr>
        <w:t>et</w:t>
      </w:r>
      <w:r w:rsidRPr="004B7FFD">
        <w:rPr>
          <w:rFonts w:ascii="Arial" w:hAnsi="Arial" w:cs="Arial"/>
          <w:u w:val="single"/>
          <w:vertAlign w:val="subscript"/>
        </w:rPr>
        <w:t xml:space="preserve"> </w:t>
      </w:r>
      <w:r w:rsidRPr="004B7FFD">
        <w:rPr>
          <w:rFonts w:ascii="Arial" w:hAnsi="Arial" w:cs="Arial"/>
          <w:u w:val="single"/>
        </w:rPr>
        <w:t>PsdL</w:t>
      </w:r>
      <w:r w:rsidRPr="004B7FFD">
        <w:rPr>
          <w:rFonts w:ascii="Arial" w:hAnsi="Arial" w:cs="Arial"/>
          <w:u w:val="single"/>
          <w:vertAlign w:val="subscript"/>
        </w:rPr>
        <w:t>1</w:t>
      </w:r>
      <w:r w:rsidRPr="004B7FFD">
        <w:rPr>
          <w:rFonts w:ascii="Arial" w:hAnsi="Arial" w:cs="Arial"/>
          <w:u w:val="single"/>
        </w:rPr>
        <w:t xml:space="preserve"> (t=0 et t=1) :</w:t>
      </w:r>
    </w:p>
    <w:p w:rsidR="004B7FFD" w:rsidRPr="006A66D1" w:rsidRDefault="006A66D1" w:rsidP="006A66D1">
      <w:pPr>
        <w:spacing w:after="40"/>
        <w:ind w:left="-426"/>
        <w:rPr>
          <w:rFonts w:ascii="Arial" w:eastAsiaTheme="minorEastAsia" w:hAnsi="Arial" w:cs="Arial"/>
          <w:sz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HAnsi" w:hAnsi="Cambria Math" w:cs="Arial"/>
                  <w:sz w:val="20"/>
                </w:rPr>
              </m:ctrlPr>
            </m:sSubPr>
            <m:e>
              <m:r>
                <m:rPr>
                  <m:nor/>
                </m:rPr>
                <w:rPr>
                  <w:rFonts w:ascii="Arial" w:hAnsi="Arial" w:cs="Arial"/>
                  <w:sz w:val="20"/>
                </w:rPr>
                <m:t>PsdL</m:t>
              </m:r>
            </m:e>
            <m:sub>
              <m:r>
                <m:rPr>
                  <m:nor/>
                </m:rPr>
                <w:rPr>
                  <w:rFonts w:ascii="Arial" w:hAnsi="Arial" w:cs="Arial"/>
                  <w:sz w:val="20"/>
                </w:rPr>
                <m:t>t</m:t>
              </m:r>
            </m:sub>
          </m:sSub>
          <m:r>
            <m:rPr>
              <m:nor/>
            </m:rPr>
            <w:rPr>
              <w:rFonts w:ascii="Arial" w:hAnsi="Arial" w:cs="Arial"/>
              <w:sz w:val="20"/>
            </w:rPr>
            <m:t>=44</m:t>
          </m:r>
          <m:f>
            <m:fPr>
              <m:ctrlPr>
                <w:rPr>
                  <w:rFonts w:ascii="Cambria Math" w:eastAsiaTheme="minorHAnsi" w:hAnsi="Cambria Math" w:cs="Arial"/>
                  <w:sz w:val="20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HAnsi" w:hAnsi="Cambria Math" w:cs="Arial"/>
                      <w:sz w:val="20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1,067*1,0299* SERV h.TCHI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(base 2015) t-1 trimestre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HAnsi" w:hAnsi="Cambria Math" w:cs="Arial"/>
                      <w:sz w:val="20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SERV h.TCHI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moy de T4 2009 à T3 2010</m:t>
                  </m:r>
                </m:sub>
              </m:sSub>
            </m:den>
          </m:f>
          <m:r>
            <m:rPr>
              <m:nor/>
            </m:rPr>
            <w:rPr>
              <w:rFonts w:ascii="Arial" w:hAnsi="Arial" w:cs="Arial"/>
              <w:sz w:val="20"/>
            </w:rPr>
            <m:t>+ 18</m:t>
          </m:r>
          <m:f>
            <m:fPr>
              <m:ctrlPr>
                <w:rPr>
                  <w:rFonts w:ascii="Cambria Math" w:eastAsiaTheme="minorHAnsi" w:hAnsi="Cambria Math" w:cs="Arial"/>
                  <w:sz w:val="20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HAnsi" w:hAnsi="Cambria Math" w:cs="Arial"/>
                      <w:sz w:val="20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ICCm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t-1 trimestre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HAnsi" w:hAnsi="Cambria Math" w:cs="Arial"/>
                      <w:sz w:val="20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ICCm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moy de T4 2009 à T3 2010</m:t>
                  </m:r>
                </m:sub>
              </m:sSub>
            </m:den>
          </m:f>
          <m:r>
            <m:rPr>
              <m:nor/>
            </m:rPr>
            <w:rPr>
              <w:rFonts w:ascii="Arial" w:hAnsi="Arial" w:cs="Arial"/>
              <w:sz w:val="20"/>
            </w:rPr>
            <m:t>+ 15</m:t>
          </m:r>
          <m:f>
            <m:fPr>
              <m:ctrlPr>
                <w:rPr>
                  <w:rFonts w:ascii="Cambria Math" w:eastAsiaTheme="minorHAnsi" w:hAnsi="Cambria Math" w:cs="Arial"/>
                  <w:sz w:val="20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HAnsi" w:hAnsi="Cambria Math" w:cs="Arial"/>
                      <w:sz w:val="20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1,0727*1,0505 * BQ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(base 2021) t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HAnsi" w:hAnsi="Cambria Math" w:cs="Arial"/>
                      <w:sz w:val="20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BQ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(base 2010) moy2010</m:t>
                  </m:r>
                </m:sub>
              </m:sSub>
            </m:den>
          </m:f>
        </m:oMath>
      </m:oMathPara>
    </w:p>
    <w:p w:rsidR="004B7FFD" w:rsidRPr="006A66D1" w:rsidRDefault="004B7FFD" w:rsidP="004B7FFD">
      <w:pPr>
        <w:spacing w:after="40"/>
        <w:rPr>
          <w:rFonts w:ascii="Arial" w:eastAsiaTheme="minorEastAsia" w:hAnsi="Arial" w:cs="Arial"/>
        </w:rPr>
      </w:pPr>
      <m:oMathPara>
        <m:oMathParaPr>
          <m:jc m:val="left"/>
        </m:oMathParaPr>
        <m:oMath>
          <m:r>
            <m:rPr>
              <m:nor/>
            </m:rPr>
            <w:rPr>
              <w:rFonts w:ascii="Arial" w:hAnsi="Arial" w:cs="Arial"/>
              <w:sz w:val="20"/>
            </w:rPr>
            <m:t>+ 11</m:t>
          </m:r>
          <m:f>
            <m:fPr>
              <m:ctrlPr>
                <w:rPr>
                  <w:rFonts w:ascii="Cambria Math" w:eastAsiaTheme="minorHAnsi" w:hAnsi="Cambria Math" w:cs="Arial"/>
                  <w:sz w:val="20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HAnsi" w:hAnsi="Cambria Math" w:cs="Arial"/>
                      <w:sz w:val="20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1,329 * TCH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(base 2015) t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HAnsi" w:hAnsi="Cambria Math" w:cs="Arial"/>
                      <w:sz w:val="20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TCH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(base 1998) moy2010</m:t>
                  </m:r>
                </m:sub>
              </m:sSub>
            </m:den>
          </m:f>
          <m:r>
            <m:rPr>
              <m:nor/>
            </m:rPr>
            <w:rPr>
              <w:rFonts w:ascii="Arial" w:hAnsi="Arial" w:cs="Arial"/>
              <w:sz w:val="20"/>
            </w:rPr>
            <m:t>+ 8</m:t>
          </m:r>
          <m:f>
            <m:fPr>
              <m:ctrlPr>
                <w:rPr>
                  <w:rFonts w:ascii="Cambria Math" w:eastAsiaTheme="minorHAnsi" w:hAnsi="Cambria Math" w:cs="Arial"/>
                  <w:sz w:val="20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HAnsi" w:hAnsi="Cambria Math" w:cs="Arial"/>
                      <w:sz w:val="20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1,0795 * 1,0272 *</m:t>
                  </m:r>
                  <m:r>
                    <m:rPr>
                      <m:nor/>
                    </m:rPr>
                    <w:rPr>
                      <w:rFonts w:ascii="Cambria Math" w:hAnsi="Arial" w:cs="Arial"/>
                      <w:sz w:val="20"/>
                    </w:rPr>
                    <m:t xml:space="preserve"> </m:t>
                  </m:r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PROD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(base 2021) t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HAnsi" w:hAnsi="Cambria Math" w:cs="Arial"/>
                      <w:sz w:val="20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PROD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(base 2010) moy2010</m:t>
                  </m:r>
                </m:sub>
              </m:sSub>
            </m:den>
          </m:f>
          <m:r>
            <m:rPr>
              <m:nor/>
            </m:rPr>
            <w:rPr>
              <w:rFonts w:ascii="Arial" w:hAnsi="Arial" w:cs="Arial"/>
              <w:sz w:val="20"/>
            </w:rPr>
            <m:t>+ 4</m:t>
          </m:r>
          <m:f>
            <m:fPr>
              <m:ctrlPr>
                <w:rPr>
                  <w:rFonts w:ascii="Cambria Math" w:eastAsiaTheme="minorHAnsi" w:hAnsi="Cambria Math" w:cs="Arial"/>
                  <w:sz w:val="20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HAnsi" w:hAnsi="Cambria Math" w:cs="Arial"/>
                      <w:sz w:val="20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1,2883 *</m:t>
                  </m:r>
                  <m:r>
                    <m:rPr>
                      <m:nor/>
                    </m:rPr>
                    <w:rPr>
                      <w:rFonts w:ascii="Cambria Math" w:hAnsi="Arial" w:cs="Arial"/>
                      <w:sz w:val="20"/>
                    </w:rPr>
                    <m:t xml:space="preserve"> </m:t>
                  </m:r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1,1997 * EGC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(base 2021) t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HAnsi" w:hAnsi="Cambria Math" w:cs="Arial"/>
                      <w:sz w:val="20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EGC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(base 2010) moy2010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 w:cs="Arial"/>
              <w:sz w:val="20"/>
            </w:rPr>
            <m:t xml:space="preserve"> </m:t>
          </m:r>
        </m:oMath>
      </m:oMathPara>
    </w:p>
    <w:p w:rsidR="004B7FFD" w:rsidRPr="004B7FFD" w:rsidRDefault="004B7FFD" w:rsidP="004B7FFD">
      <w:pPr>
        <w:pStyle w:val="Retraitcorpsdetexte"/>
        <w:tabs>
          <w:tab w:val="left" w:pos="3261"/>
        </w:tabs>
        <w:spacing w:before="240" w:after="120"/>
        <w:ind w:left="0" w:firstLine="0"/>
        <w:rPr>
          <w:rFonts w:ascii="Arial" w:hAnsi="Arial" w:cs="Arial"/>
          <w:szCs w:val="22"/>
        </w:rPr>
      </w:pPr>
      <w:r w:rsidRPr="004B7FFD">
        <w:rPr>
          <w:rFonts w:ascii="Arial" w:hAnsi="Arial" w:cs="Arial"/>
          <w:szCs w:val="22"/>
        </w:rPr>
        <w:t>Dans laquelle :</w:t>
      </w:r>
    </w:p>
    <w:tbl>
      <w:tblPr>
        <w:tblW w:w="10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6"/>
        <w:gridCol w:w="1440"/>
        <w:gridCol w:w="6609"/>
      </w:tblGrid>
      <w:tr w:rsidR="004B7FFD" w:rsidRPr="004B7FFD" w:rsidTr="008C28E1">
        <w:trPr>
          <w:tblHeader/>
          <w:jc w:val="center"/>
        </w:trPr>
        <w:tc>
          <w:tcPr>
            <w:tcW w:w="1976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4B7FFD">
              <w:rPr>
                <w:rFonts w:ascii="Arial" w:hAnsi="Arial" w:cs="Arial"/>
                <w:b/>
              </w:rPr>
              <w:t>Nom de la série</w:t>
            </w:r>
          </w:p>
        </w:tc>
        <w:tc>
          <w:tcPr>
            <w:tcW w:w="1440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4B7FFD">
              <w:rPr>
                <w:rFonts w:ascii="Arial" w:hAnsi="Arial" w:cs="Arial"/>
                <w:b/>
              </w:rPr>
              <w:t>Identifiant</w:t>
            </w:r>
          </w:p>
        </w:tc>
        <w:tc>
          <w:tcPr>
            <w:tcW w:w="6609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4B7FFD">
              <w:rPr>
                <w:rFonts w:ascii="Arial" w:hAnsi="Arial" w:cs="Arial"/>
                <w:b/>
              </w:rPr>
              <w:t>Définition</w:t>
            </w:r>
          </w:p>
        </w:tc>
      </w:tr>
      <w:tr w:rsidR="004B7FFD" w:rsidRPr="004B7FFD" w:rsidTr="008C28E1">
        <w:trPr>
          <w:jc w:val="center"/>
        </w:trPr>
        <w:tc>
          <w:tcPr>
            <w:tcW w:w="1976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 xml:space="preserve">SERV </w:t>
            </w:r>
            <w:proofErr w:type="spellStart"/>
            <w:r w:rsidRPr="004B7FFD">
              <w:rPr>
                <w:rFonts w:ascii="Arial" w:hAnsi="Arial" w:cs="Arial"/>
              </w:rPr>
              <w:t>h.TCHI</w:t>
            </w:r>
            <w:proofErr w:type="spellEnd"/>
          </w:p>
        </w:tc>
        <w:tc>
          <w:tcPr>
            <w:tcW w:w="1440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001718399</w:t>
            </w:r>
          </w:p>
        </w:tc>
        <w:tc>
          <w:tcPr>
            <w:tcW w:w="6609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Indices des prix de vente des services français aux entreprises françaises (</w:t>
            </w:r>
            <w:proofErr w:type="spellStart"/>
            <w:r w:rsidRPr="004B7FFD">
              <w:rPr>
                <w:rFonts w:ascii="Arial" w:hAnsi="Arial" w:cs="Arial"/>
              </w:rPr>
              <w:t>BtoB</w:t>
            </w:r>
            <w:proofErr w:type="spellEnd"/>
            <w:r w:rsidRPr="004B7FFD">
              <w:rPr>
                <w:rFonts w:ascii="Arial" w:hAnsi="Arial" w:cs="Arial"/>
              </w:rPr>
              <w:t>) - Total HN hors TCH - Ensemble des services hors transports de passagers, hôtellerie, restauration, communications et immobilier.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Série arrêtée depuis le 31/05/2018.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Coefficient de raccordement avec l’indice de remplacement 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 xml:space="preserve">« SERV </w:t>
            </w:r>
            <w:proofErr w:type="spellStart"/>
            <w:r w:rsidRPr="004B7FFD">
              <w:rPr>
                <w:rFonts w:ascii="Arial" w:hAnsi="Arial" w:cs="Arial"/>
              </w:rPr>
              <w:t>h.TCHI</w:t>
            </w:r>
            <w:proofErr w:type="spellEnd"/>
            <w:r w:rsidRPr="004B7FFD">
              <w:rPr>
                <w:rFonts w:ascii="Arial" w:hAnsi="Arial" w:cs="Arial"/>
              </w:rPr>
              <w:t xml:space="preserve"> (010546088) » : 1,0299</w:t>
            </w:r>
          </w:p>
        </w:tc>
      </w:tr>
      <w:tr w:rsidR="004B7FFD" w:rsidRPr="004B7FFD" w:rsidTr="008C28E1">
        <w:trPr>
          <w:jc w:val="center"/>
        </w:trPr>
        <w:tc>
          <w:tcPr>
            <w:tcW w:w="1976" w:type="dxa"/>
            <w:vAlign w:val="center"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 xml:space="preserve">SERV </w:t>
            </w:r>
            <w:proofErr w:type="spellStart"/>
            <w:r w:rsidRPr="004B7FFD">
              <w:rPr>
                <w:rFonts w:ascii="Arial" w:hAnsi="Arial" w:cs="Arial"/>
              </w:rPr>
              <w:t>h.TCHI</w:t>
            </w:r>
            <w:proofErr w:type="spellEnd"/>
            <w:r w:rsidRPr="004B7FFD">
              <w:rPr>
                <w:rFonts w:ascii="Arial" w:hAnsi="Arial" w:cs="Arial"/>
              </w:rPr>
              <w:t xml:space="preserve"> </w:t>
            </w:r>
            <w:r w:rsidRPr="004B7FFD">
              <w:rPr>
                <w:rFonts w:ascii="Arial" w:hAnsi="Arial" w:cs="Arial"/>
                <w:vertAlign w:val="subscript"/>
              </w:rPr>
              <w:t>(base 2015)</w:t>
            </w:r>
          </w:p>
        </w:tc>
        <w:tc>
          <w:tcPr>
            <w:tcW w:w="1440" w:type="dxa"/>
            <w:vAlign w:val="center"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010546088</w:t>
            </w:r>
          </w:p>
        </w:tc>
        <w:tc>
          <w:tcPr>
            <w:tcW w:w="6609" w:type="dxa"/>
            <w:vAlign w:val="center"/>
          </w:tcPr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Indices des prix de production des services français aux entreprises françaises (</w:t>
            </w:r>
            <w:proofErr w:type="spellStart"/>
            <w:r w:rsidRPr="004B7FFD">
              <w:rPr>
                <w:rFonts w:ascii="Arial" w:hAnsi="Arial" w:cs="Arial"/>
              </w:rPr>
              <w:t>BtoB</w:t>
            </w:r>
            <w:proofErr w:type="spellEnd"/>
            <w:r w:rsidRPr="004B7FFD">
              <w:rPr>
                <w:rFonts w:ascii="Arial" w:hAnsi="Arial" w:cs="Arial"/>
              </w:rPr>
              <w:t xml:space="preserve">) − Total HS hors TCH − Ensemble des services hors transports de passagers, hôtellerie, restauration, communications et immobilier </w:t>
            </w:r>
          </w:p>
          <w:p w:rsidR="004B7FFD" w:rsidRPr="004B7FFD" w:rsidRDefault="004B7FFD" w:rsidP="008C28E1">
            <w:pPr>
              <w:tabs>
                <w:tab w:val="left" w:pos="3261"/>
              </w:tabs>
            </w:pPr>
            <w:r w:rsidRPr="004B7FFD">
              <w:rPr>
                <w:rFonts w:ascii="Arial" w:hAnsi="Arial" w:cs="Arial"/>
              </w:rPr>
              <w:t>Prix de marché − Base 2015</w:t>
            </w:r>
            <w:r w:rsidRPr="004B7FFD">
              <w:t xml:space="preserve"> 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Série arrêtée depuis le 31/05/2024.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 xml:space="preserve">Coefficient de raccordement avec l’indice de remplacement 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 xml:space="preserve">« SERV </w:t>
            </w:r>
            <w:proofErr w:type="spellStart"/>
            <w:r w:rsidRPr="004B7FFD">
              <w:rPr>
                <w:rFonts w:ascii="Arial" w:hAnsi="Arial" w:cs="Arial"/>
              </w:rPr>
              <w:t>h.TCHI</w:t>
            </w:r>
            <w:proofErr w:type="spellEnd"/>
            <w:r w:rsidRPr="004B7FFD">
              <w:rPr>
                <w:rFonts w:ascii="Arial" w:hAnsi="Arial" w:cs="Arial"/>
              </w:rPr>
              <w:t xml:space="preserve"> (010766501) » : 1,067</w:t>
            </w:r>
          </w:p>
        </w:tc>
      </w:tr>
      <w:tr w:rsidR="004B7FFD" w:rsidRPr="004B7FFD" w:rsidTr="008C28E1">
        <w:trPr>
          <w:jc w:val="center"/>
        </w:trPr>
        <w:tc>
          <w:tcPr>
            <w:tcW w:w="1976" w:type="dxa"/>
            <w:vAlign w:val="center"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 xml:space="preserve">SERV </w:t>
            </w:r>
            <w:proofErr w:type="spellStart"/>
            <w:r w:rsidRPr="004B7FFD">
              <w:rPr>
                <w:rFonts w:ascii="Arial" w:hAnsi="Arial" w:cs="Arial"/>
              </w:rPr>
              <w:t>h.TCHI</w:t>
            </w:r>
            <w:proofErr w:type="spellEnd"/>
            <w:r w:rsidRPr="004B7FFD">
              <w:rPr>
                <w:rFonts w:ascii="Arial" w:hAnsi="Arial" w:cs="Arial"/>
              </w:rPr>
              <w:t xml:space="preserve"> </w:t>
            </w:r>
            <w:r w:rsidRPr="004B7FFD">
              <w:rPr>
                <w:rFonts w:ascii="Arial" w:hAnsi="Arial" w:cs="Arial"/>
                <w:vertAlign w:val="subscript"/>
              </w:rPr>
              <w:t>(base 2021)</w:t>
            </w:r>
          </w:p>
        </w:tc>
        <w:tc>
          <w:tcPr>
            <w:tcW w:w="1440" w:type="dxa"/>
            <w:vAlign w:val="center"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010766501</w:t>
            </w:r>
          </w:p>
        </w:tc>
        <w:tc>
          <w:tcPr>
            <w:tcW w:w="6609" w:type="dxa"/>
            <w:vAlign w:val="center"/>
          </w:tcPr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Indices des prix de production des services français aux entreprises françaises (</w:t>
            </w:r>
            <w:proofErr w:type="spellStart"/>
            <w:r w:rsidRPr="004B7FFD">
              <w:rPr>
                <w:rFonts w:ascii="Arial" w:hAnsi="Arial" w:cs="Arial"/>
              </w:rPr>
              <w:t>BtoB</w:t>
            </w:r>
            <w:proofErr w:type="spellEnd"/>
            <w:r w:rsidRPr="004B7FFD">
              <w:rPr>
                <w:rFonts w:ascii="Arial" w:hAnsi="Arial" w:cs="Arial"/>
              </w:rPr>
              <w:t xml:space="preserve">) − Total HS hors TCH − Ensemble des services hors transports de passagers, hôtellerie, restauration, communications et immobilier  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Prix de marché − Base 2021</w:t>
            </w:r>
          </w:p>
        </w:tc>
      </w:tr>
      <w:tr w:rsidR="004B7FFD" w:rsidRPr="004B7FFD" w:rsidTr="008C28E1">
        <w:trPr>
          <w:jc w:val="center"/>
        </w:trPr>
        <w:tc>
          <w:tcPr>
            <w:tcW w:w="1976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proofErr w:type="spellStart"/>
            <w:r w:rsidRPr="004B7FFD">
              <w:rPr>
                <w:rFonts w:ascii="Arial" w:hAnsi="Arial" w:cs="Arial"/>
              </w:rPr>
              <w:t>ICCm</w:t>
            </w:r>
            <w:proofErr w:type="spellEnd"/>
          </w:p>
        </w:tc>
        <w:tc>
          <w:tcPr>
            <w:tcW w:w="1440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000604030</w:t>
            </w:r>
          </w:p>
        </w:tc>
        <w:tc>
          <w:tcPr>
            <w:tcW w:w="6609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Moyenne des quatre derniers indices du coût de la construction des immeubles à usage d'habitation.</w:t>
            </w:r>
          </w:p>
        </w:tc>
      </w:tr>
      <w:tr w:rsidR="004B7FFD" w:rsidRPr="004B7FFD" w:rsidTr="008C28E1">
        <w:trPr>
          <w:jc w:val="center"/>
        </w:trPr>
        <w:tc>
          <w:tcPr>
            <w:tcW w:w="1976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BQ</w:t>
            </w:r>
          </w:p>
        </w:tc>
        <w:tc>
          <w:tcPr>
            <w:tcW w:w="1440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001652110</w:t>
            </w:r>
          </w:p>
        </w:tc>
        <w:tc>
          <w:tcPr>
            <w:tcW w:w="6609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Indice de prix de production des biens d'investissement (MIG CAG)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Série arrêtée depuis le 28/02/2018.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Coefficient de raccordement avec l’indice de remplacement 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lastRenderedPageBreak/>
              <w:t>« BQ (010534801) » : 1,0505</w:t>
            </w:r>
          </w:p>
        </w:tc>
      </w:tr>
      <w:tr w:rsidR="004B7FFD" w:rsidRPr="004B7FFD" w:rsidTr="008C28E1">
        <w:trPr>
          <w:jc w:val="center"/>
        </w:trPr>
        <w:tc>
          <w:tcPr>
            <w:tcW w:w="1976" w:type="dxa"/>
            <w:vAlign w:val="center"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lastRenderedPageBreak/>
              <w:t xml:space="preserve">BQ </w:t>
            </w:r>
            <w:r w:rsidRPr="004B7FFD">
              <w:rPr>
                <w:rFonts w:ascii="Arial" w:hAnsi="Arial" w:cs="Arial"/>
                <w:vertAlign w:val="subscript"/>
              </w:rPr>
              <w:t>(base 2015)</w:t>
            </w:r>
          </w:p>
        </w:tc>
        <w:tc>
          <w:tcPr>
            <w:tcW w:w="1440" w:type="dxa"/>
            <w:vAlign w:val="center"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010534801</w:t>
            </w:r>
          </w:p>
        </w:tc>
        <w:tc>
          <w:tcPr>
            <w:tcW w:w="6609" w:type="dxa"/>
            <w:vAlign w:val="center"/>
          </w:tcPr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Indice de prix de production de l'industrie française pour le marché français − MIG CAG − Biens d'investissement - Base 2015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Série arrêtée depuis le 29/02/2024.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 xml:space="preserve">Coefficient de raccordement avec l’indice de remplacement 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« BQ (010764318) » : 1,0727</w:t>
            </w:r>
          </w:p>
        </w:tc>
      </w:tr>
      <w:tr w:rsidR="004B7FFD" w:rsidRPr="004B7FFD" w:rsidTr="008C28E1">
        <w:trPr>
          <w:jc w:val="center"/>
        </w:trPr>
        <w:tc>
          <w:tcPr>
            <w:tcW w:w="1976" w:type="dxa"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</w:p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 xml:space="preserve">BQ </w:t>
            </w:r>
            <w:r w:rsidRPr="004B7FFD">
              <w:rPr>
                <w:rFonts w:ascii="Arial" w:hAnsi="Arial" w:cs="Arial"/>
                <w:vertAlign w:val="subscript"/>
              </w:rPr>
              <w:t>(base 2021)</w:t>
            </w:r>
          </w:p>
        </w:tc>
        <w:tc>
          <w:tcPr>
            <w:tcW w:w="1440" w:type="dxa"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</w:p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010764318</w:t>
            </w:r>
          </w:p>
        </w:tc>
        <w:tc>
          <w:tcPr>
            <w:tcW w:w="6609" w:type="dxa"/>
          </w:tcPr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 xml:space="preserve">Indice de prix de production de l'industrie française pour le marché français − MIG CAG − Biens d'investissement  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 xml:space="preserve">Prix de marché − Base 2021 –Données mensuelles brutes </w:t>
            </w:r>
          </w:p>
        </w:tc>
      </w:tr>
      <w:tr w:rsidR="004B7FFD" w:rsidRPr="004B7FFD" w:rsidTr="008C28E1">
        <w:trPr>
          <w:jc w:val="center"/>
        </w:trPr>
        <w:tc>
          <w:tcPr>
            <w:tcW w:w="1976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 xml:space="preserve">TCH </w:t>
            </w:r>
            <w:r w:rsidRPr="004B7FFD">
              <w:rPr>
                <w:rFonts w:ascii="Arial" w:hAnsi="Arial" w:cs="Arial"/>
                <w:vertAlign w:val="subscript"/>
              </w:rPr>
              <w:t>(base 1998)</w:t>
            </w:r>
          </w:p>
        </w:tc>
        <w:tc>
          <w:tcPr>
            <w:tcW w:w="1440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000867353</w:t>
            </w:r>
          </w:p>
        </w:tc>
        <w:tc>
          <w:tcPr>
            <w:tcW w:w="6609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Indice des prix à la consommation - Regroupements particuliers (mensuel, ensemble des ménages, métropole + DOM, base 1998) - Transports, communications et hôtellerie (TCH) - Série arrêtée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Coefficient de raccordement avec l’indice de remplacement « TCH-base2015 (001763861) » : 1,329</w:t>
            </w:r>
          </w:p>
        </w:tc>
      </w:tr>
      <w:tr w:rsidR="004B7FFD" w:rsidRPr="004B7FFD" w:rsidTr="008C28E1">
        <w:trPr>
          <w:trHeight w:val="874"/>
          <w:jc w:val="center"/>
        </w:trPr>
        <w:tc>
          <w:tcPr>
            <w:tcW w:w="1976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 xml:space="preserve">TCH </w:t>
            </w:r>
            <w:r w:rsidRPr="004B7FFD">
              <w:rPr>
                <w:rFonts w:ascii="Arial" w:hAnsi="Arial" w:cs="Arial"/>
                <w:vertAlign w:val="subscript"/>
              </w:rPr>
              <w:t>(base 2015)</w:t>
            </w:r>
          </w:p>
        </w:tc>
        <w:tc>
          <w:tcPr>
            <w:tcW w:w="1440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001763861</w:t>
            </w:r>
          </w:p>
        </w:tc>
        <w:tc>
          <w:tcPr>
            <w:tcW w:w="6609" w:type="dxa"/>
            <w:vAlign w:val="center"/>
            <w:hideMark/>
          </w:tcPr>
          <w:p w:rsidR="004B7FFD" w:rsidRPr="004B7FFD" w:rsidRDefault="004B7FFD" w:rsidP="008C28E1">
            <w:pPr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Indice des prix à la consommation - Regroupements particuliers (mensuel, ensemble des ménages, France, base 2015) - Transports, communications et hôtellerie (TCH)</w:t>
            </w:r>
          </w:p>
        </w:tc>
      </w:tr>
      <w:tr w:rsidR="004B7FFD" w:rsidRPr="004B7FFD" w:rsidTr="008C28E1">
        <w:trPr>
          <w:jc w:val="center"/>
        </w:trPr>
        <w:tc>
          <w:tcPr>
            <w:tcW w:w="1976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PROD</w:t>
            </w:r>
          </w:p>
        </w:tc>
        <w:tc>
          <w:tcPr>
            <w:tcW w:w="1440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001652104</w:t>
            </w:r>
          </w:p>
        </w:tc>
        <w:tc>
          <w:tcPr>
            <w:tcW w:w="6609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Indice de prix de production de l’industrie hors industrie agroalimentaire et énergie.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Série arrêtée depuis le 28/02/2018.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Coefficient de raccordement avec l’indice de remplacement 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« PROD (010534799) » : 1,0272</w:t>
            </w:r>
          </w:p>
        </w:tc>
      </w:tr>
      <w:tr w:rsidR="004B7FFD" w:rsidRPr="004B7FFD" w:rsidTr="008C28E1">
        <w:trPr>
          <w:jc w:val="center"/>
        </w:trPr>
        <w:tc>
          <w:tcPr>
            <w:tcW w:w="1976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 xml:space="preserve">PROD </w:t>
            </w:r>
            <w:r w:rsidRPr="004B7FFD">
              <w:rPr>
                <w:rFonts w:ascii="Arial" w:hAnsi="Arial" w:cs="Arial"/>
                <w:vertAlign w:val="subscript"/>
              </w:rPr>
              <w:t>(base 2015)</w:t>
            </w:r>
          </w:p>
        </w:tc>
        <w:tc>
          <w:tcPr>
            <w:tcW w:w="1440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010534799</w:t>
            </w:r>
          </w:p>
        </w:tc>
        <w:tc>
          <w:tcPr>
            <w:tcW w:w="6609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Indice de prix de production de l'industrie française pour le marché français − BCXZ − Industrie hors IAA et énergie (B_C_X_FD_MIG_NRG) − Base 2015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Série arrêtée depuis le 29/02/2024.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 xml:space="preserve">Coefficient de raccordement avec l’indice de remplacement 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« PROD (010764316) » : 1,0795</w:t>
            </w:r>
          </w:p>
        </w:tc>
      </w:tr>
      <w:tr w:rsidR="004B7FFD" w:rsidRPr="004B7FFD" w:rsidTr="008C28E1">
        <w:trPr>
          <w:jc w:val="center"/>
        </w:trPr>
        <w:tc>
          <w:tcPr>
            <w:tcW w:w="1976" w:type="dxa"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</w:p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PROD</w:t>
            </w:r>
            <w:r w:rsidRPr="004B7FFD">
              <w:rPr>
                <w:rFonts w:ascii="Arial" w:hAnsi="Arial" w:cs="Arial"/>
                <w:vertAlign w:val="subscript"/>
              </w:rPr>
              <w:t xml:space="preserve"> (base 2021)</w:t>
            </w:r>
          </w:p>
        </w:tc>
        <w:tc>
          <w:tcPr>
            <w:tcW w:w="1440" w:type="dxa"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</w:p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010764316</w:t>
            </w:r>
          </w:p>
        </w:tc>
        <w:tc>
          <w:tcPr>
            <w:tcW w:w="6609" w:type="dxa"/>
          </w:tcPr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 xml:space="preserve">Indice de prix de production de l'industrie française pour le marché français − BCXZ − Industrie hors IAA et énergie (B_C_X_FD_MIG_NRG)  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Prix de marché − Base 2021 − Données mensuelles brutes</w:t>
            </w:r>
          </w:p>
        </w:tc>
      </w:tr>
      <w:tr w:rsidR="004B7FFD" w:rsidRPr="004B7FFD" w:rsidTr="008C28E1">
        <w:trPr>
          <w:jc w:val="center"/>
        </w:trPr>
        <w:tc>
          <w:tcPr>
            <w:tcW w:w="1976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lastRenderedPageBreak/>
              <w:t>EGC</w:t>
            </w:r>
          </w:p>
        </w:tc>
        <w:tc>
          <w:tcPr>
            <w:tcW w:w="1440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001652125</w:t>
            </w:r>
          </w:p>
        </w:tc>
        <w:tc>
          <w:tcPr>
            <w:tcW w:w="6609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Indice de prix de production de l'électricité, du gaz, de la vapeur et de l'air conditionné (A21 D, CPF 35).</w:t>
            </w:r>
            <w:r w:rsidRPr="004B7FFD">
              <w:rPr>
                <w:rFonts w:ascii="Arial" w:hAnsi="Arial" w:cs="Arial"/>
              </w:rPr>
              <w:br/>
              <w:t>Série arrêtée depuis le 28/02/2018.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Coefficient de raccordement avec l’indice de remplacement 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«  EGC (010534835) » : 1,1997</w:t>
            </w:r>
          </w:p>
        </w:tc>
      </w:tr>
      <w:tr w:rsidR="004B7FFD" w:rsidRPr="004B7FFD" w:rsidTr="008C28E1">
        <w:trPr>
          <w:jc w:val="center"/>
        </w:trPr>
        <w:tc>
          <w:tcPr>
            <w:tcW w:w="1976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 xml:space="preserve">EGC </w:t>
            </w:r>
            <w:r w:rsidRPr="004B7FFD">
              <w:rPr>
                <w:rFonts w:ascii="Arial" w:hAnsi="Arial" w:cs="Arial"/>
                <w:vertAlign w:val="subscript"/>
              </w:rPr>
              <w:t>(base 2015)</w:t>
            </w:r>
          </w:p>
        </w:tc>
        <w:tc>
          <w:tcPr>
            <w:tcW w:w="1440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010534835</w:t>
            </w:r>
          </w:p>
        </w:tc>
        <w:tc>
          <w:tcPr>
            <w:tcW w:w="6609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Indice de prix de production de l'industrie française pour le marché français − A21 D, CPF 35 − Électricité, gaz, vapeur et air conditionné − Base 2015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Série arrêtée depuis le 29/02/2024.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 xml:space="preserve">Coefficient de raccordement avec l’indice de remplacement 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« EGC (010764352) » : 1,2883</w:t>
            </w:r>
          </w:p>
        </w:tc>
      </w:tr>
      <w:tr w:rsidR="004B7FFD" w:rsidRPr="00291659" w:rsidTr="008C28E1">
        <w:trPr>
          <w:jc w:val="center"/>
        </w:trPr>
        <w:tc>
          <w:tcPr>
            <w:tcW w:w="1976" w:type="dxa"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</w:p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 xml:space="preserve">EGC </w:t>
            </w:r>
            <w:r w:rsidRPr="004B7FFD">
              <w:rPr>
                <w:rFonts w:ascii="Arial" w:hAnsi="Arial" w:cs="Arial"/>
                <w:vertAlign w:val="subscript"/>
              </w:rPr>
              <w:t>(base 2021)</w:t>
            </w:r>
          </w:p>
        </w:tc>
        <w:tc>
          <w:tcPr>
            <w:tcW w:w="1440" w:type="dxa"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</w:p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010764352</w:t>
            </w:r>
          </w:p>
        </w:tc>
        <w:tc>
          <w:tcPr>
            <w:tcW w:w="6609" w:type="dxa"/>
          </w:tcPr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Indice de prix de production de l'industrie française pour le marché français − A21 D, CPF 35 − Électricité, gaz, vapeur et air conditionné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Prix de marché − Base 2021 − Données mensuelles brutes</w:t>
            </w:r>
          </w:p>
        </w:tc>
      </w:tr>
    </w:tbl>
    <w:p w:rsidR="004B7FFD" w:rsidRPr="006A66D1" w:rsidRDefault="004B7FFD" w:rsidP="004B7FFD">
      <w:pPr>
        <w:spacing w:after="240"/>
        <w:ind w:left="-709" w:right="-428"/>
        <w:rPr>
          <w:rFonts w:ascii="Arial" w:hAnsi="Arial" w:cs="Arial"/>
          <w:szCs w:val="28"/>
        </w:rPr>
      </w:pPr>
      <w:bookmarkStart w:id="0" w:name="_GoBack"/>
      <w:bookmarkEnd w:id="0"/>
    </w:p>
    <w:p w:rsidR="004B7FFD" w:rsidRPr="00291659" w:rsidRDefault="004B7FFD" w:rsidP="004B7FFD">
      <w:pPr>
        <w:spacing w:before="120"/>
        <w:jc w:val="both"/>
        <w:rPr>
          <w:rFonts w:ascii="Arial" w:hAnsi="Arial" w:cs="Arial"/>
        </w:rPr>
      </w:pPr>
      <w:r w:rsidRPr="00291659">
        <w:rPr>
          <w:rFonts w:ascii="Arial" w:hAnsi="Arial" w:cs="Arial"/>
        </w:rPr>
        <w:t xml:space="preserve">Les indices </w:t>
      </w:r>
      <w:proofErr w:type="spellStart"/>
      <w:r w:rsidRPr="00291659">
        <w:rPr>
          <w:rFonts w:ascii="Arial" w:hAnsi="Arial" w:cs="Arial"/>
        </w:rPr>
        <w:t>ICCm</w:t>
      </w:r>
      <w:proofErr w:type="spellEnd"/>
      <w:r w:rsidRPr="00291659">
        <w:rPr>
          <w:rFonts w:ascii="Arial" w:hAnsi="Arial" w:cs="Arial"/>
        </w:rPr>
        <w:t xml:space="preserve"> et SERV </w:t>
      </w:r>
      <w:proofErr w:type="spellStart"/>
      <w:proofErr w:type="gramStart"/>
      <w:r w:rsidRPr="00291659">
        <w:rPr>
          <w:rFonts w:ascii="Arial" w:hAnsi="Arial" w:cs="Arial"/>
        </w:rPr>
        <w:t>h.TCHI</w:t>
      </w:r>
      <w:proofErr w:type="spellEnd"/>
      <w:proofErr w:type="gramEnd"/>
      <w:r w:rsidRPr="00291659">
        <w:rPr>
          <w:rFonts w:ascii="Arial" w:hAnsi="Arial" w:cs="Arial"/>
        </w:rPr>
        <w:t xml:space="preserve"> sont trimestriels. Leurs valeurs sont établies par l'INSEE pour le 1</w:t>
      </w:r>
      <w:r w:rsidRPr="00291659">
        <w:rPr>
          <w:rFonts w:ascii="Arial" w:hAnsi="Arial" w:cs="Arial"/>
          <w:vertAlign w:val="superscript"/>
        </w:rPr>
        <w:t>er</w:t>
      </w:r>
      <w:r w:rsidRPr="00291659">
        <w:rPr>
          <w:rFonts w:ascii="Arial" w:hAnsi="Arial" w:cs="Arial"/>
        </w:rPr>
        <w:t xml:space="preserve"> jour du trimestre en cours et valable pendant les 3 mois de ce trimestre. Pour le calcul de PsdL, les valeurs de ces 2 indices seront lues un trimestre auparavant.</w:t>
      </w:r>
    </w:p>
    <w:p w:rsidR="004B7FFD" w:rsidRPr="00291659" w:rsidRDefault="004B7FFD" w:rsidP="004B7FFD">
      <w:pPr>
        <w:spacing w:before="120"/>
        <w:jc w:val="both"/>
        <w:rPr>
          <w:rFonts w:ascii="Arial" w:hAnsi="Arial" w:cs="Arial"/>
        </w:rPr>
      </w:pPr>
      <w:r w:rsidRPr="00291659">
        <w:rPr>
          <w:rFonts w:ascii="Arial" w:hAnsi="Arial" w:cs="Arial"/>
          <w:u w:val="single"/>
        </w:rPr>
        <w:t>Remarque 1 :</w:t>
      </w:r>
      <w:r w:rsidRPr="00291659">
        <w:rPr>
          <w:rFonts w:ascii="Arial" w:hAnsi="Arial" w:cs="Arial"/>
        </w:rPr>
        <w:t xml:space="preserve"> par définition PsdL est exprimé en base 100 en 2010, conformément aux indices de prix à la production mensuels publiés par l’INSEE depuis le 30 mars 2013.</w:t>
      </w:r>
    </w:p>
    <w:p w:rsidR="004B7FFD" w:rsidRPr="00291659" w:rsidRDefault="004B7FFD" w:rsidP="004B7FFD">
      <w:pPr>
        <w:spacing w:before="120"/>
        <w:jc w:val="both"/>
        <w:rPr>
          <w:rFonts w:ascii="Arial" w:hAnsi="Arial" w:cs="Arial"/>
        </w:rPr>
      </w:pPr>
      <w:r w:rsidRPr="00291659">
        <w:rPr>
          <w:rFonts w:ascii="Arial" w:hAnsi="Arial" w:cs="Arial"/>
          <w:u w:val="single"/>
        </w:rPr>
        <w:t>Remarque 2 :</w:t>
      </w:r>
      <w:r w:rsidRPr="00291659">
        <w:rPr>
          <w:rFonts w:ascii="Arial" w:hAnsi="Arial" w:cs="Arial"/>
        </w:rPr>
        <w:t xml:space="preserve"> règle de l’arrondi.</w:t>
      </w:r>
    </w:p>
    <w:p w:rsidR="004B7FFD" w:rsidRPr="00291659" w:rsidRDefault="004B7FFD" w:rsidP="004B7FFD">
      <w:pPr>
        <w:spacing w:before="120"/>
        <w:jc w:val="both"/>
        <w:rPr>
          <w:rFonts w:ascii="Arial" w:hAnsi="Arial" w:cs="Arial"/>
        </w:rPr>
      </w:pPr>
      <w:r w:rsidRPr="00291659">
        <w:rPr>
          <w:rFonts w:ascii="Arial" w:hAnsi="Arial" w:cs="Arial"/>
        </w:rPr>
        <w:t>Dans la formule de calcul de PsdL présentée ci-dessus, les coefficients de pondération étant multipliés par 100, tous les calculs intermédiaires seront arrondis à la quatrième décimale.</w:t>
      </w:r>
    </w:p>
    <w:p w:rsidR="004B7FFD" w:rsidRPr="00291659" w:rsidRDefault="004B7FFD" w:rsidP="004B7FFD">
      <w:pPr>
        <w:spacing w:before="120"/>
        <w:jc w:val="both"/>
        <w:rPr>
          <w:rFonts w:ascii="Arial" w:hAnsi="Arial" w:cs="Arial"/>
        </w:rPr>
      </w:pPr>
      <w:r w:rsidRPr="00291659">
        <w:rPr>
          <w:rFonts w:ascii="Arial" w:hAnsi="Arial" w:cs="Arial"/>
        </w:rPr>
        <w:t>Pour information :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530"/>
        <w:gridCol w:w="2009"/>
        <w:gridCol w:w="2009"/>
      </w:tblGrid>
      <w:tr w:rsidR="004B7FFD" w:rsidRPr="00291659" w:rsidTr="008C28E1">
        <w:trPr>
          <w:jc w:val="center"/>
        </w:trPr>
        <w:tc>
          <w:tcPr>
            <w:tcW w:w="3530" w:type="dxa"/>
            <w:vAlign w:val="center"/>
          </w:tcPr>
          <w:p w:rsidR="004B7FFD" w:rsidRPr="00291659" w:rsidRDefault="004B7FFD" w:rsidP="008C28E1">
            <w:pPr>
              <w:pStyle w:val="Retraitcorpsdetexte"/>
              <w:tabs>
                <w:tab w:val="left" w:pos="3261"/>
              </w:tabs>
              <w:spacing w:before="60"/>
              <w:ind w:left="0" w:firstLine="0"/>
              <w:rPr>
                <w:rFonts w:ascii="Arial" w:hAnsi="Arial" w:cs="Arial"/>
                <w:szCs w:val="22"/>
              </w:rPr>
            </w:pPr>
            <w:r w:rsidRPr="00291659">
              <w:rPr>
                <w:rFonts w:ascii="Arial" w:hAnsi="Arial" w:cs="Arial"/>
                <w:szCs w:val="22"/>
              </w:rPr>
              <w:t xml:space="preserve">SERV </w:t>
            </w:r>
            <w:proofErr w:type="spellStart"/>
            <w:r w:rsidRPr="00291659">
              <w:rPr>
                <w:rFonts w:ascii="Arial" w:hAnsi="Arial" w:cs="Arial"/>
                <w:szCs w:val="22"/>
              </w:rPr>
              <w:t>h.TCHI</w:t>
            </w:r>
            <w:proofErr w:type="spellEnd"/>
            <w:r w:rsidRPr="00291659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291659">
              <w:rPr>
                <w:rFonts w:ascii="Arial" w:hAnsi="Arial" w:cs="Arial"/>
                <w:szCs w:val="22"/>
                <w:vertAlign w:val="subscript"/>
              </w:rPr>
              <w:t>moy</w:t>
            </w:r>
            <w:proofErr w:type="spellEnd"/>
            <w:r w:rsidRPr="00291659">
              <w:rPr>
                <w:rFonts w:ascii="Arial" w:hAnsi="Arial" w:cs="Arial"/>
                <w:szCs w:val="22"/>
                <w:vertAlign w:val="subscript"/>
              </w:rPr>
              <w:t xml:space="preserve"> de T4 2009 à T3 2010</w:t>
            </w:r>
          </w:p>
        </w:tc>
        <w:tc>
          <w:tcPr>
            <w:tcW w:w="2009" w:type="dxa"/>
          </w:tcPr>
          <w:p w:rsidR="004B7FFD" w:rsidRPr="00291659" w:rsidRDefault="004B7FFD" w:rsidP="008C28E1">
            <w:pPr>
              <w:pStyle w:val="Retraitcorpsdetexte"/>
              <w:tabs>
                <w:tab w:val="left" w:pos="3261"/>
              </w:tabs>
              <w:spacing w:before="6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291659">
              <w:rPr>
                <w:rFonts w:ascii="Arial" w:hAnsi="Arial" w:cs="Arial"/>
                <w:szCs w:val="22"/>
              </w:rPr>
              <w:t>=</w:t>
            </w:r>
          </w:p>
        </w:tc>
        <w:tc>
          <w:tcPr>
            <w:tcW w:w="2009" w:type="dxa"/>
            <w:vAlign w:val="center"/>
          </w:tcPr>
          <w:p w:rsidR="004B7FFD" w:rsidRPr="00291659" w:rsidRDefault="004B7FFD" w:rsidP="008C28E1">
            <w:pPr>
              <w:pStyle w:val="Retraitcorpsdetexte"/>
              <w:tabs>
                <w:tab w:val="decimal" w:pos="1005"/>
                <w:tab w:val="left" w:pos="3261"/>
              </w:tabs>
              <w:spacing w:before="6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291659">
              <w:rPr>
                <w:rFonts w:ascii="Arial" w:hAnsi="Arial" w:cs="Arial"/>
                <w:szCs w:val="22"/>
              </w:rPr>
              <w:tab/>
              <w:t>99,8500</w:t>
            </w:r>
          </w:p>
        </w:tc>
      </w:tr>
      <w:tr w:rsidR="004B7FFD" w:rsidRPr="00291659" w:rsidTr="008C28E1">
        <w:trPr>
          <w:jc w:val="center"/>
        </w:trPr>
        <w:tc>
          <w:tcPr>
            <w:tcW w:w="3530" w:type="dxa"/>
            <w:vAlign w:val="center"/>
          </w:tcPr>
          <w:p w:rsidR="004B7FFD" w:rsidRPr="00291659" w:rsidRDefault="004B7FFD" w:rsidP="008C28E1">
            <w:pPr>
              <w:pStyle w:val="Retraitcorpsdetexte"/>
              <w:tabs>
                <w:tab w:val="left" w:pos="3261"/>
              </w:tabs>
              <w:spacing w:before="60"/>
              <w:ind w:left="0" w:firstLine="0"/>
              <w:rPr>
                <w:rFonts w:ascii="Arial" w:hAnsi="Arial" w:cs="Arial"/>
                <w:szCs w:val="22"/>
              </w:rPr>
            </w:pPr>
            <w:proofErr w:type="spellStart"/>
            <w:r w:rsidRPr="00291659">
              <w:rPr>
                <w:rFonts w:ascii="Arial" w:hAnsi="Arial" w:cs="Arial"/>
                <w:szCs w:val="22"/>
              </w:rPr>
              <w:t>ICCm</w:t>
            </w:r>
            <w:proofErr w:type="spellEnd"/>
            <w:r w:rsidRPr="00291659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291659">
              <w:rPr>
                <w:rFonts w:ascii="Arial" w:hAnsi="Arial" w:cs="Arial"/>
                <w:szCs w:val="22"/>
                <w:vertAlign w:val="subscript"/>
              </w:rPr>
              <w:t>moy</w:t>
            </w:r>
            <w:proofErr w:type="spellEnd"/>
            <w:r w:rsidRPr="00291659">
              <w:rPr>
                <w:rFonts w:ascii="Arial" w:hAnsi="Arial" w:cs="Arial"/>
                <w:szCs w:val="22"/>
                <w:vertAlign w:val="subscript"/>
              </w:rPr>
              <w:t xml:space="preserve"> de T4 2009 à T3 2010</w:t>
            </w:r>
          </w:p>
        </w:tc>
        <w:tc>
          <w:tcPr>
            <w:tcW w:w="2009" w:type="dxa"/>
          </w:tcPr>
          <w:p w:rsidR="004B7FFD" w:rsidRPr="00291659" w:rsidRDefault="004B7FFD" w:rsidP="008C28E1">
            <w:pPr>
              <w:pStyle w:val="Retraitcorpsdetexte"/>
              <w:tabs>
                <w:tab w:val="left" w:pos="3261"/>
              </w:tabs>
              <w:spacing w:before="6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291659">
              <w:rPr>
                <w:rFonts w:ascii="Arial" w:hAnsi="Arial" w:cs="Arial"/>
                <w:szCs w:val="22"/>
              </w:rPr>
              <w:t>=</w:t>
            </w:r>
          </w:p>
        </w:tc>
        <w:tc>
          <w:tcPr>
            <w:tcW w:w="2009" w:type="dxa"/>
            <w:vAlign w:val="center"/>
          </w:tcPr>
          <w:p w:rsidR="004B7FFD" w:rsidRPr="00291659" w:rsidRDefault="004B7FFD" w:rsidP="008C28E1">
            <w:pPr>
              <w:pStyle w:val="Retraitcorpsdetexte"/>
              <w:tabs>
                <w:tab w:val="decimal" w:pos="1005"/>
                <w:tab w:val="left" w:pos="3261"/>
              </w:tabs>
              <w:spacing w:before="6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291659">
              <w:rPr>
                <w:rFonts w:ascii="Arial" w:hAnsi="Arial" w:cs="Arial"/>
                <w:szCs w:val="22"/>
              </w:rPr>
              <w:tab/>
              <w:t>1506,9375</w:t>
            </w:r>
          </w:p>
        </w:tc>
      </w:tr>
      <w:tr w:rsidR="004B7FFD" w:rsidRPr="00291659" w:rsidTr="008C28E1">
        <w:trPr>
          <w:jc w:val="center"/>
        </w:trPr>
        <w:tc>
          <w:tcPr>
            <w:tcW w:w="3530" w:type="dxa"/>
            <w:vAlign w:val="center"/>
          </w:tcPr>
          <w:p w:rsidR="004B7FFD" w:rsidRPr="00291659" w:rsidRDefault="004B7FFD" w:rsidP="008C28E1">
            <w:pPr>
              <w:pStyle w:val="Retraitcorpsdetexte"/>
              <w:tabs>
                <w:tab w:val="left" w:pos="3261"/>
              </w:tabs>
              <w:spacing w:before="60"/>
              <w:ind w:left="0" w:firstLine="0"/>
              <w:rPr>
                <w:rFonts w:ascii="Arial" w:hAnsi="Arial" w:cs="Arial"/>
                <w:szCs w:val="22"/>
              </w:rPr>
            </w:pPr>
            <w:r w:rsidRPr="00291659">
              <w:rPr>
                <w:rFonts w:ascii="Arial" w:hAnsi="Arial" w:cs="Arial"/>
                <w:szCs w:val="22"/>
              </w:rPr>
              <w:t xml:space="preserve">BQ </w:t>
            </w:r>
            <w:proofErr w:type="spellStart"/>
            <w:r w:rsidRPr="00291659">
              <w:rPr>
                <w:rFonts w:ascii="Arial" w:hAnsi="Arial" w:cs="Arial"/>
                <w:szCs w:val="22"/>
                <w:vertAlign w:val="subscript"/>
              </w:rPr>
              <w:t>moy</w:t>
            </w:r>
            <w:proofErr w:type="spellEnd"/>
            <w:r w:rsidRPr="00291659">
              <w:rPr>
                <w:rFonts w:ascii="Arial" w:hAnsi="Arial" w:cs="Arial"/>
                <w:szCs w:val="22"/>
                <w:vertAlign w:val="subscript"/>
              </w:rPr>
              <w:t xml:space="preserve"> 2010</w:t>
            </w:r>
          </w:p>
        </w:tc>
        <w:tc>
          <w:tcPr>
            <w:tcW w:w="2009" w:type="dxa"/>
          </w:tcPr>
          <w:p w:rsidR="004B7FFD" w:rsidRPr="00291659" w:rsidRDefault="004B7FFD" w:rsidP="008C28E1">
            <w:pPr>
              <w:pStyle w:val="Retraitcorpsdetexte"/>
              <w:tabs>
                <w:tab w:val="left" w:pos="3261"/>
              </w:tabs>
              <w:spacing w:before="6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291659">
              <w:rPr>
                <w:rFonts w:ascii="Arial" w:hAnsi="Arial" w:cs="Arial"/>
                <w:szCs w:val="22"/>
              </w:rPr>
              <w:t>=</w:t>
            </w:r>
          </w:p>
        </w:tc>
        <w:tc>
          <w:tcPr>
            <w:tcW w:w="2009" w:type="dxa"/>
            <w:vAlign w:val="center"/>
          </w:tcPr>
          <w:p w:rsidR="004B7FFD" w:rsidRPr="00291659" w:rsidRDefault="004B7FFD" w:rsidP="008C28E1">
            <w:pPr>
              <w:pStyle w:val="Retraitcorpsdetexte"/>
              <w:tabs>
                <w:tab w:val="decimal" w:pos="1005"/>
                <w:tab w:val="left" w:pos="3261"/>
              </w:tabs>
              <w:spacing w:before="6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291659">
              <w:rPr>
                <w:rFonts w:ascii="Arial" w:hAnsi="Arial" w:cs="Arial"/>
                <w:szCs w:val="22"/>
              </w:rPr>
              <w:tab/>
              <w:t>100,0000</w:t>
            </w:r>
          </w:p>
        </w:tc>
      </w:tr>
      <w:tr w:rsidR="004B7FFD" w:rsidRPr="00291659" w:rsidTr="008C28E1">
        <w:trPr>
          <w:jc w:val="center"/>
        </w:trPr>
        <w:tc>
          <w:tcPr>
            <w:tcW w:w="3530" w:type="dxa"/>
            <w:vAlign w:val="center"/>
          </w:tcPr>
          <w:p w:rsidR="004B7FFD" w:rsidRPr="00291659" w:rsidRDefault="004B7FFD" w:rsidP="008C28E1">
            <w:pPr>
              <w:pStyle w:val="Retraitcorpsdetexte"/>
              <w:tabs>
                <w:tab w:val="left" w:pos="3261"/>
              </w:tabs>
              <w:spacing w:before="60"/>
              <w:ind w:left="0" w:firstLine="0"/>
              <w:rPr>
                <w:rFonts w:ascii="Arial" w:hAnsi="Arial" w:cs="Arial"/>
                <w:szCs w:val="22"/>
              </w:rPr>
            </w:pPr>
            <w:r w:rsidRPr="00291659">
              <w:rPr>
                <w:rFonts w:ascii="Arial" w:hAnsi="Arial" w:cs="Arial"/>
                <w:szCs w:val="22"/>
              </w:rPr>
              <w:t xml:space="preserve">TCH </w:t>
            </w:r>
            <w:proofErr w:type="spellStart"/>
            <w:r w:rsidRPr="00291659">
              <w:rPr>
                <w:rFonts w:ascii="Arial" w:hAnsi="Arial" w:cs="Arial"/>
                <w:szCs w:val="22"/>
                <w:vertAlign w:val="subscript"/>
              </w:rPr>
              <w:t>moy</w:t>
            </w:r>
            <w:proofErr w:type="spellEnd"/>
            <w:r w:rsidRPr="00291659">
              <w:rPr>
                <w:rFonts w:ascii="Arial" w:hAnsi="Arial" w:cs="Arial"/>
                <w:szCs w:val="22"/>
                <w:vertAlign w:val="subscript"/>
              </w:rPr>
              <w:t xml:space="preserve"> 2010</w:t>
            </w:r>
          </w:p>
        </w:tc>
        <w:tc>
          <w:tcPr>
            <w:tcW w:w="2009" w:type="dxa"/>
          </w:tcPr>
          <w:p w:rsidR="004B7FFD" w:rsidRPr="00291659" w:rsidRDefault="004B7FFD" w:rsidP="008C28E1">
            <w:pPr>
              <w:pStyle w:val="Retraitcorpsdetexte"/>
              <w:tabs>
                <w:tab w:val="left" w:pos="3261"/>
              </w:tabs>
              <w:spacing w:before="6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291659">
              <w:rPr>
                <w:rFonts w:ascii="Arial" w:hAnsi="Arial" w:cs="Arial"/>
                <w:szCs w:val="22"/>
              </w:rPr>
              <w:t>=</w:t>
            </w:r>
          </w:p>
        </w:tc>
        <w:tc>
          <w:tcPr>
            <w:tcW w:w="2009" w:type="dxa"/>
            <w:vAlign w:val="center"/>
          </w:tcPr>
          <w:p w:rsidR="004B7FFD" w:rsidRPr="00291659" w:rsidRDefault="004B7FFD" w:rsidP="008C28E1">
            <w:pPr>
              <w:pStyle w:val="Retraitcorpsdetexte"/>
              <w:tabs>
                <w:tab w:val="decimal" w:pos="1005"/>
                <w:tab w:val="left" w:pos="3261"/>
              </w:tabs>
              <w:spacing w:before="6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291659">
              <w:rPr>
                <w:rFonts w:ascii="Arial" w:hAnsi="Arial" w:cs="Arial"/>
                <w:szCs w:val="22"/>
              </w:rPr>
              <w:tab/>
              <w:t>126,9442</w:t>
            </w:r>
          </w:p>
        </w:tc>
      </w:tr>
      <w:tr w:rsidR="004B7FFD" w:rsidRPr="00291659" w:rsidTr="008C28E1">
        <w:trPr>
          <w:jc w:val="center"/>
        </w:trPr>
        <w:tc>
          <w:tcPr>
            <w:tcW w:w="3530" w:type="dxa"/>
            <w:vAlign w:val="center"/>
          </w:tcPr>
          <w:p w:rsidR="004B7FFD" w:rsidRPr="00291659" w:rsidRDefault="004B7FFD" w:rsidP="008C28E1">
            <w:pPr>
              <w:pStyle w:val="Retraitcorpsdetexte"/>
              <w:tabs>
                <w:tab w:val="left" w:pos="3261"/>
              </w:tabs>
              <w:spacing w:before="60"/>
              <w:ind w:left="0" w:firstLine="0"/>
              <w:rPr>
                <w:rFonts w:ascii="Arial" w:hAnsi="Arial" w:cs="Arial"/>
                <w:szCs w:val="22"/>
              </w:rPr>
            </w:pPr>
            <w:r w:rsidRPr="00291659">
              <w:rPr>
                <w:rFonts w:ascii="Arial" w:hAnsi="Arial" w:cs="Arial"/>
                <w:szCs w:val="22"/>
              </w:rPr>
              <w:t xml:space="preserve">PROD </w:t>
            </w:r>
            <w:proofErr w:type="spellStart"/>
            <w:r w:rsidRPr="00291659">
              <w:rPr>
                <w:rFonts w:ascii="Arial" w:hAnsi="Arial" w:cs="Arial"/>
                <w:szCs w:val="22"/>
                <w:vertAlign w:val="subscript"/>
              </w:rPr>
              <w:t>moy</w:t>
            </w:r>
            <w:proofErr w:type="spellEnd"/>
            <w:r w:rsidRPr="00291659">
              <w:rPr>
                <w:rFonts w:ascii="Arial" w:hAnsi="Arial" w:cs="Arial"/>
                <w:szCs w:val="22"/>
                <w:vertAlign w:val="subscript"/>
              </w:rPr>
              <w:t xml:space="preserve"> 2010</w:t>
            </w:r>
          </w:p>
        </w:tc>
        <w:tc>
          <w:tcPr>
            <w:tcW w:w="2009" w:type="dxa"/>
          </w:tcPr>
          <w:p w:rsidR="004B7FFD" w:rsidRPr="00291659" w:rsidRDefault="004B7FFD" w:rsidP="008C28E1">
            <w:pPr>
              <w:pStyle w:val="Retraitcorpsdetexte"/>
              <w:tabs>
                <w:tab w:val="left" w:pos="3261"/>
              </w:tabs>
              <w:spacing w:before="6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291659">
              <w:rPr>
                <w:rFonts w:ascii="Arial" w:hAnsi="Arial" w:cs="Arial"/>
                <w:szCs w:val="22"/>
              </w:rPr>
              <w:t>=</w:t>
            </w:r>
          </w:p>
        </w:tc>
        <w:tc>
          <w:tcPr>
            <w:tcW w:w="2009" w:type="dxa"/>
            <w:vAlign w:val="center"/>
          </w:tcPr>
          <w:p w:rsidR="004B7FFD" w:rsidRPr="00291659" w:rsidRDefault="004B7FFD" w:rsidP="008C28E1">
            <w:pPr>
              <w:pStyle w:val="Retraitcorpsdetexte"/>
              <w:tabs>
                <w:tab w:val="decimal" w:pos="1005"/>
                <w:tab w:val="left" w:pos="3261"/>
              </w:tabs>
              <w:spacing w:before="6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291659">
              <w:rPr>
                <w:rFonts w:ascii="Arial" w:hAnsi="Arial" w:cs="Arial"/>
                <w:szCs w:val="22"/>
              </w:rPr>
              <w:tab/>
              <w:t>100,0000</w:t>
            </w:r>
          </w:p>
        </w:tc>
      </w:tr>
      <w:tr w:rsidR="004B7FFD" w:rsidRPr="00291659" w:rsidTr="008C28E1">
        <w:trPr>
          <w:jc w:val="center"/>
        </w:trPr>
        <w:tc>
          <w:tcPr>
            <w:tcW w:w="3530" w:type="dxa"/>
            <w:vAlign w:val="center"/>
          </w:tcPr>
          <w:p w:rsidR="004B7FFD" w:rsidRPr="00291659" w:rsidRDefault="004B7FFD" w:rsidP="008C28E1">
            <w:pPr>
              <w:pStyle w:val="Retraitcorpsdetexte"/>
              <w:tabs>
                <w:tab w:val="left" w:pos="3261"/>
              </w:tabs>
              <w:spacing w:before="60"/>
              <w:ind w:left="0" w:firstLine="0"/>
              <w:rPr>
                <w:rFonts w:ascii="Arial" w:hAnsi="Arial" w:cs="Arial"/>
                <w:szCs w:val="22"/>
              </w:rPr>
            </w:pPr>
            <w:r w:rsidRPr="00291659">
              <w:rPr>
                <w:rFonts w:ascii="Arial" w:hAnsi="Arial" w:cs="Arial"/>
                <w:szCs w:val="22"/>
              </w:rPr>
              <w:t xml:space="preserve">EGC </w:t>
            </w:r>
            <w:proofErr w:type="spellStart"/>
            <w:r w:rsidRPr="00291659">
              <w:rPr>
                <w:rFonts w:ascii="Arial" w:hAnsi="Arial" w:cs="Arial"/>
                <w:szCs w:val="22"/>
                <w:vertAlign w:val="subscript"/>
              </w:rPr>
              <w:t>moy</w:t>
            </w:r>
            <w:proofErr w:type="spellEnd"/>
            <w:r w:rsidRPr="00291659">
              <w:rPr>
                <w:rFonts w:ascii="Arial" w:hAnsi="Arial" w:cs="Arial"/>
                <w:szCs w:val="22"/>
                <w:vertAlign w:val="subscript"/>
              </w:rPr>
              <w:t xml:space="preserve"> 2010</w:t>
            </w:r>
          </w:p>
        </w:tc>
        <w:tc>
          <w:tcPr>
            <w:tcW w:w="2009" w:type="dxa"/>
          </w:tcPr>
          <w:p w:rsidR="004B7FFD" w:rsidRPr="00291659" w:rsidRDefault="004B7FFD" w:rsidP="008C28E1">
            <w:pPr>
              <w:pStyle w:val="Retraitcorpsdetexte"/>
              <w:tabs>
                <w:tab w:val="left" w:pos="3261"/>
              </w:tabs>
              <w:spacing w:before="6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291659">
              <w:rPr>
                <w:rFonts w:ascii="Arial" w:hAnsi="Arial" w:cs="Arial"/>
                <w:szCs w:val="22"/>
              </w:rPr>
              <w:t>=</w:t>
            </w:r>
          </w:p>
        </w:tc>
        <w:tc>
          <w:tcPr>
            <w:tcW w:w="2009" w:type="dxa"/>
            <w:vAlign w:val="center"/>
          </w:tcPr>
          <w:p w:rsidR="004B7FFD" w:rsidRPr="00291659" w:rsidRDefault="004B7FFD" w:rsidP="008C28E1">
            <w:pPr>
              <w:pStyle w:val="Retraitcorpsdetexte"/>
              <w:tabs>
                <w:tab w:val="decimal" w:pos="1005"/>
                <w:tab w:val="left" w:pos="3261"/>
              </w:tabs>
              <w:spacing w:before="6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291659">
              <w:rPr>
                <w:rFonts w:ascii="Arial" w:hAnsi="Arial" w:cs="Arial"/>
                <w:szCs w:val="22"/>
              </w:rPr>
              <w:tab/>
              <w:t>99,9917</w:t>
            </w:r>
          </w:p>
        </w:tc>
      </w:tr>
    </w:tbl>
    <w:p w:rsidR="004B7FFD" w:rsidRPr="00AE2C44" w:rsidRDefault="004B7FFD" w:rsidP="004B7FFD">
      <w:pPr>
        <w:spacing w:before="120"/>
        <w:jc w:val="both"/>
        <w:rPr>
          <w:rFonts w:ascii="Arial" w:hAnsi="Arial" w:cs="Arial"/>
          <w:u w:val="single"/>
        </w:rPr>
      </w:pPr>
      <w:r w:rsidRPr="00AE2C44">
        <w:rPr>
          <w:rFonts w:ascii="Arial" w:hAnsi="Arial" w:cs="Arial"/>
          <w:u w:val="single"/>
        </w:rPr>
        <w:t>Remarque 3 :</w:t>
      </w:r>
    </w:p>
    <w:p w:rsidR="004B7FFD" w:rsidRDefault="004B7FFD" w:rsidP="004B7FFD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Le coefficient d’actualisation est arrondi au millième supérieur.</w:t>
      </w:r>
    </w:p>
    <w:p w:rsidR="004B7FFD" w:rsidRPr="00470E8E" w:rsidRDefault="004B7FFD" w:rsidP="004B7FFD">
      <w:pPr>
        <w:spacing w:beforeLines="60" w:before="144" w:afterLines="60" w:after="144"/>
        <w:jc w:val="both"/>
        <w:rPr>
          <w:rFonts w:ascii="Arial" w:hAnsi="Arial" w:cs="Arial"/>
          <w:u w:val="single"/>
        </w:rPr>
      </w:pPr>
      <w:r w:rsidRPr="00470E8E">
        <w:rPr>
          <w:rFonts w:ascii="Arial" w:hAnsi="Arial" w:cs="Arial"/>
          <w:u w:val="single"/>
        </w:rPr>
        <w:t>Fixation du prix de règlement :</w:t>
      </w:r>
    </w:p>
    <w:p w:rsidR="004B7FFD" w:rsidRPr="006A66D1" w:rsidRDefault="004B7FFD" w:rsidP="006A66D1">
      <w:pPr>
        <w:spacing w:beforeLines="60" w:before="144" w:afterLines="60" w:after="144"/>
        <w:jc w:val="both"/>
        <w:rPr>
          <w:rFonts w:ascii="Arial" w:hAnsi="Arial" w:cs="Arial"/>
        </w:rPr>
      </w:pPr>
      <w:r w:rsidRPr="00470E8E">
        <w:rPr>
          <w:rFonts w:ascii="Arial" w:hAnsi="Arial" w:cs="Arial"/>
        </w:rPr>
        <w:t>Chaque prix actualisé sert de base de règlement pour l’ensemble des prestations objets du marché subséquent.</w:t>
      </w:r>
    </w:p>
    <w:sectPr w:rsidR="004B7FFD" w:rsidRPr="006A66D1" w:rsidSect="006A66D1">
      <w:footerReference w:type="default" r:id="rId8"/>
      <w:pgSz w:w="11906" w:h="16838"/>
      <w:pgMar w:top="737" w:right="1418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184A" w:rsidRDefault="0096184A" w:rsidP="00F97D99">
      <w:pPr>
        <w:spacing w:after="0" w:line="240" w:lineRule="auto"/>
      </w:pPr>
      <w:r>
        <w:separator/>
      </w:r>
    </w:p>
  </w:endnote>
  <w:endnote w:type="continuationSeparator" w:id="0">
    <w:p w:rsidR="0096184A" w:rsidRDefault="0096184A" w:rsidP="00F97D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515" w:rsidRPr="00DB2C3C" w:rsidRDefault="004B7FFD" w:rsidP="004B7FFD">
    <w:pPr>
      <w:tabs>
        <w:tab w:val="left" w:pos="238"/>
        <w:tab w:val="center" w:pos="4536"/>
        <w:tab w:val="right" w:pos="9070"/>
      </w:tabs>
      <w:spacing w:after="0" w:line="240" w:lineRule="auto"/>
      <w:rPr>
        <w:rFonts w:ascii="Times New Roman" w:eastAsia="Times New Roman" w:hAnsi="Times New Roman"/>
        <w:szCs w:val="24"/>
        <w:lang w:eastAsia="fr-FR"/>
      </w:rPr>
    </w:pPr>
    <w:r>
      <w:rPr>
        <w:rFonts w:ascii="Times New Roman" w:eastAsia="Times New Roman" w:hAnsi="Times New Roman"/>
        <w:szCs w:val="24"/>
        <w:lang w:eastAsia="fr-FR"/>
      </w:rPr>
      <w:tab/>
    </w:r>
    <w:r w:rsidR="0058114F">
      <w:rPr>
        <w:rFonts w:ascii="Times New Roman" w:eastAsia="Times New Roman" w:hAnsi="Times New Roman"/>
        <w:szCs w:val="24"/>
        <w:lang w:eastAsia="fr-FR"/>
      </w:rPr>
      <w:t>S2</w:t>
    </w:r>
    <w:r w:rsidR="00163740">
      <w:rPr>
        <w:rFonts w:ascii="Times New Roman" w:eastAsia="Times New Roman" w:hAnsi="Times New Roman"/>
        <w:szCs w:val="24"/>
        <w:lang w:eastAsia="fr-FR"/>
      </w:rPr>
      <w:t>5</w:t>
    </w:r>
    <w:r w:rsidR="0058114F">
      <w:rPr>
        <w:rFonts w:ascii="Times New Roman" w:eastAsia="Times New Roman" w:hAnsi="Times New Roman"/>
        <w:szCs w:val="24"/>
        <w:lang w:eastAsia="fr-FR"/>
      </w:rPr>
      <w:t>T4000</w:t>
    </w:r>
    <w:r w:rsidR="00163740">
      <w:rPr>
        <w:rFonts w:ascii="Times New Roman" w:eastAsia="Times New Roman" w:hAnsi="Times New Roman"/>
        <w:szCs w:val="24"/>
        <w:lang w:eastAsia="fr-FR"/>
      </w:rPr>
      <w:t>8</w:t>
    </w:r>
    <w:r>
      <w:rPr>
        <w:rFonts w:ascii="Times New Roman" w:eastAsia="Times New Roman" w:hAnsi="Times New Roman"/>
        <w:szCs w:val="24"/>
        <w:lang w:eastAsia="fr-FR"/>
      </w:rPr>
      <w:tab/>
    </w:r>
    <w:r>
      <w:rPr>
        <w:rFonts w:ascii="Times New Roman" w:eastAsia="Times New Roman" w:hAnsi="Times New Roman"/>
        <w:szCs w:val="24"/>
        <w:lang w:eastAsia="fr-FR"/>
      </w:rPr>
      <w:tab/>
    </w:r>
    <w:r w:rsidR="00582C62">
      <w:rPr>
        <w:rFonts w:ascii="Times New Roman" w:eastAsia="Times New Roman" w:hAnsi="Times New Roman"/>
        <w:szCs w:val="24"/>
        <w:lang w:eastAsia="fr-FR"/>
      </w:rPr>
      <w:t xml:space="preserve">Page </w:t>
    </w:r>
    <w:r w:rsidR="00582C62" w:rsidRPr="00582C62">
      <w:rPr>
        <w:rFonts w:ascii="Times New Roman" w:eastAsia="Times New Roman" w:hAnsi="Times New Roman"/>
        <w:szCs w:val="24"/>
        <w:lang w:eastAsia="fr-FR"/>
      </w:rPr>
      <w:fldChar w:fldCharType="begin"/>
    </w:r>
    <w:r w:rsidR="00582C62" w:rsidRPr="00582C62">
      <w:rPr>
        <w:rFonts w:ascii="Times New Roman" w:eastAsia="Times New Roman" w:hAnsi="Times New Roman"/>
        <w:szCs w:val="24"/>
        <w:lang w:eastAsia="fr-FR"/>
      </w:rPr>
      <w:instrText>PAGE   \* MERGEFORMAT</w:instrText>
    </w:r>
    <w:r w:rsidR="00582C62" w:rsidRPr="00582C62">
      <w:rPr>
        <w:rFonts w:ascii="Times New Roman" w:eastAsia="Times New Roman" w:hAnsi="Times New Roman"/>
        <w:szCs w:val="24"/>
        <w:lang w:eastAsia="fr-FR"/>
      </w:rPr>
      <w:fldChar w:fldCharType="separate"/>
    </w:r>
    <w:r w:rsidR="006A66D1">
      <w:rPr>
        <w:rFonts w:ascii="Times New Roman" w:eastAsia="Times New Roman" w:hAnsi="Times New Roman"/>
        <w:noProof/>
        <w:szCs w:val="24"/>
        <w:lang w:eastAsia="fr-FR"/>
      </w:rPr>
      <w:t>3</w:t>
    </w:r>
    <w:r w:rsidR="00582C62" w:rsidRPr="00582C62">
      <w:rPr>
        <w:rFonts w:ascii="Times New Roman" w:eastAsia="Times New Roman" w:hAnsi="Times New Roman"/>
        <w:szCs w:val="24"/>
        <w:lang w:eastAsia="fr-FR"/>
      </w:rPr>
      <w:fldChar w:fldCharType="end"/>
    </w:r>
    <w:r w:rsidR="00DB2C3C" w:rsidRPr="00DB2C3C">
      <w:rPr>
        <w:rFonts w:ascii="Times New Roman" w:eastAsia="Times New Roman" w:hAnsi="Times New Roman"/>
        <w:szCs w:val="24"/>
        <w:lang w:eastAsia="fr-FR"/>
      </w:rPr>
      <w:t xml:space="preserve"> sur </w:t>
    </w:r>
    <w:r w:rsidR="00DB2C3C" w:rsidRPr="00DB2C3C">
      <w:rPr>
        <w:rFonts w:ascii="Times New Roman" w:eastAsia="Times New Roman" w:hAnsi="Times New Roman"/>
        <w:bCs/>
        <w:iCs/>
        <w:szCs w:val="24"/>
        <w:lang w:eastAsia="fr-FR"/>
      </w:rPr>
      <w:fldChar w:fldCharType="begin"/>
    </w:r>
    <w:r w:rsidR="00DB2C3C" w:rsidRPr="00DB2C3C">
      <w:rPr>
        <w:rFonts w:ascii="Times New Roman" w:eastAsia="Times New Roman" w:hAnsi="Times New Roman"/>
        <w:bCs/>
        <w:iCs/>
        <w:szCs w:val="24"/>
        <w:lang w:eastAsia="fr-FR"/>
      </w:rPr>
      <w:instrText>NUMPAGES</w:instrText>
    </w:r>
    <w:r w:rsidR="00DB2C3C" w:rsidRPr="00DB2C3C">
      <w:rPr>
        <w:rFonts w:ascii="Times New Roman" w:eastAsia="Times New Roman" w:hAnsi="Times New Roman"/>
        <w:bCs/>
        <w:iCs/>
        <w:szCs w:val="24"/>
        <w:lang w:eastAsia="fr-FR"/>
      </w:rPr>
      <w:fldChar w:fldCharType="separate"/>
    </w:r>
    <w:r w:rsidR="006A66D1">
      <w:rPr>
        <w:rFonts w:ascii="Times New Roman" w:eastAsia="Times New Roman" w:hAnsi="Times New Roman"/>
        <w:bCs/>
        <w:iCs/>
        <w:noProof/>
        <w:szCs w:val="24"/>
        <w:lang w:eastAsia="fr-FR"/>
      </w:rPr>
      <w:t>3</w:t>
    </w:r>
    <w:r w:rsidR="00DB2C3C" w:rsidRPr="00DB2C3C">
      <w:rPr>
        <w:rFonts w:ascii="Times New Roman" w:eastAsia="Times New Roman" w:hAnsi="Times New Roman"/>
        <w:szCs w:val="24"/>
        <w:lang w:eastAsia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184A" w:rsidRDefault="0096184A" w:rsidP="00F97D99">
      <w:pPr>
        <w:spacing w:after="0" w:line="240" w:lineRule="auto"/>
      </w:pPr>
      <w:r>
        <w:separator/>
      </w:r>
    </w:p>
  </w:footnote>
  <w:footnote w:type="continuationSeparator" w:id="0">
    <w:p w:rsidR="0096184A" w:rsidRDefault="0096184A" w:rsidP="00F97D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402768"/>
    <w:multiLevelType w:val="singleLevel"/>
    <w:tmpl w:val="AE3CDC5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D99"/>
    <w:rsid w:val="000850BF"/>
    <w:rsid w:val="001119DE"/>
    <w:rsid w:val="0014317A"/>
    <w:rsid w:val="0014593B"/>
    <w:rsid w:val="00163740"/>
    <w:rsid w:val="001D5CB0"/>
    <w:rsid w:val="00201B10"/>
    <w:rsid w:val="00201CA3"/>
    <w:rsid w:val="002E3515"/>
    <w:rsid w:val="002E7427"/>
    <w:rsid w:val="003B6E1E"/>
    <w:rsid w:val="003C759D"/>
    <w:rsid w:val="0041046D"/>
    <w:rsid w:val="004B7FFD"/>
    <w:rsid w:val="004C3320"/>
    <w:rsid w:val="004C394B"/>
    <w:rsid w:val="004C4790"/>
    <w:rsid w:val="0058114F"/>
    <w:rsid w:val="00582C62"/>
    <w:rsid w:val="006A0986"/>
    <w:rsid w:val="006A66D1"/>
    <w:rsid w:val="006D1E76"/>
    <w:rsid w:val="006F17B7"/>
    <w:rsid w:val="00704FB8"/>
    <w:rsid w:val="0070731A"/>
    <w:rsid w:val="00714DF8"/>
    <w:rsid w:val="00821800"/>
    <w:rsid w:val="00843792"/>
    <w:rsid w:val="008C75EB"/>
    <w:rsid w:val="008E4E23"/>
    <w:rsid w:val="0096184A"/>
    <w:rsid w:val="009E3D4F"/>
    <w:rsid w:val="00A25A3C"/>
    <w:rsid w:val="00AE6847"/>
    <w:rsid w:val="00B06E1A"/>
    <w:rsid w:val="00B75ABD"/>
    <w:rsid w:val="00B85AEF"/>
    <w:rsid w:val="00B90A4F"/>
    <w:rsid w:val="00B9495A"/>
    <w:rsid w:val="00BA4293"/>
    <w:rsid w:val="00BB24EC"/>
    <w:rsid w:val="00CF44B6"/>
    <w:rsid w:val="00D00C96"/>
    <w:rsid w:val="00DB2C3C"/>
    <w:rsid w:val="00E35542"/>
    <w:rsid w:val="00EA703C"/>
    <w:rsid w:val="00EB5C64"/>
    <w:rsid w:val="00F07CC0"/>
    <w:rsid w:val="00F809BF"/>
    <w:rsid w:val="00F97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CC3F519"/>
  <w15:chartTrackingRefBased/>
  <w15:docId w15:val="{38442F17-5C3D-4762-9F94-389F8BB29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97D99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F97D99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F97D9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F97D99"/>
    <w:rPr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F97D99"/>
    <w:pPr>
      <w:ind w:left="708"/>
    </w:pPr>
  </w:style>
  <w:style w:type="table" w:styleId="Grilledutableau">
    <w:name w:val="Table Grid"/>
    <w:basedOn w:val="TableauNormal"/>
    <w:uiPriority w:val="59"/>
    <w:rsid w:val="00B06E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2E3515"/>
    <w:rPr>
      <w:color w:val="0000FF"/>
      <w:u w:val="single"/>
    </w:rPr>
  </w:style>
  <w:style w:type="paragraph" w:styleId="Retraitcorpsdetexte">
    <w:name w:val="Body Text Indent"/>
    <w:basedOn w:val="Normal"/>
    <w:link w:val="RetraitcorpsdetexteCar"/>
    <w:rsid w:val="002E3515"/>
    <w:pPr>
      <w:spacing w:after="0" w:line="240" w:lineRule="auto"/>
      <w:ind w:left="744" w:firstLine="624"/>
    </w:pPr>
    <w:rPr>
      <w:rFonts w:ascii="Times New Roman" w:eastAsia="Times New Roman" w:hAnsi="Times New Roman"/>
      <w:szCs w:val="24"/>
      <w:lang w:eastAsia="fr-FR"/>
    </w:rPr>
  </w:style>
  <w:style w:type="character" w:customStyle="1" w:styleId="RetraitcorpsdetexteCar">
    <w:name w:val="Retrait corps de texte Car"/>
    <w:link w:val="Retraitcorpsdetexte"/>
    <w:rsid w:val="002E3515"/>
    <w:rPr>
      <w:rFonts w:ascii="Times New Roman" w:eastAsia="Times New Roman" w:hAnsi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84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4DAA72-7D9D-48EF-8F29-BEC6CC92B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854</Words>
  <Characters>4697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5540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POLITANO Laurent ADJ ADM 2CL</dc:creator>
  <cp:keywords/>
  <cp:lastModifiedBy>CHENE Lionel TECH SUPE ETUD FAB</cp:lastModifiedBy>
  <cp:revision>9</cp:revision>
  <dcterms:created xsi:type="dcterms:W3CDTF">2024-06-10T07:47:00Z</dcterms:created>
  <dcterms:modified xsi:type="dcterms:W3CDTF">2025-03-12T09:48:00Z</dcterms:modified>
</cp:coreProperties>
</file>