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401E7730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271937">
        <w:rPr>
          <w:rFonts w:ascii="Arial" w:hAnsi="Arial" w:cs="Arial"/>
          <w:b/>
          <w:bCs/>
          <w:lang w:val="fr-FR"/>
        </w:rPr>
        <w:t>9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7F92891C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271937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9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20403B" w:rsidRPr="0020403B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plateaux-repas</w:t>
      </w:r>
    </w:p>
    <w:p w14:paraId="0EC29A07" w14:textId="0A9DF8F0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</w:t>
      </w:r>
      <w:r w:rsidR="0020403B" w:rsidRPr="0020403B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de Mulhouse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480E9CC2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271937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9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9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2E4808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5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3.1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2E480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8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2E4808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3190AD13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B0773A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2E4808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2E4808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2E4808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164C7604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B0773A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2E4808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2E4808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2E4808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0E582F34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B0773A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2E4808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2E4808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9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2E4808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2E4808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2E4808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7800" w:type="dxa"/>
        <w:tblLook w:val="04A0" w:firstRow="1" w:lastRow="0" w:firstColumn="1" w:lastColumn="0" w:noHBand="0" w:noVBand="1"/>
      </w:tblPr>
      <w:tblGrid>
        <w:gridCol w:w="764"/>
        <w:gridCol w:w="7036"/>
      </w:tblGrid>
      <w:tr w:rsidR="005C7BBA" w:rsidRPr="00BD6673" w14:paraId="499180F4" w14:textId="77777777" w:rsidTr="001E7FE4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0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2E4808" w14:paraId="43AAFA10" w14:textId="77777777" w:rsidTr="001E7FE4">
        <w:trPr>
          <w:trHeight w:val="3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26FB5C04" w:rsidR="005C7BBA" w:rsidRPr="00BD6673" w:rsidRDefault="0020403B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9</w:t>
            </w:r>
          </w:p>
        </w:tc>
        <w:tc>
          <w:tcPr>
            <w:tcW w:w="7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75B96511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20403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plateaux-repas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</w:t>
            </w:r>
            <w:r w:rsidR="0020403B" w:rsidRPr="0020403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 Mulhouse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4CB73EEF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2E4808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115364B5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C2468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6C2468">
        <w:rPr>
          <w:rFonts w:ascii="Arial" w:hAnsi="Arial" w:cs="Arial"/>
          <w:color w:val="000000"/>
          <w:lang w:val="fr-FR"/>
        </w:rPr>
        <w:t>pour le</w:t>
      </w:r>
      <w:r w:rsidRPr="006C2468">
        <w:rPr>
          <w:rFonts w:ascii="Arial" w:hAnsi="Arial" w:cs="Arial"/>
          <w:color w:val="000000"/>
          <w:lang w:val="fr-FR"/>
        </w:rPr>
        <w:t xml:space="preserve"> lot</w:t>
      </w:r>
      <w:r w:rsidR="007E328C" w:rsidRPr="006C2468">
        <w:rPr>
          <w:rFonts w:ascii="Arial" w:hAnsi="Arial" w:cs="Arial"/>
          <w:color w:val="000000"/>
          <w:lang w:val="fr-FR"/>
        </w:rPr>
        <w:t xml:space="preserve"> </w:t>
      </w:r>
      <w:r w:rsidR="003B38CD" w:rsidRPr="006C2468">
        <w:rPr>
          <w:rFonts w:ascii="Arial" w:hAnsi="Arial" w:cs="Arial"/>
          <w:color w:val="000000"/>
          <w:lang w:val="fr-FR"/>
        </w:rPr>
        <w:t>n</w:t>
      </w:r>
      <w:r w:rsidR="007E328C" w:rsidRPr="006C2468">
        <w:rPr>
          <w:rFonts w:ascii="Arial" w:hAnsi="Arial" w:cs="Arial"/>
          <w:color w:val="000000"/>
          <w:lang w:val="fr-FR"/>
        </w:rPr>
        <w:t>°</w:t>
      </w:r>
      <w:r w:rsidR="006C2468" w:rsidRPr="006C2468">
        <w:rPr>
          <w:rFonts w:ascii="Arial" w:hAnsi="Arial" w:cs="Arial"/>
          <w:color w:val="000000"/>
          <w:lang w:val="fr-FR"/>
        </w:rPr>
        <w:t>9</w:t>
      </w:r>
      <w:r w:rsidRPr="006C2468">
        <w:rPr>
          <w:rFonts w:ascii="Arial" w:hAnsi="Arial" w:cs="Arial"/>
          <w:color w:val="000000"/>
          <w:lang w:val="fr-FR"/>
        </w:rPr>
        <w:t xml:space="preserve"> est de </w:t>
      </w:r>
      <w:r w:rsidR="006C2468" w:rsidRPr="006C2468">
        <w:rPr>
          <w:rFonts w:ascii="Arial" w:hAnsi="Arial" w:cs="Arial"/>
          <w:b/>
          <w:bCs/>
          <w:color w:val="000000"/>
          <w:lang w:val="fr-FR"/>
        </w:rPr>
        <w:t>3</w:t>
      </w:r>
      <w:r w:rsidRPr="006C2468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8580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600"/>
        <w:gridCol w:w="6488"/>
        <w:gridCol w:w="1492"/>
      </w:tblGrid>
      <w:tr w:rsidR="003329DC" w:rsidRPr="00BD6673" w14:paraId="4ED7AD14" w14:textId="77777777" w:rsidTr="00550982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667184A1" w14:textId="77777777" w:rsidTr="00550982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8002" w14:textId="7C6DD1DB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6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A752" w14:textId="05ABE4B9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990E" w14:textId="09BAF70A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B0773A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B0773A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B0773A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B0773A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20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1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BDA9D" w14:textId="77777777" w:rsidR="00937F94" w:rsidRDefault="00937F94">
      <w:r>
        <w:separator/>
      </w:r>
    </w:p>
  </w:endnote>
  <w:endnote w:type="continuationSeparator" w:id="0">
    <w:p w14:paraId="472DE74D" w14:textId="77777777" w:rsidR="00937F94" w:rsidRDefault="0093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4FB4A186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111EE59E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5079A2CD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673C3B20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71937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E362C" w14:textId="77777777" w:rsidR="00937F94" w:rsidRDefault="00937F94">
      <w:r>
        <w:separator/>
      </w:r>
    </w:p>
  </w:footnote>
  <w:footnote w:type="continuationSeparator" w:id="0">
    <w:p w14:paraId="0165E880" w14:textId="77777777" w:rsidR="00937F94" w:rsidRDefault="00937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270D4"/>
    <w:rsid w:val="0013257D"/>
    <w:rsid w:val="00152BD0"/>
    <w:rsid w:val="00173C77"/>
    <w:rsid w:val="0019207D"/>
    <w:rsid w:val="001C6F3F"/>
    <w:rsid w:val="001E4BA9"/>
    <w:rsid w:val="001E5201"/>
    <w:rsid w:val="001E7FE4"/>
    <w:rsid w:val="0020403B"/>
    <w:rsid w:val="00240903"/>
    <w:rsid w:val="00260AAF"/>
    <w:rsid w:val="00271937"/>
    <w:rsid w:val="002C5AFB"/>
    <w:rsid w:val="002D079B"/>
    <w:rsid w:val="002D3083"/>
    <w:rsid w:val="002E4808"/>
    <w:rsid w:val="002E7AFE"/>
    <w:rsid w:val="00317688"/>
    <w:rsid w:val="003329DC"/>
    <w:rsid w:val="00366B90"/>
    <w:rsid w:val="00381541"/>
    <w:rsid w:val="003932A8"/>
    <w:rsid w:val="003B38CD"/>
    <w:rsid w:val="003E4138"/>
    <w:rsid w:val="003F6DA0"/>
    <w:rsid w:val="004F2952"/>
    <w:rsid w:val="005101CF"/>
    <w:rsid w:val="00550982"/>
    <w:rsid w:val="00592AFD"/>
    <w:rsid w:val="005B3519"/>
    <w:rsid w:val="005C12B0"/>
    <w:rsid w:val="005C7BBA"/>
    <w:rsid w:val="006C2468"/>
    <w:rsid w:val="006D69AF"/>
    <w:rsid w:val="00751828"/>
    <w:rsid w:val="00754303"/>
    <w:rsid w:val="00770BDC"/>
    <w:rsid w:val="007A3C02"/>
    <w:rsid w:val="007E328C"/>
    <w:rsid w:val="008114E8"/>
    <w:rsid w:val="00825EBC"/>
    <w:rsid w:val="00845C93"/>
    <w:rsid w:val="008A2606"/>
    <w:rsid w:val="008A5727"/>
    <w:rsid w:val="008C30A1"/>
    <w:rsid w:val="008E2E90"/>
    <w:rsid w:val="00937F94"/>
    <w:rsid w:val="00950960"/>
    <w:rsid w:val="00964D9E"/>
    <w:rsid w:val="009B06A8"/>
    <w:rsid w:val="00A06E67"/>
    <w:rsid w:val="00AD6E0D"/>
    <w:rsid w:val="00AE711F"/>
    <w:rsid w:val="00AF16E2"/>
    <w:rsid w:val="00AF34D8"/>
    <w:rsid w:val="00B0773A"/>
    <w:rsid w:val="00BC6115"/>
    <w:rsid w:val="00BD6673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E66631"/>
    <w:rsid w:val="00EA3590"/>
    <w:rsid w:val="00F16E17"/>
    <w:rsid w:val="00FA7C3C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9E1ED-E8B0-4514-A471-FDFF3315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1721</Words>
  <Characters>9470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77</cp:revision>
  <dcterms:created xsi:type="dcterms:W3CDTF">2024-09-24T14:36:00Z</dcterms:created>
  <dcterms:modified xsi:type="dcterms:W3CDTF">2025-03-10T17:38:00Z</dcterms:modified>
</cp:coreProperties>
</file>