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29702" w14:textId="77777777" w:rsidR="00DE1FFB" w:rsidRDefault="00DE1FFB" w:rsidP="00DE1FFB">
      <w:pPr>
        <w:jc w:val="center"/>
        <w:rPr>
          <w:rFonts w:ascii="CopprplGoth BT" w:hAnsi="CopprplGoth BT"/>
          <w:b/>
          <w:noProof/>
          <w:sz w:val="40"/>
          <w:szCs w:val="40"/>
        </w:rPr>
      </w:pPr>
      <w:bookmarkStart w:id="0" w:name="_Hlk191414386"/>
    </w:p>
    <w:p w14:paraId="70200998" w14:textId="2C1BA340" w:rsidR="00DE1FFB" w:rsidRDefault="00DE1FFB" w:rsidP="00DE1FFB">
      <w:pPr>
        <w:jc w:val="center"/>
      </w:pPr>
      <w:r>
        <w:rPr>
          <w:rFonts w:ascii="CopprplGoth BT" w:hAnsi="CopprplGoth BT"/>
          <w:b/>
          <w:noProof/>
          <w:sz w:val="40"/>
          <w:szCs w:val="40"/>
        </w:rPr>
        <w:t>GCS BLANCHISSERIE LORRAINE NORD</w:t>
      </w:r>
      <w:r>
        <w:rPr>
          <w:rFonts w:ascii="CopprplGoth BT" w:hAnsi="CopprplGoth BT"/>
          <w:b/>
          <w:sz w:val="40"/>
          <w:szCs w:val="40"/>
        </w:rPr>
        <w:br w:type="textWrapping" w:clear="all"/>
      </w:r>
    </w:p>
    <w:tbl>
      <w:tblPr>
        <w:tblStyle w:val="TableauGrille1Clair-Accentuation3"/>
        <w:tblW w:w="9462" w:type="dxa"/>
        <w:tblLayout w:type="fixed"/>
        <w:tblLook w:val="0000" w:firstRow="0" w:lastRow="0" w:firstColumn="0" w:lastColumn="0" w:noHBand="0" w:noVBand="0"/>
      </w:tblPr>
      <w:tblGrid>
        <w:gridCol w:w="9462"/>
      </w:tblGrid>
      <w:tr w:rsidR="00DE1FFB" w:rsidRPr="00B63C8C" w14:paraId="6F6D0FB0" w14:textId="77777777" w:rsidTr="001F5A25">
        <w:trPr>
          <w:trHeight w:val="1068"/>
        </w:trPr>
        <w:tc>
          <w:tcPr>
            <w:tcW w:w="9462" w:type="dxa"/>
            <w:shd w:val="clear" w:color="auto" w:fill="D9D9D9" w:themeFill="background1" w:themeFillShade="D9"/>
          </w:tcPr>
          <w:p w14:paraId="2A927E17" w14:textId="77777777" w:rsidR="00DE1FFB" w:rsidRPr="00B63C8C" w:rsidRDefault="00DE1FFB" w:rsidP="001F5A25">
            <w:pPr>
              <w:contextualSpacing/>
              <w:jc w:val="center"/>
              <w:rPr>
                <w:rFonts w:ascii="Cambria" w:hAnsi="Cambria"/>
                <w:spacing w:val="-10"/>
                <w:kern w:val="28"/>
                <w:sz w:val="36"/>
                <w:szCs w:val="36"/>
              </w:rPr>
            </w:pPr>
            <w:bookmarkStart w:id="1" w:name="_Hlk36113114"/>
            <w:bookmarkEnd w:id="0"/>
            <w:r w:rsidRPr="00B63C8C">
              <w:rPr>
                <w:rFonts w:ascii="Cambria" w:hAnsi="Cambria"/>
                <w:spacing w:val="-10"/>
                <w:kern w:val="28"/>
                <w:sz w:val="36"/>
                <w:szCs w:val="36"/>
              </w:rPr>
              <w:t>APPEL D’OFFRES OUVERT</w:t>
            </w:r>
          </w:p>
          <w:p w14:paraId="50FC0588" w14:textId="77777777" w:rsidR="00DE1FFB" w:rsidRPr="00B63C8C" w:rsidRDefault="00DE1FFB" w:rsidP="001F5A25">
            <w:pPr>
              <w:numPr>
                <w:ilvl w:val="1"/>
                <w:numId w:val="0"/>
              </w:numPr>
              <w:jc w:val="center"/>
              <w:rPr>
                <w:rFonts w:eastAsiaTheme="minorEastAsia"/>
                <w:color w:val="5A5A5A" w:themeColor="text1" w:themeTint="A5"/>
                <w:spacing w:val="15"/>
              </w:rPr>
            </w:pPr>
            <w:r w:rsidRPr="00B63C8C">
              <w:rPr>
                <w:rFonts w:eastAsiaTheme="minorEastAsia"/>
                <w:color w:val="5A5A5A" w:themeColor="text1" w:themeTint="A5"/>
                <w:spacing w:val="15"/>
              </w:rPr>
              <w:t>Articles L2124-1, L2124-2, R2124-1, R2124-2, R2161-2 à R2161-5 du Code de la Commande Publique</w:t>
            </w:r>
          </w:p>
        </w:tc>
      </w:tr>
      <w:tr w:rsidR="00DE1FFB" w:rsidRPr="00B63C8C" w14:paraId="388F5A1C" w14:textId="77777777" w:rsidTr="001F5A25">
        <w:trPr>
          <w:trHeight w:val="681"/>
        </w:trPr>
        <w:tc>
          <w:tcPr>
            <w:tcW w:w="9462" w:type="dxa"/>
          </w:tcPr>
          <w:p w14:paraId="45FFD89C" w14:textId="77777777" w:rsidR="00DE1FFB" w:rsidRPr="00B63C8C" w:rsidRDefault="00DE1FFB" w:rsidP="001F5A25">
            <w:pPr>
              <w:numPr>
                <w:ilvl w:val="1"/>
                <w:numId w:val="0"/>
              </w:numPr>
              <w:spacing w:after="240"/>
              <w:contextualSpacing/>
              <w:jc w:val="center"/>
              <w:rPr>
                <w:rFonts w:ascii="Cambria" w:hAnsi="Cambria"/>
                <w:spacing w:val="-10"/>
                <w:kern w:val="28"/>
                <w:sz w:val="36"/>
                <w:szCs w:val="36"/>
              </w:rPr>
            </w:pPr>
          </w:p>
          <w:p w14:paraId="0325B450" w14:textId="77777777" w:rsidR="00DE1FFB" w:rsidRPr="00B63C8C" w:rsidRDefault="00DE1FFB" w:rsidP="001F5A25">
            <w:pPr>
              <w:numPr>
                <w:ilvl w:val="1"/>
                <w:numId w:val="0"/>
              </w:numPr>
              <w:spacing w:after="240"/>
              <w:contextualSpacing/>
              <w:jc w:val="center"/>
              <w:rPr>
                <w:rFonts w:ascii="Cambria" w:hAnsi="Cambria"/>
                <w:spacing w:val="-10"/>
                <w:kern w:val="28"/>
                <w:sz w:val="36"/>
                <w:szCs w:val="36"/>
              </w:rPr>
            </w:pPr>
            <w:r w:rsidRPr="00B63C8C">
              <w:rPr>
                <w:rFonts w:ascii="Cambria" w:hAnsi="Cambria"/>
                <w:spacing w:val="-10"/>
                <w:kern w:val="28"/>
                <w:sz w:val="36"/>
                <w:szCs w:val="36"/>
              </w:rPr>
              <w:t xml:space="preserve">MARCHE </w:t>
            </w:r>
            <w:r>
              <w:rPr>
                <w:rFonts w:ascii="Cambria" w:hAnsi="Cambria"/>
                <w:spacing w:val="-10"/>
                <w:kern w:val="28"/>
                <w:sz w:val="36"/>
                <w:szCs w:val="36"/>
              </w:rPr>
              <w:t xml:space="preserve">D’EXPLOITATION DES </w:t>
            </w:r>
            <w:r w:rsidRPr="00B63C8C">
              <w:rPr>
                <w:rFonts w:ascii="Cambria" w:hAnsi="Cambria"/>
                <w:spacing w:val="-10"/>
                <w:kern w:val="28"/>
                <w:sz w:val="36"/>
                <w:szCs w:val="36"/>
              </w:rPr>
              <w:t>INSTALLATIONS THERMIQUES</w:t>
            </w:r>
          </w:p>
          <w:p w14:paraId="58831A28" w14:textId="77777777" w:rsidR="00DE1FFB" w:rsidRPr="00B63C8C" w:rsidRDefault="00DE1FFB" w:rsidP="001F5A25">
            <w:pPr>
              <w:numPr>
                <w:ilvl w:val="1"/>
                <w:numId w:val="0"/>
              </w:numPr>
              <w:spacing w:after="240"/>
              <w:contextualSpacing/>
              <w:jc w:val="center"/>
              <w:rPr>
                <w:rFonts w:ascii="Cambria" w:hAnsi="Cambria"/>
                <w:spacing w:val="-10"/>
                <w:kern w:val="28"/>
                <w:sz w:val="36"/>
                <w:szCs w:val="36"/>
              </w:rPr>
            </w:pPr>
          </w:p>
        </w:tc>
      </w:tr>
      <w:tr w:rsidR="00DE1FFB" w:rsidRPr="00B63C8C" w14:paraId="3C16D8BD" w14:textId="77777777" w:rsidTr="00DE1FFB">
        <w:trPr>
          <w:trHeight w:val="1649"/>
        </w:trPr>
        <w:tc>
          <w:tcPr>
            <w:tcW w:w="9462" w:type="dxa"/>
          </w:tcPr>
          <w:p w14:paraId="6E80AC07" w14:textId="77777777" w:rsidR="00DE1FFB" w:rsidRDefault="00DE1FFB" w:rsidP="001F5A25">
            <w:pPr>
              <w:jc w:val="center"/>
              <w:rPr>
                <w:b/>
                <w:szCs w:val="24"/>
              </w:rPr>
            </w:pPr>
            <w:r>
              <w:rPr>
                <w:b/>
                <w:szCs w:val="24"/>
              </w:rPr>
              <w:t>GCS de Blanchisserie Lorraine Nord</w:t>
            </w:r>
          </w:p>
          <w:p w14:paraId="595469CC" w14:textId="77777777" w:rsidR="00DE1FFB" w:rsidRDefault="00DE1FFB" w:rsidP="001F5A25">
            <w:pPr>
              <w:jc w:val="center"/>
              <w:rPr>
                <w:b/>
                <w:szCs w:val="24"/>
              </w:rPr>
            </w:pPr>
            <w:r>
              <w:rPr>
                <w:b/>
                <w:szCs w:val="24"/>
              </w:rPr>
              <w:t>14 rue des Potiers d’Etain</w:t>
            </w:r>
          </w:p>
          <w:p w14:paraId="166BAE9F" w14:textId="77777777" w:rsidR="00DE1FFB" w:rsidRPr="00B63C8C" w:rsidRDefault="00DE1FFB" w:rsidP="001F5A25">
            <w:pPr>
              <w:jc w:val="center"/>
            </w:pPr>
            <w:r>
              <w:rPr>
                <w:b/>
                <w:szCs w:val="24"/>
              </w:rPr>
              <w:t>57070 METZ</w:t>
            </w:r>
          </w:p>
        </w:tc>
      </w:tr>
      <w:bookmarkEnd w:id="1"/>
    </w:tbl>
    <w:p w14:paraId="6E79DC94" w14:textId="77777777" w:rsidR="0000611B" w:rsidRPr="0000611B" w:rsidRDefault="0000611B" w:rsidP="003D35BB"/>
    <w:p w14:paraId="54100BE1" w14:textId="77777777" w:rsidR="0000611B" w:rsidRPr="0069079D" w:rsidRDefault="0000611B" w:rsidP="003D35BB">
      <w:pPr>
        <w:pStyle w:val="Titre"/>
      </w:pPr>
      <w:r w:rsidRPr="0069079D">
        <w:t>REGLEMENT DE CONSULTATION</w:t>
      </w:r>
    </w:p>
    <w:p w14:paraId="06A4A928" w14:textId="77777777" w:rsidR="0000611B" w:rsidRPr="0069079D" w:rsidRDefault="0000611B" w:rsidP="003D35BB">
      <w:pPr>
        <w:pStyle w:val="Titre"/>
      </w:pPr>
      <w:r w:rsidRPr="0069079D">
        <w:t>(R.C.)</w:t>
      </w:r>
    </w:p>
    <w:p w14:paraId="75FA2504" w14:textId="77777777" w:rsidR="0000611B" w:rsidRPr="0000611B" w:rsidRDefault="0069079D" w:rsidP="003D35BB">
      <w:r>
        <w:rPr>
          <w:noProof/>
        </w:rPr>
        <mc:AlternateContent>
          <mc:Choice Requires="wps">
            <w:drawing>
              <wp:anchor distT="0" distB="0" distL="114300" distR="114300" simplePos="0" relativeHeight="251660288" behindDoc="1" locked="0" layoutInCell="1" allowOverlap="1" wp14:anchorId="6E5F3BA2" wp14:editId="527C250F">
                <wp:simplePos x="0" y="0"/>
                <wp:positionH relativeFrom="column">
                  <wp:posOffset>-90805</wp:posOffset>
                </wp:positionH>
                <wp:positionV relativeFrom="paragraph">
                  <wp:posOffset>297815</wp:posOffset>
                </wp:positionV>
                <wp:extent cx="6350000" cy="4381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350000" cy="438150"/>
                        </a:xfrm>
                        <a:prstGeom prst="rect">
                          <a:avLst/>
                        </a:prstGeom>
                        <a:solidFill>
                          <a:schemeClr val="bg1">
                            <a:lumMod val="85000"/>
                          </a:schemeClr>
                        </a:solidFill>
                        <a:ln w="6350">
                          <a:noFill/>
                        </a:ln>
                      </wps:spPr>
                      <wps:txbx>
                        <w:txbxContent>
                          <w:p w14:paraId="1BB4E389" w14:textId="77777777" w:rsidR="006444A7" w:rsidRDefault="006444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6E5F3BA2" id="_x0000_t202" coordsize="21600,21600" o:spt="202" path="m,l,21600r21600,l21600,xe">
                <v:stroke joinstyle="miter"/>
                <v:path gradientshapeok="t" o:connecttype="rect"/>
              </v:shapetype>
              <v:shape id="Zone de texte 3" o:spid="_x0000_s1026" type="#_x0000_t202" style="position:absolute;left:0;text-align:left;margin-left:-7.15pt;margin-top:23.45pt;width:500pt;height: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" fillcolor="#d8d8d8 [2732]" stroked="f" strokeweight=".5pt">
                <v:textbox>
                  <w:txbxContent>
                    <w:p w14:paraId="1BB4E389" w14:textId="77777777" w:rsidR="006444A7" w:rsidRDefault="006444A7"/>
                  </w:txbxContent>
                </v:textbox>
              </v:shape>
            </w:pict>
          </mc:Fallback>
        </mc:AlternateContent>
      </w:r>
    </w:p>
    <w:p w14:paraId="186B0138" w14:textId="5C3A35E1" w:rsidR="0000611B" w:rsidRPr="0069079D" w:rsidRDefault="0000611B" w:rsidP="0069079D">
      <w:pPr>
        <w:spacing w:before="0" w:after="0"/>
        <w:jc w:val="center"/>
        <w:rPr>
          <w:b/>
          <w:bCs/>
        </w:rPr>
      </w:pPr>
      <w:bookmarkStart w:id="2" w:name="_Toc12246589"/>
      <w:r w:rsidRPr="0069079D">
        <w:rPr>
          <w:b/>
          <w:bCs/>
        </w:rPr>
        <w:t xml:space="preserve">Date limite de remise des offres : </w:t>
      </w:r>
      <w:sdt>
        <w:sdtPr>
          <w:rPr>
            <w:b/>
            <w:bCs/>
          </w:rPr>
          <w:id w:val="-1128016042"/>
          <w:placeholder>
            <w:docPart w:val="BC10C0B3067C4920A4548F46051669A5"/>
          </w:placeholder>
        </w:sdtPr>
        <w:sdtEndPr/>
        <w:sdtContent>
          <w:r w:rsidR="003807FD">
            <w:rPr>
              <w:b/>
              <w:bCs/>
            </w:rPr>
            <w:t>Le 14 avril 2025</w:t>
          </w:r>
        </w:sdtContent>
      </w:sdt>
      <w:r w:rsidR="003807FD">
        <w:rPr>
          <w:b/>
          <w:bCs/>
        </w:rPr>
        <w:t xml:space="preserve"> à 12h00</w:t>
      </w:r>
    </w:p>
    <w:p w14:paraId="5C1A7112" w14:textId="77777777" w:rsidR="0069079D" w:rsidRDefault="0069079D" w:rsidP="0069079D">
      <w:pPr>
        <w:spacing w:before="0" w:after="0"/>
        <w:jc w:val="center"/>
        <w:rPr>
          <w:b/>
          <w:bCs/>
        </w:rPr>
      </w:pPr>
    </w:p>
    <w:p w14:paraId="329E2FDC" w14:textId="77777777" w:rsidR="00DE1FFB" w:rsidRPr="003D35BB" w:rsidRDefault="00DE1FFB" w:rsidP="00DE1FFB">
      <w:pPr>
        <w:spacing w:before="0" w:after="0" w:line="240" w:lineRule="auto"/>
      </w:pPr>
    </w:p>
    <w:p w14:paraId="3E344B03" w14:textId="77777777" w:rsidR="00DE1FFB" w:rsidRPr="00B63C8C" w:rsidRDefault="00DE1FFB" w:rsidP="00DE1FFB">
      <w:pPr>
        <w:spacing w:before="0" w:after="0" w:line="240" w:lineRule="auto"/>
        <w:rPr>
          <w:b/>
          <w:bCs/>
        </w:rPr>
      </w:pPr>
      <w:bookmarkStart w:id="3" w:name="_Hlk534203521"/>
      <w:bookmarkStart w:id="4" w:name="_Hlk35414881"/>
      <w:bookmarkStart w:id="5" w:name="_Hlk534204624"/>
      <w:bookmarkStart w:id="6" w:name="_Hlk534203527"/>
      <w:bookmarkStart w:id="7" w:name="_Hlk191408754"/>
      <w:bookmarkStart w:id="8" w:name="_Hlk497730355"/>
      <w:r w:rsidRPr="00B63C8C">
        <w:rPr>
          <w:b/>
          <w:bCs/>
        </w:rPr>
        <w:t xml:space="preserve">Objet de la consultation :  </w:t>
      </w:r>
    </w:p>
    <w:p w14:paraId="772E8302" w14:textId="77777777" w:rsidR="00DE1FFB" w:rsidRDefault="00DE1FFB" w:rsidP="00DE1FFB">
      <w:pPr>
        <w:spacing w:before="0" w:after="0" w:line="240" w:lineRule="auto"/>
      </w:pPr>
      <w:bookmarkStart w:id="9" w:name="_Hlk191414413"/>
      <w:r w:rsidRPr="00AC636E">
        <w:t>Marche d</w:t>
      </w:r>
      <w:r>
        <w:t xml:space="preserve">’exploitation </w:t>
      </w:r>
      <w:r w:rsidRPr="00AC636E">
        <w:t>des installations thermiques</w:t>
      </w:r>
      <w:bookmarkEnd w:id="9"/>
    </w:p>
    <w:p w14:paraId="4E64EA86" w14:textId="77777777" w:rsidR="00DE1FFB" w:rsidRPr="00B63C8C" w:rsidRDefault="00DE1FFB" w:rsidP="00DE1FFB">
      <w:pPr>
        <w:spacing w:before="0" w:after="0" w:line="240" w:lineRule="auto"/>
      </w:pPr>
    </w:p>
    <w:p w14:paraId="1085E7D5" w14:textId="77777777" w:rsidR="00DE1FFB" w:rsidRDefault="00DE1FFB" w:rsidP="00DE1FFB">
      <w:pPr>
        <w:spacing w:before="0" w:after="0" w:line="240" w:lineRule="auto"/>
        <w:rPr>
          <w:b/>
          <w:bCs/>
        </w:rPr>
      </w:pPr>
      <w:r>
        <w:rPr>
          <w:b/>
          <w:bCs/>
        </w:rPr>
        <w:t>Personne Publique :</w:t>
      </w:r>
    </w:p>
    <w:p w14:paraId="7C1B7EFD" w14:textId="77777777" w:rsidR="00DE1FFB" w:rsidRPr="004562E9" w:rsidRDefault="00DE1FFB" w:rsidP="00DE1FFB">
      <w:pPr>
        <w:spacing w:before="0" w:after="0" w:line="240" w:lineRule="auto"/>
      </w:pPr>
      <w:bookmarkStart w:id="10" w:name="_Hlk190356265"/>
      <w:r w:rsidRPr="004562E9">
        <w:t>CHR Metz-Thionville (établissement support du GHT Lorraine Nord pour le compte d</w:t>
      </w:r>
      <w:r>
        <w:t>u GCS Blanchisserie Lorraine Nord</w:t>
      </w:r>
      <w:r w:rsidRPr="004562E9">
        <w:t>)</w:t>
      </w:r>
    </w:p>
    <w:p w14:paraId="45E39AFC" w14:textId="77777777" w:rsidR="00DE1FFB" w:rsidRPr="004562E9" w:rsidRDefault="00DE1FFB" w:rsidP="00DE1FFB">
      <w:pPr>
        <w:spacing w:before="0" w:after="0" w:line="240" w:lineRule="auto"/>
      </w:pPr>
      <w:r w:rsidRPr="004562E9">
        <w:t>1 allée du Château</w:t>
      </w:r>
    </w:p>
    <w:p w14:paraId="47BD7EC0" w14:textId="77777777" w:rsidR="00DE1FFB" w:rsidRPr="004562E9" w:rsidRDefault="00DE1FFB" w:rsidP="00DE1FFB">
      <w:pPr>
        <w:spacing w:before="0" w:after="0" w:line="240" w:lineRule="auto"/>
      </w:pPr>
      <w:r w:rsidRPr="004562E9">
        <w:t>CS 45001</w:t>
      </w:r>
    </w:p>
    <w:p w14:paraId="4BB47759" w14:textId="77777777" w:rsidR="00DE1FFB" w:rsidRPr="004562E9" w:rsidRDefault="00DE1FFB" w:rsidP="00DE1FFB">
      <w:pPr>
        <w:spacing w:before="0" w:after="0" w:line="240" w:lineRule="auto"/>
      </w:pPr>
      <w:r w:rsidRPr="004562E9">
        <w:t>57085 METZ cedex 3</w:t>
      </w:r>
    </w:p>
    <w:bookmarkEnd w:id="10"/>
    <w:p w14:paraId="655364E0" w14:textId="77777777" w:rsidR="00DE1FFB" w:rsidRPr="004562E9" w:rsidRDefault="00DE1FFB" w:rsidP="00DE1FFB">
      <w:pPr>
        <w:spacing w:before="0" w:after="0" w:line="240" w:lineRule="auto"/>
        <w:rPr>
          <w:b/>
          <w:bCs/>
        </w:rPr>
      </w:pPr>
    </w:p>
    <w:p w14:paraId="4B51D385" w14:textId="77777777" w:rsidR="00DE1FFB" w:rsidRPr="004562E9" w:rsidRDefault="00DE1FFB" w:rsidP="00DE1FFB">
      <w:pPr>
        <w:spacing w:before="0" w:after="0" w:line="240" w:lineRule="auto"/>
        <w:rPr>
          <w:b/>
          <w:bCs/>
        </w:rPr>
      </w:pPr>
      <w:r w:rsidRPr="004562E9">
        <w:rPr>
          <w:b/>
          <w:bCs/>
        </w:rPr>
        <w:t xml:space="preserve">Personne signataire du marché :  </w:t>
      </w:r>
    </w:p>
    <w:p w14:paraId="1D2C6F9C" w14:textId="2EBD143E" w:rsidR="00DE1FFB" w:rsidRPr="004562E9" w:rsidRDefault="00707470" w:rsidP="00DE1FFB">
      <w:pPr>
        <w:spacing w:before="0" w:after="0" w:line="240" w:lineRule="auto"/>
      </w:pPr>
      <w:bookmarkStart w:id="11" w:name="_Hlk191414664"/>
      <w:r>
        <w:t>L’Administrateur Principal du GCS Blanchisserie Lorraine Nord</w:t>
      </w:r>
    </w:p>
    <w:bookmarkEnd w:id="11"/>
    <w:p w14:paraId="4CC2626D" w14:textId="77777777" w:rsidR="00DE1FFB" w:rsidRPr="00B63C8C" w:rsidRDefault="00DE1FFB" w:rsidP="00DE1FFB">
      <w:pPr>
        <w:spacing w:before="0" w:after="0" w:line="240" w:lineRule="auto"/>
      </w:pPr>
    </w:p>
    <w:p w14:paraId="5846D69F" w14:textId="77777777" w:rsidR="00DE1FFB" w:rsidRPr="00B63C8C" w:rsidRDefault="00DE1FFB" w:rsidP="00DE1FFB">
      <w:pPr>
        <w:spacing w:before="0" w:after="0" w:line="240" w:lineRule="auto"/>
        <w:rPr>
          <w:b/>
          <w:bCs/>
        </w:rPr>
      </w:pPr>
      <w:r w:rsidRPr="00B63C8C">
        <w:rPr>
          <w:b/>
          <w:bCs/>
          <w:noProof/>
          <w:u w:val="single"/>
        </w:rPr>
        <w:drawing>
          <wp:anchor distT="0" distB="0" distL="114300" distR="114300" simplePos="0" relativeHeight="251662336" behindDoc="1" locked="0" layoutInCell="1" allowOverlap="1" wp14:anchorId="21BEE415" wp14:editId="7B65F990">
            <wp:simplePos x="0" y="0"/>
            <wp:positionH relativeFrom="column">
              <wp:posOffset>1862455</wp:posOffset>
            </wp:positionH>
            <wp:positionV relativeFrom="paragraph">
              <wp:posOffset>175260</wp:posOffset>
            </wp:positionV>
            <wp:extent cx="859155" cy="495300"/>
            <wp:effectExtent l="0" t="0" r="0" b="0"/>
            <wp:wrapTight wrapText="bothSides">
              <wp:wrapPolygon edited="0">
                <wp:start x="8142" y="0"/>
                <wp:lineTo x="1437" y="4985"/>
                <wp:lineTo x="0" y="7477"/>
                <wp:lineTo x="0" y="18277"/>
                <wp:lineTo x="479" y="19938"/>
                <wp:lineTo x="1916" y="20769"/>
                <wp:lineTo x="18200" y="20769"/>
                <wp:lineTo x="20594" y="19938"/>
                <wp:lineTo x="21073" y="19108"/>
                <wp:lineTo x="21073" y="8308"/>
                <wp:lineTo x="18200" y="4154"/>
                <wp:lineTo x="11494" y="0"/>
                <wp:lineTo x="8142" y="0"/>
              </wp:wrapPolygon>
            </wp:wrapTight>
            <wp:docPr id="6" name="Image 6" descr="Une image contenant Graphique, graphisme, clipart,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Graphique, graphisme, clipart, Polic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155" cy="495300"/>
                    </a:xfrm>
                    <a:prstGeom prst="rect">
                      <a:avLst/>
                    </a:prstGeom>
                    <a:noFill/>
                  </pic:spPr>
                </pic:pic>
              </a:graphicData>
            </a:graphic>
          </wp:anchor>
        </w:drawing>
      </w:r>
      <w:r w:rsidRPr="00B63C8C">
        <w:rPr>
          <w:b/>
          <w:bCs/>
        </w:rPr>
        <w:t xml:space="preserve">A.M.O. :  </w:t>
      </w:r>
    </w:p>
    <w:bookmarkEnd w:id="3"/>
    <w:p w14:paraId="30A48899" w14:textId="77777777" w:rsidR="00DE1FFB" w:rsidRPr="00B63C8C" w:rsidRDefault="00DE1FFB" w:rsidP="00DE1FFB">
      <w:pPr>
        <w:spacing w:before="0" w:after="0" w:line="240" w:lineRule="auto"/>
      </w:pPr>
      <w:r w:rsidRPr="00B63C8C">
        <w:t>EPURE Ingénierie</w:t>
      </w:r>
    </w:p>
    <w:p w14:paraId="33193292" w14:textId="77777777" w:rsidR="00DE1FFB" w:rsidRPr="00B63C8C" w:rsidRDefault="00DE1FFB" w:rsidP="00DE1FFB">
      <w:pPr>
        <w:spacing w:before="0" w:after="0" w:line="240" w:lineRule="auto"/>
      </w:pPr>
      <w:r w:rsidRPr="00B63C8C">
        <w:t>5, impasse de la Baronète</w:t>
      </w:r>
    </w:p>
    <w:p w14:paraId="68B5CE79" w14:textId="77777777" w:rsidR="00DE1FFB" w:rsidRPr="00B63C8C" w:rsidRDefault="00DE1FFB" w:rsidP="00DE1FFB">
      <w:pPr>
        <w:spacing w:before="0" w:after="0" w:line="240" w:lineRule="auto"/>
      </w:pPr>
      <w:r w:rsidRPr="00B63C8C">
        <w:t>57070 METZ</w:t>
      </w:r>
      <w:bookmarkEnd w:id="4"/>
      <w:bookmarkEnd w:id="5"/>
      <w:bookmarkEnd w:id="6"/>
    </w:p>
    <w:bookmarkEnd w:id="7"/>
    <w:p w14:paraId="5E08F510" w14:textId="77777777" w:rsidR="0000611B" w:rsidRDefault="0000611B" w:rsidP="00DE1FFB">
      <w:pPr>
        <w:spacing w:before="0" w:after="0" w:line="240" w:lineRule="auto"/>
      </w:pPr>
    </w:p>
    <w:p w14:paraId="18AE5077" w14:textId="77777777" w:rsidR="0069079D" w:rsidRPr="0000611B" w:rsidRDefault="0069079D" w:rsidP="003D35BB"/>
    <w:bookmarkEnd w:id="8" w:displacedByCustomXml="next"/>
    <w:bookmarkEnd w:id="2" w:displacedByCustomXml="next"/>
    <w:sdt>
      <w:sdtPr>
        <w:rPr>
          <w:rFonts w:asciiTheme="minorHAnsi" w:eastAsiaTheme="minorHAnsi" w:hAnsiTheme="minorHAnsi" w:cstheme="minorBidi"/>
          <w:color w:val="auto"/>
          <w:sz w:val="22"/>
          <w:szCs w:val="22"/>
          <w:lang w:eastAsia="en-US"/>
        </w:rPr>
        <w:id w:val="-2098940427"/>
        <w:docPartObj>
          <w:docPartGallery w:val="Table of Contents"/>
          <w:docPartUnique/>
        </w:docPartObj>
      </w:sdtPr>
      <w:sdtEndPr>
        <w:rPr>
          <w:b/>
          <w:bCs/>
        </w:rPr>
      </w:sdtEndPr>
      <w:sdtContent>
        <w:p w14:paraId="72519D0D" w14:textId="77777777" w:rsidR="0069079D" w:rsidRDefault="0069079D">
          <w:pPr>
            <w:pStyle w:val="En-ttedetabledesmatires"/>
          </w:pPr>
          <w:r>
            <w:t>Table des matières</w:t>
          </w:r>
        </w:p>
        <w:p w14:paraId="4002E1ED" w14:textId="502FF3FC" w:rsidR="00E0639A" w:rsidRDefault="0069079D">
          <w:pPr>
            <w:pStyle w:val="TM1"/>
            <w:tabs>
              <w:tab w:val="right" w:leader="dot" w:pos="9061"/>
            </w:tabs>
            <w:rPr>
              <w:rFonts w:eastAsiaTheme="minorEastAsia"/>
              <w:noProof/>
              <w:lang w:eastAsia="fr-FR"/>
            </w:rPr>
          </w:pPr>
          <w:r>
            <w:fldChar w:fldCharType="begin"/>
          </w:r>
          <w:r>
            <w:instrText xml:space="preserve"> TOC \o "1-3" \h \z \u </w:instrText>
          </w:r>
          <w:r>
            <w:fldChar w:fldCharType="separate"/>
          </w:r>
          <w:hyperlink w:anchor="_Toc36112360" w:history="1">
            <w:r w:rsidR="00E0639A" w:rsidRPr="00147079">
              <w:rPr>
                <w:rStyle w:val="Lienhypertexte"/>
                <w:noProof/>
              </w:rPr>
              <w:t>ARTICLE 1 - OBJET DE L'APPEL D'OFFRES</w:t>
            </w:r>
            <w:r w:rsidR="00E0639A">
              <w:rPr>
                <w:noProof/>
                <w:webHidden/>
              </w:rPr>
              <w:tab/>
            </w:r>
            <w:r w:rsidR="00E0639A">
              <w:rPr>
                <w:noProof/>
                <w:webHidden/>
              </w:rPr>
              <w:fldChar w:fldCharType="begin"/>
            </w:r>
            <w:r w:rsidR="00E0639A">
              <w:rPr>
                <w:noProof/>
                <w:webHidden/>
              </w:rPr>
              <w:instrText xml:space="preserve"> PAGEREF _Toc36112360 \h </w:instrText>
            </w:r>
            <w:r w:rsidR="00E0639A">
              <w:rPr>
                <w:noProof/>
                <w:webHidden/>
              </w:rPr>
            </w:r>
            <w:r w:rsidR="00E0639A">
              <w:rPr>
                <w:noProof/>
                <w:webHidden/>
              </w:rPr>
              <w:fldChar w:fldCharType="separate"/>
            </w:r>
            <w:r w:rsidR="00707470">
              <w:rPr>
                <w:noProof/>
                <w:webHidden/>
              </w:rPr>
              <w:t>3</w:t>
            </w:r>
            <w:r w:rsidR="00E0639A">
              <w:rPr>
                <w:noProof/>
                <w:webHidden/>
              </w:rPr>
              <w:fldChar w:fldCharType="end"/>
            </w:r>
          </w:hyperlink>
        </w:p>
        <w:p w14:paraId="49A211A5" w14:textId="37C7E713" w:rsidR="00E0639A" w:rsidRDefault="00707470">
          <w:pPr>
            <w:pStyle w:val="TM1"/>
            <w:tabs>
              <w:tab w:val="right" w:leader="dot" w:pos="9061"/>
            </w:tabs>
            <w:rPr>
              <w:rFonts w:eastAsiaTheme="minorEastAsia"/>
              <w:noProof/>
              <w:lang w:eastAsia="fr-FR"/>
            </w:rPr>
          </w:pPr>
          <w:hyperlink w:anchor="_Toc36112361" w:history="1">
            <w:r w:rsidR="00E0639A" w:rsidRPr="00147079">
              <w:rPr>
                <w:rStyle w:val="Lienhypertexte"/>
                <w:noProof/>
              </w:rPr>
              <w:t>ARTICLE 2 - CONDITIONS DE L'APPEL D'OFFRES</w:t>
            </w:r>
            <w:r w:rsidR="00E0639A">
              <w:rPr>
                <w:noProof/>
                <w:webHidden/>
              </w:rPr>
              <w:tab/>
            </w:r>
            <w:r w:rsidR="00E0639A">
              <w:rPr>
                <w:noProof/>
                <w:webHidden/>
              </w:rPr>
              <w:fldChar w:fldCharType="begin"/>
            </w:r>
            <w:r w:rsidR="00E0639A">
              <w:rPr>
                <w:noProof/>
                <w:webHidden/>
              </w:rPr>
              <w:instrText xml:space="preserve"> PAGEREF _Toc36112361 \h </w:instrText>
            </w:r>
            <w:r w:rsidR="00E0639A">
              <w:rPr>
                <w:noProof/>
                <w:webHidden/>
              </w:rPr>
            </w:r>
            <w:r w:rsidR="00E0639A">
              <w:rPr>
                <w:noProof/>
                <w:webHidden/>
              </w:rPr>
              <w:fldChar w:fldCharType="separate"/>
            </w:r>
            <w:r>
              <w:rPr>
                <w:noProof/>
                <w:webHidden/>
              </w:rPr>
              <w:t>3</w:t>
            </w:r>
            <w:r w:rsidR="00E0639A">
              <w:rPr>
                <w:noProof/>
                <w:webHidden/>
              </w:rPr>
              <w:fldChar w:fldCharType="end"/>
            </w:r>
          </w:hyperlink>
        </w:p>
        <w:p w14:paraId="0155EA63" w14:textId="7C588FC1" w:rsidR="00E0639A" w:rsidRDefault="00707470">
          <w:pPr>
            <w:pStyle w:val="TM1"/>
            <w:tabs>
              <w:tab w:val="right" w:leader="dot" w:pos="9061"/>
            </w:tabs>
            <w:rPr>
              <w:rFonts w:eastAsiaTheme="minorEastAsia"/>
              <w:noProof/>
              <w:lang w:eastAsia="fr-FR"/>
            </w:rPr>
          </w:pPr>
          <w:hyperlink w:anchor="_Toc36112371" w:history="1">
            <w:r w:rsidR="00E0639A" w:rsidRPr="00147079">
              <w:rPr>
                <w:rStyle w:val="Lienhypertexte"/>
                <w:noProof/>
              </w:rPr>
              <w:t>ARTICLE 3 - DOSSIER DE CONSULTATION</w:t>
            </w:r>
            <w:r w:rsidR="00E0639A">
              <w:rPr>
                <w:noProof/>
                <w:webHidden/>
              </w:rPr>
              <w:tab/>
            </w:r>
            <w:r w:rsidR="00E0639A">
              <w:rPr>
                <w:noProof/>
                <w:webHidden/>
              </w:rPr>
              <w:fldChar w:fldCharType="begin"/>
            </w:r>
            <w:r w:rsidR="00E0639A">
              <w:rPr>
                <w:noProof/>
                <w:webHidden/>
              </w:rPr>
              <w:instrText xml:space="preserve"> PAGEREF _Toc36112371 \h </w:instrText>
            </w:r>
            <w:r w:rsidR="00E0639A">
              <w:rPr>
                <w:noProof/>
                <w:webHidden/>
              </w:rPr>
            </w:r>
            <w:r w:rsidR="00E0639A">
              <w:rPr>
                <w:noProof/>
                <w:webHidden/>
              </w:rPr>
              <w:fldChar w:fldCharType="separate"/>
            </w:r>
            <w:r>
              <w:rPr>
                <w:noProof/>
                <w:webHidden/>
              </w:rPr>
              <w:t>5</w:t>
            </w:r>
            <w:r w:rsidR="00E0639A">
              <w:rPr>
                <w:noProof/>
                <w:webHidden/>
              </w:rPr>
              <w:fldChar w:fldCharType="end"/>
            </w:r>
          </w:hyperlink>
        </w:p>
        <w:p w14:paraId="4E45E078" w14:textId="682EC44F" w:rsidR="00E0639A" w:rsidRDefault="00707470">
          <w:pPr>
            <w:pStyle w:val="TM1"/>
            <w:tabs>
              <w:tab w:val="right" w:leader="dot" w:pos="9061"/>
            </w:tabs>
            <w:rPr>
              <w:rFonts w:eastAsiaTheme="minorEastAsia"/>
              <w:noProof/>
              <w:lang w:eastAsia="fr-FR"/>
            </w:rPr>
          </w:pPr>
          <w:hyperlink w:anchor="_Toc36112374" w:history="1">
            <w:r w:rsidR="00E0639A" w:rsidRPr="00147079">
              <w:rPr>
                <w:rStyle w:val="Lienhypertexte"/>
                <w:noProof/>
              </w:rPr>
              <w:t>ARTICLE 4 - PRESENTATION DES CANDIDATURES ET DES OFFRES</w:t>
            </w:r>
            <w:r w:rsidR="00E0639A">
              <w:rPr>
                <w:noProof/>
                <w:webHidden/>
              </w:rPr>
              <w:tab/>
            </w:r>
            <w:r w:rsidR="00E0639A">
              <w:rPr>
                <w:noProof/>
                <w:webHidden/>
              </w:rPr>
              <w:fldChar w:fldCharType="begin"/>
            </w:r>
            <w:r w:rsidR="00E0639A">
              <w:rPr>
                <w:noProof/>
                <w:webHidden/>
              </w:rPr>
              <w:instrText xml:space="preserve"> PAGEREF _Toc36112374 \h </w:instrText>
            </w:r>
            <w:r w:rsidR="00E0639A">
              <w:rPr>
                <w:noProof/>
                <w:webHidden/>
              </w:rPr>
            </w:r>
            <w:r w:rsidR="00E0639A">
              <w:rPr>
                <w:noProof/>
                <w:webHidden/>
              </w:rPr>
              <w:fldChar w:fldCharType="separate"/>
            </w:r>
            <w:r>
              <w:rPr>
                <w:noProof/>
                <w:webHidden/>
              </w:rPr>
              <w:t>6</w:t>
            </w:r>
            <w:r w:rsidR="00E0639A">
              <w:rPr>
                <w:noProof/>
                <w:webHidden/>
              </w:rPr>
              <w:fldChar w:fldCharType="end"/>
            </w:r>
          </w:hyperlink>
        </w:p>
        <w:p w14:paraId="6BAEB439" w14:textId="2FD5AF14" w:rsidR="00E0639A" w:rsidRDefault="00707470">
          <w:pPr>
            <w:pStyle w:val="TM1"/>
            <w:tabs>
              <w:tab w:val="right" w:leader="dot" w:pos="9061"/>
            </w:tabs>
            <w:rPr>
              <w:rFonts w:eastAsiaTheme="minorEastAsia"/>
              <w:noProof/>
              <w:lang w:eastAsia="fr-FR"/>
            </w:rPr>
          </w:pPr>
          <w:hyperlink w:anchor="_Toc36112378" w:history="1">
            <w:r w:rsidR="00E0639A" w:rsidRPr="00147079">
              <w:rPr>
                <w:rStyle w:val="Lienhypertexte"/>
                <w:noProof/>
              </w:rPr>
              <w:t>ARTICLE 5 - SELECTION DES CANDIDATURES ET JUGEMENT DES OFFRES</w:t>
            </w:r>
            <w:r w:rsidR="00E0639A">
              <w:rPr>
                <w:noProof/>
                <w:webHidden/>
              </w:rPr>
              <w:tab/>
            </w:r>
            <w:r w:rsidR="00E0639A">
              <w:rPr>
                <w:noProof/>
                <w:webHidden/>
              </w:rPr>
              <w:fldChar w:fldCharType="begin"/>
            </w:r>
            <w:r w:rsidR="00E0639A">
              <w:rPr>
                <w:noProof/>
                <w:webHidden/>
              </w:rPr>
              <w:instrText xml:space="preserve"> PAGEREF _Toc36112378 \h </w:instrText>
            </w:r>
            <w:r w:rsidR="00E0639A">
              <w:rPr>
                <w:noProof/>
                <w:webHidden/>
              </w:rPr>
            </w:r>
            <w:r w:rsidR="00E0639A">
              <w:rPr>
                <w:noProof/>
                <w:webHidden/>
              </w:rPr>
              <w:fldChar w:fldCharType="separate"/>
            </w:r>
            <w:r>
              <w:rPr>
                <w:noProof/>
                <w:webHidden/>
              </w:rPr>
              <w:t>8</w:t>
            </w:r>
            <w:r w:rsidR="00E0639A">
              <w:rPr>
                <w:noProof/>
                <w:webHidden/>
              </w:rPr>
              <w:fldChar w:fldCharType="end"/>
            </w:r>
          </w:hyperlink>
        </w:p>
        <w:p w14:paraId="319247ED" w14:textId="29057BE2" w:rsidR="00E0639A" w:rsidRDefault="00707470">
          <w:pPr>
            <w:pStyle w:val="TM1"/>
            <w:tabs>
              <w:tab w:val="right" w:leader="dot" w:pos="9061"/>
            </w:tabs>
            <w:rPr>
              <w:rFonts w:eastAsiaTheme="minorEastAsia"/>
              <w:noProof/>
              <w:lang w:eastAsia="fr-FR"/>
            </w:rPr>
          </w:pPr>
          <w:hyperlink w:anchor="_Toc36112381" w:history="1">
            <w:r w:rsidR="00E0639A" w:rsidRPr="00147079">
              <w:rPr>
                <w:rStyle w:val="Lienhypertexte"/>
                <w:noProof/>
              </w:rPr>
              <w:t>ARTICLE 6 – MODALITES DE RETRAIT DES DOSSIERS ET CONDITIONS DE REMISE DES OFFRES</w:t>
            </w:r>
            <w:r w:rsidR="00E0639A">
              <w:rPr>
                <w:noProof/>
                <w:webHidden/>
              </w:rPr>
              <w:tab/>
            </w:r>
            <w:r w:rsidR="00E0639A">
              <w:rPr>
                <w:noProof/>
                <w:webHidden/>
              </w:rPr>
              <w:fldChar w:fldCharType="begin"/>
            </w:r>
            <w:r w:rsidR="00E0639A">
              <w:rPr>
                <w:noProof/>
                <w:webHidden/>
              </w:rPr>
              <w:instrText xml:space="preserve"> PAGEREF _Toc36112381 \h </w:instrText>
            </w:r>
            <w:r w:rsidR="00E0639A">
              <w:rPr>
                <w:noProof/>
                <w:webHidden/>
              </w:rPr>
            </w:r>
            <w:r w:rsidR="00E0639A">
              <w:rPr>
                <w:noProof/>
                <w:webHidden/>
              </w:rPr>
              <w:fldChar w:fldCharType="separate"/>
            </w:r>
            <w:r>
              <w:rPr>
                <w:noProof/>
                <w:webHidden/>
              </w:rPr>
              <w:t>10</w:t>
            </w:r>
            <w:r w:rsidR="00E0639A">
              <w:rPr>
                <w:noProof/>
                <w:webHidden/>
              </w:rPr>
              <w:fldChar w:fldCharType="end"/>
            </w:r>
          </w:hyperlink>
        </w:p>
        <w:p w14:paraId="1E85ED28" w14:textId="6DEC1A30" w:rsidR="00E0639A" w:rsidRDefault="00707470">
          <w:pPr>
            <w:pStyle w:val="TM1"/>
            <w:tabs>
              <w:tab w:val="left" w:pos="1320"/>
              <w:tab w:val="right" w:leader="dot" w:pos="9061"/>
            </w:tabs>
            <w:rPr>
              <w:rFonts w:eastAsiaTheme="minorEastAsia"/>
              <w:noProof/>
              <w:lang w:eastAsia="fr-FR"/>
            </w:rPr>
          </w:pPr>
          <w:hyperlink w:anchor="_Toc36112387" w:history="1">
            <w:r w:rsidR="00E0639A" w:rsidRPr="00147079">
              <w:rPr>
                <w:rStyle w:val="Lienhypertexte"/>
                <w:noProof/>
              </w:rPr>
              <w:t>ARTICLE 7</w:t>
            </w:r>
            <w:r w:rsidR="00E0639A">
              <w:rPr>
                <w:rFonts w:eastAsiaTheme="minorEastAsia"/>
                <w:noProof/>
                <w:lang w:eastAsia="fr-FR"/>
              </w:rPr>
              <w:tab/>
            </w:r>
            <w:r w:rsidR="00E0639A" w:rsidRPr="00147079">
              <w:rPr>
                <w:rStyle w:val="Lienhypertexte"/>
                <w:noProof/>
              </w:rPr>
              <w:t>RENSEIGNEMENTS COMPLEMENTAIRES ET VISITE DES INSTALLATIONS</w:t>
            </w:r>
            <w:r w:rsidR="00E0639A">
              <w:rPr>
                <w:noProof/>
                <w:webHidden/>
              </w:rPr>
              <w:tab/>
            </w:r>
            <w:r w:rsidR="00E0639A">
              <w:rPr>
                <w:noProof/>
                <w:webHidden/>
              </w:rPr>
              <w:fldChar w:fldCharType="begin"/>
            </w:r>
            <w:r w:rsidR="00E0639A">
              <w:rPr>
                <w:noProof/>
                <w:webHidden/>
              </w:rPr>
              <w:instrText xml:space="preserve"> PAGEREF _Toc36112387 \h </w:instrText>
            </w:r>
            <w:r w:rsidR="00E0639A">
              <w:rPr>
                <w:noProof/>
                <w:webHidden/>
              </w:rPr>
            </w:r>
            <w:r w:rsidR="00E0639A">
              <w:rPr>
                <w:noProof/>
                <w:webHidden/>
              </w:rPr>
              <w:fldChar w:fldCharType="separate"/>
            </w:r>
            <w:r>
              <w:rPr>
                <w:noProof/>
                <w:webHidden/>
              </w:rPr>
              <w:t>13</w:t>
            </w:r>
            <w:r w:rsidR="00E0639A">
              <w:rPr>
                <w:noProof/>
                <w:webHidden/>
              </w:rPr>
              <w:fldChar w:fldCharType="end"/>
            </w:r>
          </w:hyperlink>
        </w:p>
        <w:p w14:paraId="2510AA2E" w14:textId="749E58F6" w:rsidR="00E0639A" w:rsidRDefault="00707470">
          <w:pPr>
            <w:pStyle w:val="TM1"/>
            <w:tabs>
              <w:tab w:val="left" w:pos="1320"/>
              <w:tab w:val="right" w:leader="dot" w:pos="9061"/>
            </w:tabs>
            <w:rPr>
              <w:rFonts w:eastAsiaTheme="minorEastAsia"/>
              <w:noProof/>
              <w:lang w:eastAsia="fr-FR"/>
            </w:rPr>
          </w:pPr>
          <w:hyperlink w:anchor="_Toc36112390" w:history="1">
            <w:r w:rsidR="00E0639A" w:rsidRPr="00147079">
              <w:rPr>
                <w:rStyle w:val="Lienhypertexte"/>
                <w:noProof/>
              </w:rPr>
              <w:t xml:space="preserve">ARTICLE 8 </w:t>
            </w:r>
            <w:r w:rsidR="00E0639A">
              <w:rPr>
                <w:rFonts w:eastAsiaTheme="minorEastAsia"/>
                <w:noProof/>
                <w:lang w:eastAsia="fr-FR"/>
              </w:rPr>
              <w:tab/>
            </w:r>
            <w:r w:rsidR="00E0639A" w:rsidRPr="00147079">
              <w:rPr>
                <w:rStyle w:val="Lienhypertexte"/>
                <w:noProof/>
              </w:rPr>
              <w:t>DOCUMENTS A PRODUIRE PAR LE CANDIDAT RETENU</w:t>
            </w:r>
            <w:r w:rsidR="00E0639A">
              <w:rPr>
                <w:noProof/>
                <w:webHidden/>
              </w:rPr>
              <w:tab/>
            </w:r>
            <w:r w:rsidR="00E0639A">
              <w:rPr>
                <w:noProof/>
                <w:webHidden/>
              </w:rPr>
              <w:fldChar w:fldCharType="begin"/>
            </w:r>
            <w:r w:rsidR="00E0639A">
              <w:rPr>
                <w:noProof/>
                <w:webHidden/>
              </w:rPr>
              <w:instrText xml:space="preserve"> PAGEREF _Toc36112390 \h </w:instrText>
            </w:r>
            <w:r w:rsidR="00E0639A">
              <w:rPr>
                <w:noProof/>
                <w:webHidden/>
              </w:rPr>
            </w:r>
            <w:r w:rsidR="00E0639A">
              <w:rPr>
                <w:noProof/>
                <w:webHidden/>
              </w:rPr>
              <w:fldChar w:fldCharType="separate"/>
            </w:r>
            <w:r>
              <w:rPr>
                <w:noProof/>
                <w:webHidden/>
              </w:rPr>
              <w:t>13</w:t>
            </w:r>
            <w:r w:rsidR="00E0639A">
              <w:rPr>
                <w:noProof/>
                <w:webHidden/>
              </w:rPr>
              <w:fldChar w:fldCharType="end"/>
            </w:r>
          </w:hyperlink>
        </w:p>
        <w:p w14:paraId="0B5D7697" w14:textId="7EC41CF6" w:rsidR="00E0639A" w:rsidRDefault="00707470">
          <w:pPr>
            <w:pStyle w:val="TM1"/>
            <w:tabs>
              <w:tab w:val="right" w:leader="dot" w:pos="9061"/>
            </w:tabs>
            <w:rPr>
              <w:rFonts w:eastAsiaTheme="minorEastAsia"/>
              <w:noProof/>
              <w:lang w:eastAsia="fr-FR"/>
            </w:rPr>
          </w:pPr>
          <w:hyperlink w:anchor="_Toc36112391" w:history="1">
            <w:r w:rsidR="00E0639A" w:rsidRPr="00147079">
              <w:rPr>
                <w:rStyle w:val="Lienhypertexte"/>
                <w:noProof/>
              </w:rPr>
              <w:t>ARTICLE 9 INFORMATIONS DES CANDIDATS NON RETENUS</w:t>
            </w:r>
            <w:r w:rsidR="00E0639A">
              <w:rPr>
                <w:noProof/>
                <w:webHidden/>
              </w:rPr>
              <w:tab/>
            </w:r>
            <w:r w:rsidR="00E0639A">
              <w:rPr>
                <w:noProof/>
                <w:webHidden/>
              </w:rPr>
              <w:fldChar w:fldCharType="begin"/>
            </w:r>
            <w:r w:rsidR="00E0639A">
              <w:rPr>
                <w:noProof/>
                <w:webHidden/>
              </w:rPr>
              <w:instrText xml:space="preserve"> PAGEREF _Toc36112391 \h </w:instrText>
            </w:r>
            <w:r w:rsidR="00E0639A">
              <w:rPr>
                <w:noProof/>
                <w:webHidden/>
              </w:rPr>
            </w:r>
            <w:r w:rsidR="00E0639A">
              <w:rPr>
                <w:noProof/>
                <w:webHidden/>
              </w:rPr>
              <w:fldChar w:fldCharType="separate"/>
            </w:r>
            <w:r>
              <w:rPr>
                <w:noProof/>
                <w:webHidden/>
              </w:rPr>
              <w:t>14</w:t>
            </w:r>
            <w:r w:rsidR="00E0639A">
              <w:rPr>
                <w:noProof/>
                <w:webHidden/>
              </w:rPr>
              <w:fldChar w:fldCharType="end"/>
            </w:r>
          </w:hyperlink>
        </w:p>
        <w:p w14:paraId="1B9B2419" w14:textId="192F66B8" w:rsidR="00E0639A" w:rsidRDefault="00707470">
          <w:pPr>
            <w:pStyle w:val="TM1"/>
            <w:tabs>
              <w:tab w:val="right" w:leader="dot" w:pos="9061"/>
            </w:tabs>
            <w:rPr>
              <w:rFonts w:eastAsiaTheme="minorEastAsia"/>
              <w:noProof/>
              <w:lang w:eastAsia="fr-FR"/>
            </w:rPr>
          </w:pPr>
          <w:hyperlink w:anchor="_Toc36112392" w:history="1">
            <w:r w:rsidR="00E0639A" w:rsidRPr="00147079">
              <w:rPr>
                <w:rStyle w:val="Lienhypertexte"/>
                <w:noProof/>
              </w:rPr>
              <w:t>ARTICLE 10 SIGNATURE ET NOTIFICATION DES MARCHES PUBLICS</w:t>
            </w:r>
            <w:r w:rsidR="00E0639A">
              <w:rPr>
                <w:noProof/>
                <w:webHidden/>
              </w:rPr>
              <w:tab/>
            </w:r>
            <w:r w:rsidR="00E0639A">
              <w:rPr>
                <w:noProof/>
                <w:webHidden/>
              </w:rPr>
              <w:fldChar w:fldCharType="begin"/>
            </w:r>
            <w:r w:rsidR="00E0639A">
              <w:rPr>
                <w:noProof/>
                <w:webHidden/>
              </w:rPr>
              <w:instrText xml:space="preserve"> PAGEREF _Toc36112392 \h </w:instrText>
            </w:r>
            <w:r w:rsidR="00E0639A">
              <w:rPr>
                <w:noProof/>
                <w:webHidden/>
              </w:rPr>
            </w:r>
            <w:r w:rsidR="00E0639A">
              <w:rPr>
                <w:noProof/>
                <w:webHidden/>
              </w:rPr>
              <w:fldChar w:fldCharType="separate"/>
            </w:r>
            <w:r>
              <w:rPr>
                <w:noProof/>
                <w:webHidden/>
              </w:rPr>
              <w:t>14</w:t>
            </w:r>
            <w:r w:rsidR="00E0639A">
              <w:rPr>
                <w:noProof/>
                <w:webHidden/>
              </w:rPr>
              <w:fldChar w:fldCharType="end"/>
            </w:r>
          </w:hyperlink>
        </w:p>
        <w:p w14:paraId="29C49120" w14:textId="5195401B" w:rsidR="00E0639A" w:rsidRDefault="00707470">
          <w:pPr>
            <w:pStyle w:val="TM1"/>
            <w:tabs>
              <w:tab w:val="right" w:leader="dot" w:pos="9061"/>
            </w:tabs>
            <w:rPr>
              <w:rFonts w:eastAsiaTheme="minorEastAsia"/>
              <w:noProof/>
              <w:lang w:eastAsia="fr-FR"/>
            </w:rPr>
          </w:pPr>
          <w:hyperlink w:anchor="_Toc36112393" w:history="1">
            <w:r w:rsidR="00E0639A" w:rsidRPr="00147079">
              <w:rPr>
                <w:rStyle w:val="Lienhypertexte"/>
                <w:noProof/>
              </w:rPr>
              <w:t xml:space="preserve">ARTICLE 11 DEMATERIALISATION DES ECHANGES ENTRE </w:t>
            </w:r>
            <w:r w:rsidR="001C4FC9">
              <w:rPr>
                <w:rStyle w:val="Lienhypertexte"/>
                <w:noProof/>
              </w:rPr>
              <w:t>L’ACHETEUR</w:t>
            </w:r>
            <w:r w:rsidR="00E0639A" w:rsidRPr="00147079">
              <w:rPr>
                <w:rStyle w:val="Lienhypertexte"/>
                <w:noProof/>
              </w:rPr>
              <w:t xml:space="preserve"> ET</w:t>
            </w:r>
            <w:r w:rsidR="00E0639A">
              <w:rPr>
                <w:noProof/>
                <w:webHidden/>
              </w:rPr>
              <w:tab/>
            </w:r>
            <w:r w:rsidR="00E0639A">
              <w:rPr>
                <w:noProof/>
                <w:webHidden/>
              </w:rPr>
              <w:fldChar w:fldCharType="begin"/>
            </w:r>
            <w:r w:rsidR="00E0639A">
              <w:rPr>
                <w:noProof/>
                <w:webHidden/>
              </w:rPr>
              <w:instrText xml:space="preserve"> PAGEREF _Toc36112393 \h </w:instrText>
            </w:r>
            <w:r w:rsidR="00E0639A">
              <w:rPr>
                <w:noProof/>
                <w:webHidden/>
              </w:rPr>
            </w:r>
            <w:r w:rsidR="00E0639A">
              <w:rPr>
                <w:noProof/>
                <w:webHidden/>
              </w:rPr>
              <w:fldChar w:fldCharType="separate"/>
            </w:r>
            <w:r>
              <w:rPr>
                <w:noProof/>
                <w:webHidden/>
              </w:rPr>
              <w:t>14</w:t>
            </w:r>
            <w:r w:rsidR="00E0639A">
              <w:rPr>
                <w:noProof/>
                <w:webHidden/>
              </w:rPr>
              <w:fldChar w:fldCharType="end"/>
            </w:r>
          </w:hyperlink>
        </w:p>
        <w:p w14:paraId="75003B62" w14:textId="77777777" w:rsidR="0069079D" w:rsidRDefault="0069079D">
          <w:r>
            <w:rPr>
              <w:b/>
              <w:bCs/>
            </w:rPr>
            <w:fldChar w:fldCharType="end"/>
          </w:r>
        </w:p>
      </w:sdtContent>
    </w:sdt>
    <w:p w14:paraId="24F318BD" w14:textId="77777777" w:rsidR="0000611B" w:rsidRPr="0000611B" w:rsidRDefault="0000611B" w:rsidP="003D35BB"/>
    <w:p w14:paraId="1D08C123" w14:textId="77777777" w:rsidR="0000611B" w:rsidRPr="0000611B" w:rsidRDefault="0000611B" w:rsidP="003D35BB"/>
    <w:p w14:paraId="73E61136" w14:textId="77777777" w:rsidR="0000611B" w:rsidRPr="0000611B" w:rsidRDefault="0000611B" w:rsidP="003D35BB"/>
    <w:p w14:paraId="5C2F38FB" w14:textId="77777777" w:rsidR="0000611B" w:rsidRPr="0000611B" w:rsidRDefault="0000611B" w:rsidP="003D35BB"/>
    <w:p w14:paraId="1E95FF06" w14:textId="7B654259" w:rsidR="00DE1FFB" w:rsidRDefault="0069079D" w:rsidP="0069079D">
      <w:pPr>
        <w:pStyle w:val="Titre1"/>
      </w:pPr>
      <w:bookmarkStart w:id="12" w:name="_Toc163893736"/>
      <w:bookmarkStart w:id="13" w:name="_Toc475533224"/>
      <w:r>
        <w:br w:type="page"/>
      </w:r>
      <w:bookmarkStart w:id="14" w:name="_Toc36112360"/>
    </w:p>
    <w:p w14:paraId="3C58A49F" w14:textId="77777777" w:rsidR="00DE1FFB" w:rsidRDefault="00DE1FFB" w:rsidP="00DE1FFB"/>
    <w:p w14:paraId="7FFC24E6" w14:textId="481667B9" w:rsidR="0000611B" w:rsidRPr="0000611B" w:rsidRDefault="0000611B" w:rsidP="0069079D">
      <w:pPr>
        <w:pStyle w:val="Titre1"/>
      </w:pPr>
      <w:r w:rsidRPr="0000611B">
        <w:t>ARTICLE 1 - OBJET DE L'APPEL D'OFFRES</w:t>
      </w:r>
      <w:bookmarkEnd w:id="12"/>
      <w:bookmarkEnd w:id="13"/>
      <w:bookmarkEnd w:id="14"/>
    </w:p>
    <w:p w14:paraId="69D69AD1" w14:textId="77777777" w:rsidR="00DE1FFB" w:rsidRDefault="00DE1FFB" w:rsidP="00DE1FFB">
      <w:pPr>
        <w:spacing w:before="0" w:after="0" w:line="240" w:lineRule="auto"/>
      </w:pPr>
    </w:p>
    <w:p w14:paraId="7BC972B0" w14:textId="77777777" w:rsidR="00DE1FFB" w:rsidRPr="005142EE" w:rsidRDefault="00DE1FFB" w:rsidP="00DE1FFB">
      <w:r>
        <w:t xml:space="preserve">Le présent Marché a pour objet de faire assurer par le TITULAIRE pour le compte du </w:t>
      </w:r>
      <w:r w:rsidRPr="005142EE">
        <w:t>CHR Metz-Thionville</w:t>
      </w:r>
      <w:r>
        <w:t xml:space="preserve"> en tant qu’</w:t>
      </w:r>
      <w:r w:rsidRPr="005142EE">
        <w:t>établissement support du GHT Lorraine Nord pour le compte du GCS Blanchisserie Lorraine Nord ci-après désigné « l’ACHETEUR » :</w:t>
      </w:r>
    </w:p>
    <w:p w14:paraId="7A41BFDF" w14:textId="77777777" w:rsidR="00DE1FFB" w:rsidRPr="005142EE" w:rsidRDefault="00DE1FFB" w:rsidP="00DE1FFB">
      <w:pPr>
        <w:pStyle w:val="Paragraphedeliste"/>
        <w:numPr>
          <w:ilvl w:val="0"/>
          <w:numId w:val="28"/>
        </w:numPr>
        <w:ind w:left="1134"/>
      </w:pPr>
      <w:r w:rsidRPr="005142EE">
        <w:t xml:space="preserve">la gestion des énergies gaz naturel (P1) avec garantie de résultats </w:t>
      </w:r>
    </w:p>
    <w:p w14:paraId="476ACA9E" w14:textId="77777777" w:rsidR="00DE1FFB" w:rsidRPr="005142EE" w:rsidRDefault="00DE1FFB" w:rsidP="00DE1FFB">
      <w:pPr>
        <w:pStyle w:val="Paragraphedeliste"/>
        <w:numPr>
          <w:ilvl w:val="0"/>
          <w:numId w:val="28"/>
        </w:numPr>
        <w:ind w:left="1134"/>
      </w:pPr>
      <w:r w:rsidRPr="005142EE">
        <w:t xml:space="preserve">la conduite, l'entretien courant et les dépannages (P2), </w:t>
      </w:r>
    </w:p>
    <w:p w14:paraId="66EBEBEF" w14:textId="77777777" w:rsidR="00DE1FFB" w:rsidRPr="005142EE" w:rsidRDefault="00DE1FFB" w:rsidP="00DE1FFB">
      <w:pPr>
        <w:pStyle w:val="Paragraphedeliste"/>
        <w:numPr>
          <w:ilvl w:val="0"/>
          <w:numId w:val="28"/>
        </w:numPr>
        <w:ind w:left="1134"/>
      </w:pPr>
      <w:r w:rsidRPr="005142EE">
        <w:t xml:space="preserve">la garantie totale (P3), </w:t>
      </w:r>
    </w:p>
    <w:p w14:paraId="03C7162E" w14:textId="77777777" w:rsidR="00DE1FFB" w:rsidRDefault="00DE1FFB" w:rsidP="00DE1FFB">
      <w:r>
        <w:t>des installations de :</w:t>
      </w:r>
    </w:p>
    <w:p w14:paraId="07AA9AD6" w14:textId="77777777" w:rsidR="00DE1FFB" w:rsidRDefault="00DE1FFB" w:rsidP="00DE1FFB">
      <w:pPr>
        <w:pStyle w:val="Paragraphedeliste"/>
        <w:numPr>
          <w:ilvl w:val="0"/>
          <w:numId w:val="29"/>
        </w:numPr>
      </w:pPr>
      <w:r>
        <w:t>vapeur pour la blanchisserie ,</w:t>
      </w:r>
    </w:p>
    <w:p w14:paraId="3702B918" w14:textId="77777777" w:rsidR="00DE1FFB" w:rsidRDefault="00DE1FFB" w:rsidP="00DE1FFB">
      <w:pPr>
        <w:pStyle w:val="Paragraphedeliste"/>
        <w:numPr>
          <w:ilvl w:val="0"/>
          <w:numId w:val="29"/>
        </w:numPr>
      </w:pPr>
      <w:r>
        <w:t>chauffage des locaux</w:t>
      </w:r>
    </w:p>
    <w:p w14:paraId="7E838DC7" w14:textId="77777777" w:rsidR="00DE1FFB" w:rsidRDefault="00DE1FFB" w:rsidP="00DE1FFB">
      <w:pPr>
        <w:pStyle w:val="Paragraphedeliste"/>
        <w:numPr>
          <w:ilvl w:val="0"/>
          <w:numId w:val="29"/>
        </w:numPr>
      </w:pPr>
      <w:r>
        <w:t>eau Chaude Sanitaire,</w:t>
      </w:r>
    </w:p>
    <w:p w14:paraId="17E3171D" w14:textId="77777777" w:rsidR="00DE1FFB" w:rsidRDefault="00DE1FFB" w:rsidP="00DE1FFB">
      <w:pPr>
        <w:pStyle w:val="Paragraphedeliste"/>
        <w:numPr>
          <w:ilvl w:val="0"/>
          <w:numId w:val="29"/>
        </w:numPr>
      </w:pPr>
      <w:r>
        <w:t xml:space="preserve">traitement d’eau </w:t>
      </w:r>
    </w:p>
    <w:p w14:paraId="7DFA64E9" w14:textId="77777777" w:rsidR="00DE1FFB" w:rsidRDefault="00DE1FFB" w:rsidP="00DE1FFB">
      <w:pPr>
        <w:pStyle w:val="Paragraphedeliste"/>
        <w:numPr>
          <w:ilvl w:val="0"/>
          <w:numId w:val="29"/>
        </w:numPr>
      </w:pPr>
      <w:r>
        <w:t>ventilation</w:t>
      </w:r>
    </w:p>
    <w:p w14:paraId="09FE3363" w14:textId="77777777" w:rsidR="00DE1FFB" w:rsidRDefault="00DE1FFB" w:rsidP="00DE1FFB">
      <w:r>
        <w:t>de l'ensemble des installations désignés ci-après :</w:t>
      </w:r>
    </w:p>
    <w:p w14:paraId="78061070" w14:textId="77777777" w:rsidR="00DE1FFB" w:rsidRPr="002D72E7" w:rsidRDefault="00DE1FFB" w:rsidP="00DE1FFB">
      <w:pPr>
        <w:spacing w:before="0" w:after="0" w:line="240" w:lineRule="auto"/>
        <w:rPr>
          <w:b/>
          <w:bCs/>
        </w:rPr>
      </w:pPr>
      <w:r w:rsidRPr="002D72E7">
        <w:rPr>
          <w:b/>
          <w:bCs/>
        </w:rPr>
        <w:t>GCS de Blanchisserie Lorraine Nord</w:t>
      </w:r>
    </w:p>
    <w:p w14:paraId="1BB190BA" w14:textId="77777777" w:rsidR="00DE1FFB" w:rsidRPr="002D72E7" w:rsidRDefault="00DE1FFB" w:rsidP="00DE1FFB">
      <w:pPr>
        <w:spacing w:before="0" w:after="0" w:line="240" w:lineRule="auto"/>
        <w:rPr>
          <w:b/>
          <w:bCs/>
        </w:rPr>
      </w:pPr>
      <w:r w:rsidRPr="002D72E7">
        <w:rPr>
          <w:b/>
          <w:bCs/>
        </w:rPr>
        <w:t>14 rue des Potiers d’Etain</w:t>
      </w:r>
    </w:p>
    <w:p w14:paraId="0609E2C0" w14:textId="77777777" w:rsidR="00DE1FFB" w:rsidRDefault="00DE1FFB" w:rsidP="00DE1FFB">
      <w:pPr>
        <w:spacing w:before="0" w:after="0" w:line="240" w:lineRule="auto"/>
        <w:rPr>
          <w:b/>
          <w:bCs/>
        </w:rPr>
      </w:pPr>
      <w:r w:rsidRPr="002D72E7">
        <w:rPr>
          <w:b/>
          <w:bCs/>
        </w:rPr>
        <w:t>57070 METZ</w:t>
      </w:r>
    </w:p>
    <w:p w14:paraId="33F6CB26" w14:textId="77777777" w:rsidR="00DE1FFB" w:rsidRDefault="00DE1FFB" w:rsidP="00DE1FFB">
      <w:pPr>
        <w:spacing w:before="0" w:after="0" w:line="240" w:lineRule="auto"/>
        <w:rPr>
          <w:b/>
          <w:bCs/>
        </w:rPr>
      </w:pPr>
    </w:p>
    <w:p w14:paraId="4DAFBE46" w14:textId="55BCA811" w:rsidR="00F91DF2" w:rsidRPr="00F91DF2" w:rsidRDefault="00F91DF2" w:rsidP="00DE1FFB">
      <w:pPr>
        <w:pStyle w:val="Paragraphedeliste"/>
        <w:spacing w:before="0"/>
        <w:jc w:val="left"/>
        <w:rPr>
          <w:rFonts w:asciiTheme="majorHAnsi" w:eastAsiaTheme="majorEastAsia" w:hAnsiTheme="majorHAnsi" w:cstheme="majorBidi"/>
          <w:color w:val="2F5496" w:themeColor="accent1" w:themeShade="BF"/>
          <w:sz w:val="32"/>
          <w:szCs w:val="32"/>
        </w:rPr>
      </w:pPr>
      <w:bookmarkStart w:id="15" w:name="_Toc163893737"/>
      <w:bookmarkStart w:id="16" w:name="_Toc475533225"/>
    </w:p>
    <w:p w14:paraId="6A235C11" w14:textId="77777777" w:rsidR="0069079D" w:rsidRPr="0069079D" w:rsidRDefault="0000611B" w:rsidP="00F91DF2">
      <w:pPr>
        <w:pStyle w:val="Titre1"/>
      </w:pPr>
      <w:bookmarkStart w:id="17" w:name="_Toc36112361"/>
      <w:r w:rsidRPr="0000611B">
        <w:t>ARTICLE 2 - CONDITIONS DE L'APPEL D'OFFRES</w:t>
      </w:r>
      <w:bookmarkEnd w:id="15"/>
      <w:bookmarkEnd w:id="16"/>
      <w:bookmarkEnd w:id="17"/>
    </w:p>
    <w:p w14:paraId="698FF3CE" w14:textId="77777777" w:rsidR="003D35BB" w:rsidRPr="0000611B" w:rsidRDefault="0000611B" w:rsidP="00F91DF2">
      <w:pPr>
        <w:pStyle w:val="Titre2"/>
      </w:pPr>
      <w:bookmarkStart w:id="18" w:name="_Toc475533226"/>
      <w:bookmarkStart w:id="19" w:name="_Toc36112362"/>
      <w:r w:rsidRPr="0000611B">
        <w:t>2.1.</w:t>
      </w:r>
      <w:r w:rsidRPr="0000611B">
        <w:tab/>
        <w:t>Etendue de la consultation et mode d'appel d'offres</w:t>
      </w:r>
      <w:bookmarkEnd w:id="18"/>
      <w:bookmarkEnd w:id="19"/>
    </w:p>
    <w:p w14:paraId="52891ACC" w14:textId="77777777" w:rsidR="0000611B" w:rsidRPr="0000611B" w:rsidRDefault="0000611B" w:rsidP="003D35BB">
      <w:r w:rsidRPr="0000611B">
        <w:t>Le présent appel d'offres est ouvert. Il est soumis aux dispositions des articles L2124-1, L2124-2, R2124-1, R2124-2, R2161-2 à R2161-5 du Code de la Commande Publique. Les clauses contractuelles générales font appel à celles visées dans le C.C.A.P.</w:t>
      </w:r>
    </w:p>
    <w:p w14:paraId="70D5F2B3" w14:textId="77777777" w:rsidR="0000611B" w:rsidRPr="0000611B" w:rsidRDefault="0000611B" w:rsidP="003D35BB"/>
    <w:p w14:paraId="5ACCC120" w14:textId="77777777" w:rsidR="0000611B" w:rsidRPr="0000611B" w:rsidRDefault="0000611B" w:rsidP="00F91DF2">
      <w:pPr>
        <w:pStyle w:val="Titre2"/>
      </w:pPr>
      <w:bookmarkStart w:id="20" w:name="_Toc475533227"/>
      <w:bookmarkStart w:id="21" w:name="_Toc36112363"/>
      <w:r w:rsidRPr="0000611B">
        <w:t>2.2.</w:t>
      </w:r>
      <w:r w:rsidRPr="0000611B">
        <w:tab/>
        <w:t>Forme du marché</w:t>
      </w:r>
      <w:bookmarkStart w:id="22" w:name="_Toc475533228"/>
      <w:bookmarkEnd w:id="20"/>
      <w:bookmarkEnd w:id="21"/>
    </w:p>
    <w:p w14:paraId="7C19CB74" w14:textId="7F8A6120" w:rsidR="0000611B" w:rsidRPr="0000611B" w:rsidRDefault="0000611B" w:rsidP="003D35BB">
      <w:r w:rsidRPr="0000611B">
        <w:t xml:space="preserve">La présente consultation concerne un lot unique. </w:t>
      </w:r>
      <w:r w:rsidR="001C4FC9">
        <w:t>L’ACHETEUR</w:t>
      </w:r>
      <w:r w:rsidRPr="0000611B">
        <w:t xml:space="preserve"> a décidé de recourir à un marché global pour les motifs suivants :</w:t>
      </w:r>
    </w:p>
    <w:p w14:paraId="049F1163" w14:textId="77777777" w:rsidR="0000611B" w:rsidRPr="0000611B" w:rsidRDefault="0000611B" w:rsidP="003D35BB">
      <w:pPr>
        <w:pStyle w:val="Paragraphedeliste"/>
        <w:numPr>
          <w:ilvl w:val="0"/>
          <w:numId w:val="7"/>
        </w:numPr>
      </w:pPr>
      <w:r w:rsidRPr="0000611B">
        <w:t>Dans le cadre d’un marché avec engagement énergétique, le poste P2 influe sur le poste P1, le poste P3 influe sur le poste P1,</w:t>
      </w:r>
    </w:p>
    <w:p w14:paraId="656ABA56" w14:textId="5852E6E2" w:rsidR="0000611B" w:rsidRPr="0000611B" w:rsidRDefault="00DE1FFB" w:rsidP="003D35BB">
      <w:pPr>
        <w:pStyle w:val="Paragraphedeliste"/>
        <w:numPr>
          <w:ilvl w:val="0"/>
          <w:numId w:val="7"/>
        </w:numPr>
      </w:pPr>
      <w:r>
        <w:t>Le site est unique</w:t>
      </w:r>
    </w:p>
    <w:p w14:paraId="78EBBAE8" w14:textId="77777777" w:rsidR="0000611B" w:rsidRPr="0000611B" w:rsidRDefault="0000611B" w:rsidP="003D35BB"/>
    <w:p w14:paraId="066E5E5B" w14:textId="77777777" w:rsidR="0000611B" w:rsidRPr="0000611B" w:rsidRDefault="0000611B" w:rsidP="00F91DF2">
      <w:pPr>
        <w:pStyle w:val="Titre2"/>
      </w:pPr>
      <w:bookmarkStart w:id="23" w:name="_Toc36112364"/>
      <w:r w:rsidRPr="0000611B">
        <w:lastRenderedPageBreak/>
        <w:t>2.3.</w:t>
      </w:r>
      <w:r w:rsidRPr="0000611B">
        <w:tab/>
        <w:t>Compléments à apporter au CCTP</w:t>
      </w:r>
      <w:bookmarkEnd w:id="22"/>
      <w:bookmarkEnd w:id="23"/>
    </w:p>
    <w:p w14:paraId="53267723" w14:textId="77777777" w:rsidR="0000611B" w:rsidRPr="0000611B" w:rsidRDefault="0000611B" w:rsidP="003D35BB">
      <w:r w:rsidRPr="0000611B">
        <w:t>Les candidats n'ont pas à apporter de complément au C.C.T.P.</w:t>
      </w:r>
    </w:p>
    <w:p w14:paraId="05B56EC2" w14:textId="77777777" w:rsidR="0000611B" w:rsidRPr="0000611B" w:rsidRDefault="0000611B" w:rsidP="003D35BB"/>
    <w:p w14:paraId="1C66B151" w14:textId="77777777" w:rsidR="0000611B" w:rsidRPr="0000611B" w:rsidRDefault="0000611B" w:rsidP="00F91DF2">
      <w:pPr>
        <w:pStyle w:val="Titre2"/>
      </w:pPr>
      <w:bookmarkStart w:id="24" w:name="_Toc475533229"/>
      <w:bookmarkStart w:id="25" w:name="_Toc36112365"/>
      <w:r w:rsidRPr="0000611B">
        <w:t>2.4.</w:t>
      </w:r>
      <w:r w:rsidRPr="0000611B">
        <w:tab/>
        <w:t>Durée</w:t>
      </w:r>
      <w:bookmarkEnd w:id="24"/>
      <w:bookmarkEnd w:id="25"/>
    </w:p>
    <w:p w14:paraId="2AAD23AE" w14:textId="409416AB" w:rsidR="0000611B" w:rsidRPr="0000611B" w:rsidRDefault="0000611B" w:rsidP="003D35BB">
      <w:bookmarkStart w:id="26" w:name="_Hlk30777046"/>
      <w:r w:rsidRPr="00DE1FFB">
        <w:t xml:space="preserve">La durée du marché d'exploitation est </w:t>
      </w:r>
      <w:bookmarkEnd w:id="26"/>
      <w:r w:rsidR="00742050" w:rsidRPr="00DE1FFB">
        <w:t>indiquée dans le CCAP article 4.</w:t>
      </w:r>
    </w:p>
    <w:p w14:paraId="4F3E86FA" w14:textId="77777777" w:rsidR="0000611B" w:rsidRPr="0000611B" w:rsidRDefault="0000611B" w:rsidP="003D35BB">
      <w:r w:rsidRPr="0000611B">
        <w:t>Les périodes d'intervention sont précisées dans le contrat d'exploitation (CCAP et CCTP).</w:t>
      </w:r>
    </w:p>
    <w:p w14:paraId="2CCD0A93" w14:textId="77777777" w:rsidR="0000611B" w:rsidRPr="0000611B" w:rsidRDefault="0000611B" w:rsidP="003D35BB"/>
    <w:p w14:paraId="511B7681" w14:textId="77777777" w:rsidR="0000611B" w:rsidRPr="0000611B" w:rsidRDefault="0000611B" w:rsidP="003D35BB">
      <w:pPr>
        <w:pStyle w:val="Titre2"/>
      </w:pPr>
      <w:bookmarkStart w:id="27" w:name="_Toc475533230"/>
      <w:bookmarkStart w:id="28" w:name="_Toc36112366"/>
      <w:r w:rsidRPr="0000611B">
        <w:t>2.5.</w:t>
      </w:r>
      <w:r w:rsidRPr="0000611B">
        <w:tab/>
        <w:t>Classification CPV (vocabulaire commun pour les marchés publics)</w:t>
      </w:r>
      <w:bookmarkEnd w:id="27"/>
      <w:bookmarkEnd w:id="28"/>
    </w:p>
    <w:p w14:paraId="259E092F" w14:textId="77777777" w:rsidR="00F91DF2" w:rsidRDefault="00F91DF2" w:rsidP="00F91DF2">
      <w:pPr>
        <w:spacing w:before="0" w:after="0"/>
      </w:pPr>
    </w:p>
    <w:p w14:paraId="3AD30D24" w14:textId="77777777" w:rsidR="0000611B" w:rsidRPr="0000611B" w:rsidRDefault="0000611B" w:rsidP="00F91DF2">
      <w:pPr>
        <w:spacing w:before="0" w:after="0"/>
      </w:pPr>
      <w:r w:rsidRPr="0000611B">
        <w:t xml:space="preserve">50721000-5 Mise en état d'exploitation d'installations de chauffage     </w:t>
      </w:r>
    </w:p>
    <w:p w14:paraId="4DABF957" w14:textId="77777777" w:rsidR="0000611B" w:rsidRPr="0000611B" w:rsidRDefault="0000611B" w:rsidP="00F91DF2">
      <w:pPr>
        <w:spacing w:before="0" w:after="0"/>
      </w:pPr>
      <w:r w:rsidRPr="0000611B">
        <w:t>71314200-4 Services de gestion de l'énergie</w:t>
      </w:r>
    </w:p>
    <w:p w14:paraId="59896196" w14:textId="77777777" w:rsidR="0000611B" w:rsidRPr="0000611B" w:rsidRDefault="0000611B" w:rsidP="003D35BB"/>
    <w:p w14:paraId="06718F50" w14:textId="77777777" w:rsidR="0000611B" w:rsidRPr="0000611B" w:rsidRDefault="0000611B" w:rsidP="003D35BB">
      <w:pPr>
        <w:pStyle w:val="Titre2"/>
      </w:pPr>
      <w:bookmarkStart w:id="29" w:name="_Toc475533231"/>
      <w:bookmarkStart w:id="30" w:name="_Toc36112367"/>
      <w:r w:rsidRPr="0000611B">
        <w:t>2.6.</w:t>
      </w:r>
      <w:r w:rsidRPr="0000611B">
        <w:tab/>
        <w:t>Modifications de détail au dossier de consultation</w:t>
      </w:r>
      <w:bookmarkEnd w:id="29"/>
      <w:bookmarkEnd w:id="30"/>
    </w:p>
    <w:p w14:paraId="4D939F0B" w14:textId="42CEAA54" w:rsidR="0000611B" w:rsidRPr="0000611B" w:rsidRDefault="001C4FC9" w:rsidP="003D35BB">
      <w:r>
        <w:t>L’ACHETEUR</w:t>
      </w:r>
      <w:r w:rsidR="0000611B" w:rsidRPr="0000611B">
        <w:t xml:space="preserve"> se réserve le </w:t>
      </w:r>
      <w:r w:rsidR="0000611B" w:rsidRPr="003D35BB">
        <w:t>droit</w:t>
      </w:r>
      <w:r w:rsidR="0000611B" w:rsidRPr="0000611B">
        <w:t xml:space="preserve"> d'apporter au plus tard 15 jours avant la date limite fixée pour la réception des offres, des renseignements complémentaires au dossier de consultation.</w:t>
      </w:r>
    </w:p>
    <w:p w14:paraId="33493E91" w14:textId="77777777" w:rsidR="0000611B" w:rsidRPr="0000611B" w:rsidRDefault="0000611B" w:rsidP="003D35BB">
      <w:r w:rsidRPr="0000611B">
        <w:t>Les candidats devront alors répondre sur la base du dossier modifié sans pouvoir élever aucune réclamation à ce sujet. Si pendant l'étude du dossier par les candidats, la date limite ci-dessus est reportée, la disposition précédente est applicable en fonction de cette nouvelle date.</w:t>
      </w:r>
    </w:p>
    <w:p w14:paraId="1BF204CA" w14:textId="77777777" w:rsidR="0000611B" w:rsidRPr="0000611B" w:rsidRDefault="0000611B" w:rsidP="003D35BB"/>
    <w:p w14:paraId="2EAE7121" w14:textId="77777777" w:rsidR="0000611B" w:rsidRPr="0000611B" w:rsidRDefault="0000611B" w:rsidP="003D35BB">
      <w:pPr>
        <w:pStyle w:val="Titre2"/>
      </w:pPr>
      <w:bookmarkStart w:id="31" w:name="_Toc479254552"/>
      <w:bookmarkStart w:id="32" w:name="_Toc36112368"/>
      <w:r w:rsidRPr="0000611B">
        <w:t>2.7.</w:t>
      </w:r>
      <w:r w:rsidRPr="0000611B">
        <w:tab/>
        <w:t>Variante</w:t>
      </w:r>
      <w:bookmarkEnd w:id="31"/>
      <w:bookmarkEnd w:id="32"/>
    </w:p>
    <w:p w14:paraId="7536DE38" w14:textId="77777777" w:rsidR="0000611B" w:rsidRPr="0000611B" w:rsidRDefault="0000611B" w:rsidP="003D35BB">
      <w:r w:rsidRPr="0000611B">
        <w:t>Une variante libre est autorisée mais elle ne portera que sur le programme d’amélioration P3 ou sur la fourniture d’énergie P1. Elle devra amener des solutions permettant d’apporter des gains financiers et d’optimiser les consommations d’énergie, sinon elle ne sera pas analysée.  Elle ne sera examinée qu’à la condition qu’une offre de base conforme soit présentée par les candidats.</w:t>
      </w:r>
    </w:p>
    <w:p w14:paraId="54F80560" w14:textId="18E2D18B" w:rsidR="0000611B" w:rsidRDefault="0000611B" w:rsidP="003D35BB">
      <w:bookmarkStart w:id="33" w:name="_Toc475533233"/>
      <w:r w:rsidRPr="0000611B">
        <w:t xml:space="preserve">Elle sera analysée avec les offres de base.  Si le candidat présente une variante libre, elle sera présentée dans un acte d’engagement supplémentaires (y compris annexes).  </w:t>
      </w:r>
      <w:r w:rsidR="001C4FC9">
        <w:t>L’ACHETEUR</w:t>
      </w:r>
      <w:r w:rsidRPr="0000611B">
        <w:t xml:space="preserve"> se réserve la possibilité de notifier l’offre de base ou une offre variante libre.  La variante sera strictement </w:t>
      </w:r>
      <w:r w:rsidR="003D35BB" w:rsidRPr="0000611B">
        <w:t>conforme</w:t>
      </w:r>
      <w:r w:rsidRPr="0000611B">
        <w:t xml:space="preserve"> au cadre de décomposition des prix détaillés dans la DPGF. Dans le cas où ces annexes ne seront pas renseignées, l’offre sera considérée comme non conforme et donc rejetée. </w:t>
      </w:r>
    </w:p>
    <w:p w14:paraId="49F3179B" w14:textId="77777777" w:rsidR="003D35BB" w:rsidRPr="0000611B" w:rsidRDefault="003D35BB" w:rsidP="003D35BB"/>
    <w:p w14:paraId="0DDD6616" w14:textId="77777777" w:rsidR="0000611B" w:rsidRPr="0000611B" w:rsidRDefault="0000611B" w:rsidP="003D35BB">
      <w:pPr>
        <w:pStyle w:val="Titre2"/>
      </w:pPr>
      <w:bookmarkStart w:id="34" w:name="_Toc36112369"/>
      <w:r w:rsidRPr="0000611B">
        <w:t>2.8.</w:t>
      </w:r>
      <w:r w:rsidRPr="0000611B">
        <w:tab/>
        <w:t>Délai de validité des offres</w:t>
      </w:r>
      <w:bookmarkEnd w:id="33"/>
      <w:bookmarkEnd w:id="34"/>
    </w:p>
    <w:p w14:paraId="01A20621" w14:textId="77777777" w:rsidR="0000611B" w:rsidRPr="0000611B" w:rsidRDefault="0000611B" w:rsidP="003D35BB">
      <w:r w:rsidRPr="0000611B">
        <w:t>Le délai de validité des offres est fixé à quatre-vingt-dix jours (90 jours) à compter de la date limite de remise des offres.</w:t>
      </w:r>
    </w:p>
    <w:p w14:paraId="3FD1D2F1" w14:textId="5DFB440F" w:rsidR="0000611B" w:rsidRPr="0000611B" w:rsidRDefault="0000611B" w:rsidP="003D35BB">
      <w:r w:rsidRPr="0000611B">
        <w:lastRenderedPageBreak/>
        <w:t xml:space="preserve">Conformément à l’article R. 2185-1 du code de la commande publique, </w:t>
      </w:r>
      <w:r w:rsidR="001C4FC9">
        <w:t>L’ACHETEUR</w:t>
      </w:r>
      <w:r w:rsidRPr="0000611B">
        <w:t xml:space="preserve"> se réserve le droit de ne pas donner suite au présent appel d’offres si les offres déposées sont inappropriées, irrégulières ou inacceptables ou pour tout motif d’intérêt général tenant notamment à des motifs économiques de dépassement budgétaire.</w:t>
      </w:r>
    </w:p>
    <w:p w14:paraId="6F962ECE" w14:textId="77777777" w:rsidR="0000611B" w:rsidRPr="0000611B" w:rsidRDefault="0000611B" w:rsidP="003D35BB"/>
    <w:p w14:paraId="6F8E9689" w14:textId="77777777" w:rsidR="0000611B" w:rsidRPr="0000611B" w:rsidRDefault="0000611B" w:rsidP="003D35BB">
      <w:pPr>
        <w:pStyle w:val="Titre2"/>
      </w:pPr>
      <w:bookmarkStart w:id="35" w:name="_Toc475533234"/>
      <w:bookmarkStart w:id="36" w:name="_Toc36112370"/>
      <w:r w:rsidRPr="0000611B">
        <w:t>2.9.</w:t>
      </w:r>
      <w:r w:rsidRPr="0000611B">
        <w:tab/>
        <w:t>Dispositions relatives au groupement de candidature</w:t>
      </w:r>
      <w:bookmarkEnd w:id="35"/>
      <w:bookmarkEnd w:id="36"/>
    </w:p>
    <w:p w14:paraId="4C31EFCB" w14:textId="77777777" w:rsidR="0000611B" w:rsidRPr="0000611B" w:rsidRDefault="0000611B" w:rsidP="003D35BB">
      <w:r w:rsidRPr="0000611B">
        <w:t xml:space="preserve">L’offre, qu’elle soit présentée par une seule entreprise ou par un groupement, devra indiquer tous les sous-traitants connus lors de son dépôt. </w:t>
      </w:r>
    </w:p>
    <w:p w14:paraId="32C9197C" w14:textId="77777777" w:rsidR="0000611B" w:rsidRPr="0000611B" w:rsidRDefault="0000611B" w:rsidP="003D35BB">
      <w:r w:rsidRPr="0000611B">
        <w:t>Elle devra également indiquer les prestataires (et leur montant) dont la sous-traitance est envisagée, la dénomination et la qualité des sous-traitants qui exécuteront la prestation à la place du titulaire, sauf lorsque le montant est inférieur à 600 euros T.T.C.</w:t>
      </w:r>
    </w:p>
    <w:p w14:paraId="67E3829C" w14:textId="77777777" w:rsidR="0000611B" w:rsidRPr="0000611B" w:rsidRDefault="0000611B" w:rsidP="003D35BB">
      <w:r w:rsidRPr="0000611B">
        <w:t>Le candidat est autorisé à se présenter sous forme de groupement conjoint ou solidaire.</w:t>
      </w:r>
    </w:p>
    <w:p w14:paraId="1E168F56" w14:textId="36530FB5" w:rsidR="0000611B" w:rsidRPr="0000611B" w:rsidRDefault="0000611B" w:rsidP="003D35BB">
      <w:r w:rsidRPr="0000611B">
        <w:t xml:space="preserve">La forme souhaitée par </w:t>
      </w:r>
      <w:r w:rsidR="001C4FC9">
        <w:t>L’ACHETEUR</w:t>
      </w:r>
      <w:r w:rsidR="00103CA8">
        <w:t xml:space="preserve"> </w:t>
      </w:r>
      <w:r w:rsidRPr="0000611B">
        <w:t xml:space="preserve">est un groupement solidaire. </w:t>
      </w:r>
    </w:p>
    <w:p w14:paraId="6285A8F6" w14:textId="77777777" w:rsidR="0000611B" w:rsidRPr="0000611B" w:rsidRDefault="0000611B" w:rsidP="003D35BB">
      <w:r w:rsidRPr="0000611B">
        <w:t xml:space="preserve">Si le groupement est conjoint, </w:t>
      </w:r>
      <w:r w:rsidRPr="0000611B">
        <w:rPr>
          <w:u w:val="single"/>
        </w:rPr>
        <w:t>le mandataire</w:t>
      </w:r>
      <w:r w:rsidRPr="0000611B">
        <w:t xml:space="preserve"> sera obligatoirement solidaire des membres du groupement.</w:t>
      </w:r>
    </w:p>
    <w:p w14:paraId="3CAFD396" w14:textId="77777777" w:rsidR="0000611B" w:rsidRPr="0000611B" w:rsidRDefault="0000611B" w:rsidP="003D35BB">
      <w:r w:rsidRPr="0000611B">
        <w:t>Il est interdit aux candidats de présenter plusieurs offres en agissant à la fois :</w:t>
      </w:r>
    </w:p>
    <w:p w14:paraId="405502C0" w14:textId="77777777" w:rsidR="0000611B" w:rsidRPr="0000611B" w:rsidRDefault="0000611B" w:rsidP="003D35BB">
      <w:pPr>
        <w:pStyle w:val="Paragraphedeliste"/>
        <w:numPr>
          <w:ilvl w:val="0"/>
          <w:numId w:val="20"/>
        </w:numPr>
      </w:pPr>
      <w:r w:rsidRPr="0000611B">
        <w:t>En qualité de candidats individuels et de membres d’un groupement.</w:t>
      </w:r>
    </w:p>
    <w:p w14:paraId="185750C0" w14:textId="77777777" w:rsidR="0000611B" w:rsidRPr="0000611B" w:rsidRDefault="0000611B" w:rsidP="003D35BB">
      <w:pPr>
        <w:pStyle w:val="Paragraphedeliste"/>
        <w:numPr>
          <w:ilvl w:val="0"/>
          <w:numId w:val="20"/>
        </w:numPr>
      </w:pPr>
      <w:r w:rsidRPr="0000611B">
        <w:t xml:space="preserve">En qualité de membre de plusieurs groupements. </w:t>
      </w:r>
    </w:p>
    <w:p w14:paraId="68C196C9" w14:textId="77777777" w:rsidR="0000611B" w:rsidRPr="0000611B" w:rsidRDefault="0000611B" w:rsidP="003D35BB"/>
    <w:p w14:paraId="65C29055" w14:textId="77777777" w:rsidR="0000611B" w:rsidRPr="0000611B" w:rsidRDefault="0000611B" w:rsidP="003D35BB">
      <w:pPr>
        <w:pStyle w:val="Titre1"/>
      </w:pPr>
      <w:bookmarkStart w:id="37" w:name="_Toc163893738"/>
      <w:bookmarkStart w:id="38" w:name="_Toc258843159"/>
      <w:bookmarkStart w:id="39" w:name="_Toc258843282"/>
      <w:bookmarkStart w:id="40" w:name="_Toc258843344"/>
      <w:bookmarkStart w:id="41" w:name="_Toc475533235"/>
      <w:bookmarkStart w:id="42" w:name="_Toc36112371"/>
      <w:r w:rsidRPr="0000611B">
        <w:t>ARTICLE 3 - DOSSIER DE CONSULTATION</w:t>
      </w:r>
      <w:bookmarkEnd w:id="37"/>
      <w:bookmarkEnd w:id="38"/>
      <w:bookmarkEnd w:id="39"/>
      <w:bookmarkEnd w:id="40"/>
      <w:bookmarkEnd w:id="41"/>
      <w:bookmarkEnd w:id="42"/>
    </w:p>
    <w:p w14:paraId="7427FB9F" w14:textId="77777777" w:rsidR="0000611B" w:rsidRPr="0000611B" w:rsidRDefault="0000611B" w:rsidP="003D35BB">
      <w:pPr>
        <w:pStyle w:val="Titre2"/>
      </w:pPr>
      <w:bookmarkStart w:id="43" w:name="_Toc36112372"/>
      <w:r w:rsidRPr="0000611B">
        <w:t>3.1</w:t>
      </w:r>
      <w:r w:rsidRPr="0000611B">
        <w:tab/>
        <w:t>Retrait du dossier</w:t>
      </w:r>
      <w:bookmarkEnd w:id="43"/>
    </w:p>
    <w:p w14:paraId="63AD8067" w14:textId="090E9231" w:rsidR="00ED7E54" w:rsidRPr="005B060F" w:rsidRDefault="0000611B" w:rsidP="00ED7E54">
      <w:pPr>
        <w:pStyle w:val="RedaliaNormal"/>
        <w:rPr>
          <w:rFonts w:ascii="Times New Roman" w:hAnsi="Times New Roman"/>
          <w:u w:val="single"/>
        </w:rPr>
      </w:pPr>
      <w:r w:rsidRPr="0000611B">
        <w:t xml:space="preserve">Le dossier de consultation est téléchargeable gratuitement sur la plateforme de dématérialisation à l’adresse suivante </w:t>
      </w:r>
      <w:r w:rsidR="00ED7E54" w:rsidRPr="005B060F">
        <w:rPr>
          <w:rFonts w:ascii="Times New Roman" w:hAnsi="Times New Roman"/>
        </w:rPr>
        <w:t xml:space="preserve">   </w:t>
      </w:r>
      <w:hyperlink r:id="rId9" w:history="1">
        <w:r w:rsidR="00ED7E54" w:rsidRPr="000837F1">
          <w:rPr>
            <w:rFonts w:ascii="Times New Roman" w:hAnsi="Times New Roman"/>
            <w:color w:val="0000FF"/>
            <w:szCs w:val="22"/>
            <w:u w:val="single"/>
          </w:rPr>
          <w:t>https://www.marches-publics.gouv.fr</w:t>
        </w:r>
      </w:hyperlink>
    </w:p>
    <w:p w14:paraId="6883F2E9" w14:textId="77777777" w:rsidR="00F91DF2" w:rsidRPr="0000611B" w:rsidRDefault="00F91DF2" w:rsidP="003D35BB"/>
    <w:p w14:paraId="290AC5A3" w14:textId="77777777" w:rsidR="0000611B" w:rsidRPr="0000611B" w:rsidRDefault="0000611B" w:rsidP="003D35BB">
      <w:pPr>
        <w:pStyle w:val="Titre2"/>
      </w:pPr>
      <w:bookmarkStart w:id="44" w:name="_Toc36112373"/>
      <w:r w:rsidRPr="0000611B">
        <w:t>3.2</w:t>
      </w:r>
      <w:r w:rsidRPr="0000611B">
        <w:tab/>
        <w:t>Constitution du dossier</w:t>
      </w:r>
      <w:bookmarkEnd w:id="44"/>
    </w:p>
    <w:p w14:paraId="1D4CD4C2" w14:textId="77777777" w:rsidR="0000611B" w:rsidRPr="0000611B" w:rsidRDefault="0000611B" w:rsidP="003D35BB">
      <w:r w:rsidRPr="0000611B">
        <w:t xml:space="preserve">Le dossier de consultation comprend les pièces suivantes : </w:t>
      </w:r>
    </w:p>
    <w:p w14:paraId="278AE873" w14:textId="77777777" w:rsidR="0000611B" w:rsidRPr="0000611B" w:rsidRDefault="0000611B" w:rsidP="003D35BB">
      <w:pPr>
        <w:pStyle w:val="Paragraphedeliste"/>
        <w:numPr>
          <w:ilvl w:val="2"/>
          <w:numId w:val="22"/>
        </w:numPr>
        <w:ind w:left="426"/>
      </w:pPr>
      <w:r w:rsidRPr="0000611B">
        <w:t>le présent règlement de consultation (R.C.)</w:t>
      </w:r>
    </w:p>
    <w:p w14:paraId="170452AE" w14:textId="77777777" w:rsidR="0000611B" w:rsidRPr="00587683" w:rsidRDefault="0000611B" w:rsidP="003D35BB">
      <w:pPr>
        <w:pStyle w:val="Paragraphedeliste"/>
        <w:numPr>
          <w:ilvl w:val="2"/>
          <w:numId w:val="22"/>
        </w:numPr>
        <w:ind w:left="426"/>
      </w:pPr>
      <w:r w:rsidRPr="00587683">
        <w:t xml:space="preserve">les actes d’engagements (A.E.) et ses annexes </w:t>
      </w:r>
    </w:p>
    <w:p w14:paraId="2C194FE5" w14:textId="77777777" w:rsidR="0000611B" w:rsidRPr="00587683" w:rsidRDefault="0000611B" w:rsidP="003D35BB">
      <w:pPr>
        <w:pStyle w:val="Paragraphedeliste"/>
        <w:numPr>
          <w:ilvl w:val="2"/>
          <w:numId w:val="22"/>
        </w:numPr>
        <w:ind w:left="426"/>
      </w:pPr>
      <w:r w:rsidRPr="00587683">
        <w:t>le cahier des clauses administratives particulières (C.C.A.P.)</w:t>
      </w:r>
    </w:p>
    <w:p w14:paraId="621AC215" w14:textId="57354AD2" w:rsidR="0000611B" w:rsidRPr="00587683" w:rsidRDefault="0000611B" w:rsidP="003D35BB">
      <w:pPr>
        <w:pStyle w:val="Paragraphedeliste"/>
        <w:numPr>
          <w:ilvl w:val="2"/>
          <w:numId w:val="22"/>
        </w:numPr>
        <w:ind w:left="426"/>
      </w:pPr>
      <w:r w:rsidRPr="00587683">
        <w:t xml:space="preserve">le cahier des clauses techniques particulières (C.C.T.P.) et ses annexes de 1 à </w:t>
      </w:r>
      <w:r w:rsidR="00ED7E54" w:rsidRPr="00587683">
        <w:t>5</w:t>
      </w:r>
      <w:r w:rsidRPr="00587683">
        <w:t> :</w:t>
      </w:r>
    </w:p>
    <w:p w14:paraId="18169B6F" w14:textId="77777777" w:rsidR="00ED7E54" w:rsidRPr="00587683" w:rsidRDefault="00ED7E54" w:rsidP="00ED7E54">
      <w:pPr>
        <w:pStyle w:val="Paragraphedeliste"/>
        <w:numPr>
          <w:ilvl w:val="1"/>
          <w:numId w:val="22"/>
        </w:numPr>
      </w:pPr>
      <w:r w:rsidRPr="00587683">
        <w:t>annexe 1 : Liste des installations prises en charge</w:t>
      </w:r>
    </w:p>
    <w:p w14:paraId="3655A134" w14:textId="77777777" w:rsidR="00ED7E54" w:rsidRPr="00587683" w:rsidRDefault="00ED7E54" w:rsidP="00ED7E54">
      <w:pPr>
        <w:pStyle w:val="Paragraphedeliste"/>
        <w:numPr>
          <w:ilvl w:val="1"/>
          <w:numId w:val="22"/>
        </w:numPr>
      </w:pPr>
      <w:r w:rsidRPr="00587683">
        <w:t>annexe 2 : Nomenclature</w:t>
      </w:r>
    </w:p>
    <w:p w14:paraId="0E16245B" w14:textId="77777777" w:rsidR="00ED7E54" w:rsidRPr="001E25CC" w:rsidRDefault="00ED7E54" w:rsidP="00ED7E54">
      <w:pPr>
        <w:pStyle w:val="Paragraphedeliste"/>
        <w:numPr>
          <w:ilvl w:val="1"/>
          <w:numId w:val="22"/>
        </w:numPr>
      </w:pPr>
      <w:r w:rsidRPr="001E25CC">
        <w:t>annexe 3 : Procès-Verbal de prise en charge</w:t>
      </w:r>
    </w:p>
    <w:p w14:paraId="027D7015" w14:textId="77777777" w:rsidR="00ED7E54" w:rsidRPr="001E25CC" w:rsidRDefault="00ED7E54" w:rsidP="00ED7E54">
      <w:pPr>
        <w:pStyle w:val="Paragraphedeliste"/>
        <w:numPr>
          <w:ilvl w:val="1"/>
          <w:numId w:val="22"/>
        </w:numPr>
      </w:pPr>
      <w:r w:rsidRPr="001E25CC">
        <w:t>annexe 4 : Consommations d'énergie</w:t>
      </w:r>
    </w:p>
    <w:p w14:paraId="214191E0" w14:textId="77777777" w:rsidR="00ED7E54" w:rsidRPr="001E25CC" w:rsidRDefault="00ED7E54" w:rsidP="00ED7E54">
      <w:pPr>
        <w:pStyle w:val="Paragraphedeliste"/>
        <w:numPr>
          <w:ilvl w:val="1"/>
          <w:numId w:val="22"/>
        </w:numPr>
      </w:pPr>
      <w:r w:rsidRPr="001E25CC">
        <w:t>annexe 5  : contrat gaz</w:t>
      </w:r>
    </w:p>
    <w:p w14:paraId="79C53D69" w14:textId="77777777" w:rsidR="0000611B" w:rsidRPr="0000611B" w:rsidRDefault="0000611B" w:rsidP="003D35BB"/>
    <w:p w14:paraId="1ED1E7BF" w14:textId="77777777" w:rsidR="0000611B" w:rsidRPr="0000611B" w:rsidRDefault="0000611B" w:rsidP="003D35BB">
      <w:r w:rsidRPr="0000611B">
        <w:t>La signature de l’acte d’engagement engendre l’acceptation par le candidat de tous les documents cités au présent article 3.</w:t>
      </w:r>
    </w:p>
    <w:p w14:paraId="75B454F0" w14:textId="77777777" w:rsidR="0000611B" w:rsidRPr="0000611B" w:rsidRDefault="0000611B" w:rsidP="003D35BB"/>
    <w:p w14:paraId="222B7120" w14:textId="77777777" w:rsidR="0000611B" w:rsidRPr="0000611B" w:rsidRDefault="0000611B" w:rsidP="003D35BB">
      <w:pPr>
        <w:pStyle w:val="Titre1"/>
      </w:pPr>
      <w:bookmarkStart w:id="45" w:name="_Toc163893739"/>
      <w:bookmarkStart w:id="46" w:name="_Toc475533236"/>
      <w:bookmarkStart w:id="47" w:name="_Toc36112374"/>
      <w:r w:rsidRPr="0000611B">
        <w:t>ARTICLE 4 - PRESENTATION DES CANDIDATURES ET DES OFFRES</w:t>
      </w:r>
      <w:bookmarkEnd w:id="45"/>
      <w:bookmarkEnd w:id="46"/>
      <w:bookmarkEnd w:id="47"/>
      <w:r w:rsidRPr="0000611B">
        <w:t xml:space="preserve">  </w:t>
      </w:r>
    </w:p>
    <w:p w14:paraId="779FAEDD" w14:textId="77777777" w:rsidR="0000611B" w:rsidRPr="0000611B" w:rsidRDefault="0000611B" w:rsidP="003D35BB">
      <w:pPr>
        <w:pStyle w:val="Titre2"/>
      </w:pPr>
      <w:bookmarkStart w:id="48" w:name="_Toc13777666"/>
      <w:bookmarkStart w:id="49" w:name="_Toc36112375"/>
      <w:r w:rsidRPr="0000611B">
        <w:t>4.1.</w:t>
      </w:r>
      <w:r w:rsidRPr="0000611B">
        <w:tab/>
        <w:t>Présentation générale</w:t>
      </w:r>
      <w:bookmarkEnd w:id="48"/>
      <w:bookmarkEnd w:id="49"/>
    </w:p>
    <w:p w14:paraId="4404571C" w14:textId="77777777" w:rsidR="0000611B" w:rsidRPr="0000611B" w:rsidRDefault="0000611B" w:rsidP="003D35BB">
      <w:r w:rsidRPr="0000611B">
        <w:t>Le code de la commande publique fixe les conditions de présentation des candidatures qui doivent être suivies par toutes les entreprises souhaitant répondre à un marché public. Le respect des pièces à produire est fondamental pour les entreprises.</w:t>
      </w:r>
    </w:p>
    <w:p w14:paraId="758EACB4" w14:textId="77777777" w:rsidR="0000611B" w:rsidRPr="0000611B" w:rsidRDefault="0000611B" w:rsidP="003D35BB">
      <w:r w:rsidRPr="0000611B">
        <w:t>La transmission des plis par voie électronique est imposée pour cette consultation. Par conséquent, la transmission par voie papier n'est pas autorisée.</w:t>
      </w:r>
    </w:p>
    <w:p w14:paraId="7D8465EE" w14:textId="77777777" w:rsidR="0000611B" w:rsidRPr="0000611B" w:rsidRDefault="0000611B" w:rsidP="003D35BB">
      <w:r w:rsidRPr="0000611B">
        <w:t>Les dossiers doivent impérativement parvenir avant la date et l’heure limites portées dans l’avis d’appel public à la concurrence et dans le présent règlement de la consultation.</w:t>
      </w:r>
    </w:p>
    <w:p w14:paraId="5B475511" w14:textId="77777777" w:rsidR="0000611B" w:rsidRPr="0000611B" w:rsidRDefault="0000611B" w:rsidP="003D35BB">
      <w:r w:rsidRPr="0000611B">
        <w:t>Les offres qui seraient remises après la date et l’heure limites précisées en page de garde du présent document ne seront pas analysées.</w:t>
      </w:r>
    </w:p>
    <w:p w14:paraId="5A9765E2" w14:textId="77777777" w:rsidR="0000611B" w:rsidRPr="0000611B" w:rsidRDefault="0000611B" w:rsidP="003D35BB"/>
    <w:p w14:paraId="7D2C80D7" w14:textId="77777777" w:rsidR="0000611B" w:rsidRPr="0000611B" w:rsidRDefault="0000611B" w:rsidP="003D35BB">
      <w:pPr>
        <w:pStyle w:val="Titre2"/>
      </w:pPr>
      <w:bookmarkStart w:id="50" w:name="_Toc13777667"/>
      <w:bookmarkStart w:id="51" w:name="_Toc36112376"/>
      <w:r w:rsidRPr="0000611B">
        <w:t>4.2.</w:t>
      </w:r>
      <w:r w:rsidRPr="0000611B">
        <w:tab/>
        <w:t>Documents à produire</w:t>
      </w:r>
      <w:bookmarkEnd w:id="50"/>
      <w:bookmarkEnd w:id="51"/>
    </w:p>
    <w:p w14:paraId="2F57ADF8" w14:textId="77777777" w:rsidR="0000611B" w:rsidRPr="0000611B" w:rsidRDefault="0000611B" w:rsidP="003D35BB">
      <w:r w:rsidRPr="0000611B">
        <w:t xml:space="preserve">Pour présenter leur candidature, </w:t>
      </w:r>
      <w:r w:rsidRPr="0000611B">
        <w:rPr>
          <w:b/>
        </w:rPr>
        <w:t xml:space="preserve">les candidats utilisent soit les formulaires DC1 (lettre de candidature) et DC2 (déclaration du candidat) </w:t>
      </w:r>
      <w:r w:rsidRPr="0000611B">
        <w:t xml:space="preserve">ci-joints ou disponibles gratuitement sur le site </w:t>
      </w:r>
      <w:hyperlink r:id="rId10">
        <w:r w:rsidRPr="0000611B">
          <w:rPr>
            <w:rStyle w:val="Lienhypertexte"/>
          </w:rPr>
          <w:t>www.economie.gouv.fr</w:t>
        </w:r>
      </w:hyperlink>
      <w:r w:rsidRPr="0000611B">
        <w:t>, soit le Document Unique de Marché Européen (DUME).</w:t>
      </w:r>
    </w:p>
    <w:p w14:paraId="51B9D24B" w14:textId="77777777" w:rsidR="0000611B" w:rsidRPr="0000611B" w:rsidRDefault="0000611B" w:rsidP="003D35BB">
      <w:r w:rsidRPr="0000611B">
        <w:t>Ils contiendront les éléments indiqués ci-dessous.</w:t>
      </w:r>
    </w:p>
    <w:p w14:paraId="60C560DC" w14:textId="77777777" w:rsidR="0000611B" w:rsidRPr="0000611B" w:rsidRDefault="0000611B" w:rsidP="003D35BB">
      <w:r w:rsidRPr="0000611B">
        <w:t>Les renseignements concernant la situation juridique de l’entreprise :</w:t>
      </w:r>
    </w:p>
    <w:p w14:paraId="0F21BB0E" w14:textId="77777777" w:rsidR="0000611B" w:rsidRPr="0000611B" w:rsidRDefault="0000611B" w:rsidP="003D35BB">
      <w:pPr>
        <w:pStyle w:val="Paragraphedeliste"/>
        <w:numPr>
          <w:ilvl w:val="0"/>
          <w:numId w:val="8"/>
        </w:numPr>
      </w:pPr>
      <w:r w:rsidRPr="0000611B">
        <w:t>Copie du ou des jugements prononcés, si le candidat est en redressement judiciaire</w:t>
      </w:r>
      <w:r w:rsidR="003D35BB">
        <w:t> ;</w:t>
      </w:r>
    </w:p>
    <w:p w14:paraId="1C11C77A" w14:textId="77777777" w:rsidR="0000611B" w:rsidRPr="0000611B" w:rsidRDefault="0000611B" w:rsidP="003D35BB">
      <w:pPr>
        <w:pStyle w:val="Paragraphedeliste"/>
        <w:numPr>
          <w:ilvl w:val="0"/>
          <w:numId w:val="8"/>
        </w:numPr>
      </w:pPr>
      <w:r w:rsidRPr="0000611B">
        <w:t>Déclaration sur l’honneur pour justifier que le candidat n’entre dans aucun des cas mentionnés aux articles L. 2141-1 à L. 2141-5 du code de la commande publique ;</w:t>
      </w:r>
    </w:p>
    <w:p w14:paraId="711E606B" w14:textId="77777777" w:rsidR="0000611B" w:rsidRPr="0000611B" w:rsidRDefault="0000611B" w:rsidP="003D35BB">
      <w:pPr>
        <w:pStyle w:val="Paragraphedeliste"/>
        <w:numPr>
          <w:ilvl w:val="0"/>
          <w:numId w:val="8"/>
        </w:numPr>
      </w:pPr>
      <w:r w:rsidRPr="0000611B">
        <w:t>Renseignements sur le respect de l’obligation d’emploi mentionnée à l’article L. 323-1 du code du travail.</w:t>
      </w:r>
    </w:p>
    <w:p w14:paraId="3565E58E" w14:textId="77777777" w:rsidR="0000611B" w:rsidRPr="0000611B" w:rsidRDefault="0000611B" w:rsidP="003D35BB">
      <w:r w:rsidRPr="0000611B">
        <w:t>Les renseignements concernant la capacité économique et financière de l’entreprise tels que prévus aux articles R. 2142-6 à R. 2142-12 du code de la commande publique :</w:t>
      </w:r>
    </w:p>
    <w:p w14:paraId="212435A8" w14:textId="77777777" w:rsidR="0000611B" w:rsidRPr="0000611B" w:rsidRDefault="0000611B" w:rsidP="003D35BB">
      <w:pPr>
        <w:pStyle w:val="Paragraphedeliste"/>
        <w:numPr>
          <w:ilvl w:val="0"/>
          <w:numId w:val="8"/>
        </w:numPr>
      </w:pPr>
      <w:r w:rsidRPr="0000611B">
        <w:t>Déclaration concernant le chiffre d’affaires global et le chiffre d’affaires concernant les fournitures objet du contrat, réalisés au cours des trois derniers exercices disponibles</w:t>
      </w:r>
      <w:r w:rsidR="003D35BB">
        <w:t> ;</w:t>
      </w:r>
    </w:p>
    <w:p w14:paraId="052B22EF" w14:textId="77777777" w:rsidR="0000611B" w:rsidRPr="0000611B" w:rsidRDefault="0000611B" w:rsidP="003D35BB">
      <w:pPr>
        <w:pStyle w:val="Paragraphedeliste"/>
        <w:numPr>
          <w:ilvl w:val="0"/>
          <w:numId w:val="8"/>
        </w:numPr>
      </w:pPr>
      <w:r w:rsidRPr="0000611B">
        <w:t>Déclaration appropriée de banques ou preuve d’une assurance pour les risques professionnels.</w:t>
      </w:r>
    </w:p>
    <w:p w14:paraId="62E7E770" w14:textId="12DA4A08" w:rsidR="0000611B" w:rsidRPr="0000611B" w:rsidRDefault="0000611B" w:rsidP="003D35BB">
      <w:r w:rsidRPr="0000611B">
        <w:lastRenderedPageBreak/>
        <w:t xml:space="preserve">Si le candidat est dans l’impossibilité de produire, pour justifier de sa capacité financière, cette déclaration, il peut prouver sa capacité par tout autre document considéré comme équivalent par </w:t>
      </w:r>
      <w:r w:rsidR="001C4FC9">
        <w:t>L’ACHETEUR</w:t>
      </w:r>
      <w:r w:rsidRPr="0000611B">
        <w:t>.</w:t>
      </w:r>
    </w:p>
    <w:p w14:paraId="75A6B1DD" w14:textId="77777777" w:rsidR="0000611B" w:rsidRPr="0000611B" w:rsidRDefault="0000611B" w:rsidP="003D35BB">
      <w:r w:rsidRPr="0000611B">
        <w:t>Les renseignements concernant les références professionnelles et la capacité technique de l’entreprise tels que prévus aux articles R. 2142-13 et R. 142-14 du code de la commande publique</w:t>
      </w:r>
      <w:r w:rsidR="003D35BB">
        <w:t> :</w:t>
      </w:r>
    </w:p>
    <w:p w14:paraId="170266FF" w14:textId="77777777" w:rsidR="0000611B" w:rsidRPr="0000611B" w:rsidRDefault="0000611B" w:rsidP="00F91DF2">
      <w:pPr>
        <w:pStyle w:val="Paragraphedeliste"/>
        <w:numPr>
          <w:ilvl w:val="0"/>
          <w:numId w:val="9"/>
        </w:numPr>
        <w:ind w:left="284"/>
      </w:pPr>
      <w:r w:rsidRPr="0000611B">
        <w:t>Déclaration indiquant les effectifs moyens annuels du candidat et l’importance du personnel d’encadrement pour chacune des trois dernières années ;</w:t>
      </w:r>
    </w:p>
    <w:p w14:paraId="5235F3EA" w14:textId="77777777" w:rsidR="0000611B" w:rsidRPr="0000611B" w:rsidRDefault="0000611B" w:rsidP="00F91DF2">
      <w:pPr>
        <w:pStyle w:val="Paragraphedeliste"/>
        <w:numPr>
          <w:ilvl w:val="0"/>
          <w:numId w:val="9"/>
        </w:numPr>
        <w:ind w:left="284"/>
      </w:pPr>
      <w:r w:rsidRPr="0000611B">
        <w:t>Liste des principaux travaux effectués au cours des trois dernières années, indiquant le montant, la date et le destinataire public ou privé. La réalisation des travaux est prouvée par des attestations du destinataire ou, à défaut, par une déclaration de l’opérateur économique ;</w:t>
      </w:r>
    </w:p>
    <w:p w14:paraId="7ADB4972" w14:textId="77777777" w:rsidR="0000611B" w:rsidRPr="0000611B" w:rsidRDefault="0000611B" w:rsidP="00F91DF2">
      <w:pPr>
        <w:pStyle w:val="Paragraphedeliste"/>
        <w:numPr>
          <w:ilvl w:val="0"/>
          <w:numId w:val="9"/>
        </w:numPr>
        <w:ind w:left="284"/>
      </w:pPr>
      <w:r w:rsidRPr="0000611B">
        <w:t>Déclaration indiquant l’outillage, le matériel et l’équipement technique dont le candidat dispose pour la réalisation de contrats de même nature ;</w:t>
      </w:r>
    </w:p>
    <w:p w14:paraId="499D9AC4" w14:textId="77777777" w:rsidR="0000611B" w:rsidRPr="0000611B" w:rsidRDefault="0000611B" w:rsidP="00F91DF2">
      <w:pPr>
        <w:pStyle w:val="Paragraphedeliste"/>
        <w:numPr>
          <w:ilvl w:val="0"/>
          <w:numId w:val="9"/>
        </w:numPr>
        <w:ind w:left="284"/>
      </w:pPr>
      <w:r w:rsidRPr="0000611B">
        <w:t>Description de l’équipement technique, des mesures employées par l’opérateur économique pour s’assurer de la qualité et des moyens d’étude et de recherche de son entreprise ;</w:t>
      </w:r>
    </w:p>
    <w:p w14:paraId="3E4730E3" w14:textId="77777777" w:rsidR="0000611B" w:rsidRPr="0000611B" w:rsidRDefault="0000611B" w:rsidP="00F91DF2">
      <w:pPr>
        <w:pStyle w:val="Paragraphedeliste"/>
        <w:numPr>
          <w:ilvl w:val="0"/>
          <w:numId w:val="9"/>
        </w:numPr>
        <w:ind w:left="284"/>
      </w:pPr>
      <w:r w:rsidRPr="0000611B">
        <w:t>La déclaration de lutte contre le travail dissimulé ;</w:t>
      </w:r>
    </w:p>
    <w:p w14:paraId="4C2B4C95" w14:textId="2B1E6B9A" w:rsidR="0000611B" w:rsidRPr="0000611B" w:rsidRDefault="0000611B" w:rsidP="00F91DF2">
      <w:pPr>
        <w:pStyle w:val="Paragraphedeliste"/>
        <w:numPr>
          <w:ilvl w:val="0"/>
          <w:numId w:val="9"/>
        </w:numPr>
        <w:ind w:left="284"/>
      </w:pPr>
      <w:r w:rsidRPr="0000611B">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w:t>
      </w:r>
      <w:r w:rsidR="001C4FC9">
        <w:t>L’ACHETEUR</w:t>
      </w:r>
      <w:r w:rsidRPr="0000611B">
        <w:t>. En outre, pour justifier qu’il dispose des capacités de cet opérateur économique pour l’exécution des prestations, le candidat produit un engagement écrit de l’opérateur économique.</w:t>
      </w:r>
    </w:p>
    <w:p w14:paraId="3425BAFC" w14:textId="77777777" w:rsidR="0000611B" w:rsidRPr="0000611B" w:rsidRDefault="0000611B" w:rsidP="003D35BB">
      <w:r w:rsidRPr="0000611B">
        <w:t>Ce document précisera pour chaque opération, l’année de réalisation, le montant de prestations exécutées, le Maître d’Ouvrage, l’étendue exacte de la prestation réalisée par le candidat.</w:t>
      </w:r>
    </w:p>
    <w:p w14:paraId="26831AA2" w14:textId="77777777" w:rsidR="0000611B" w:rsidRPr="0000611B" w:rsidRDefault="0000611B" w:rsidP="003D35BB">
      <w:r w:rsidRPr="0000611B">
        <w:t>En cas de recours à la sous-traitance, si le candidat souhaite que soient prises en compte les capacités professionnelles, techniques et financières de son ou ses sous-traitants, il devra justifier des capacités de ce ou ces sous-traitants et du fait qu’il en dispose pour l’exécution du marché, sous la forme d’un engagement écrit du ou des sous-traitants.</w:t>
      </w:r>
    </w:p>
    <w:p w14:paraId="0EA17E77" w14:textId="70D411DD" w:rsidR="0000611B" w:rsidRPr="0000611B" w:rsidRDefault="0000611B" w:rsidP="003D35BB">
      <w:r w:rsidRPr="0000611B">
        <w:t xml:space="preserve">Les candidats qui veulent faire valoir les capacités d’un ou plusieurs sous-traitant(s) doivent produire les mêmes documents que ceux exigés du candidat par </w:t>
      </w:r>
      <w:r w:rsidR="001C4FC9">
        <w:t>l’ACHETEUR</w:t>
      </w:r>
      <w:r w:rsidRPr="0000611B">
        <w:t xml:space="preserve"> public.</w:t>
      </w:r>
    </w:p>
    <w:p w14:paraId="647D44E4" w14:textId="2A111CB9" w:rsidR="0000611B" w:rsidRDefault="0000611B" w:rsidP="003D35BB">
      <w:r w:rsidRPr="0000611B">
        <w:t xml:space="preserve">Nota : avant de procéder à l’examen des candidatures, si </w:t>
      </w:r>
      <w:r w:rsidR="001C4FC9">
        <w:t>L’ACHETEUR</w:t>
      </w:r>
      <w:r w:rsidRPr="0000611B">
        <w:t xml:space="preserve"> constate que des pièces visées ci-dessus sont manquantes ou incomplètes, </w:t>
      </w:r>
      <w:r w:rsidR="001C4FC9">
        <w:t>L’ACHETEUR</w:t>
      </w:r>
      <w:r w:rsidRPr="0000611B">
        <w:t xml:space="preserve"> peut décider de demander à tous les candidats concernés de produire ou compléter ces pièces dans un délai maximum de 6 jours. Les autres candidats qui ont la possibilité de compléter leur candidature sont informés de cette possibilité dans le même délai.</w:t>
      </w:r>
    </w:p>
    <w:p w14:paraId="34C8B85E" w14:textId="77777777" w:rsidR="00F91DF2" w:rsidRPr="0000611B" w:rsidRDefault="00F91DF2" w:rsidP="003D35BB"/>
    <w:p w14:paraId="1355CA50" w14:textId="77777777" w:rsidR="0000611B" w:rsidRPr="0000611B" w:rsidRDefault="0000611B" w:rsidP="003D35BB">
      <w:pPr>
        <w:pStyle w:val="Titre2"/>
      </w:pPr>
      <w:bookmarkStart w:id="52" w:name="_Toc13777668"/>
      <w:bookmarkStart w:id="53" w:name="_Toc36112377"/>
      <w:r w:rsidRPr="0000611B">
        <w:t>4.3.</w:t>
      </w:r>
      <w:r w:rsidRPr="0000611B">
        <w:tab/>
        <w:t>Présentation des offres</w:t>
      </w:r>
      <w:bookmarkEnd w:id="52"/>
      <w:bookmarkEnd w:id="53"/>
    </w:p>
    <w:p w14:paraId="5D3F2292" w14:textId="77777777" w:rsidR="0000611B" w:rsidRPr="0000611B" w:rsidRDefault="0000611B" w:rsidP="003D35BB">
      <w:r w:rsidRPr="0000611B">
        <w:t>L’offre se composera des pièces de l’offre et d’un mémoire technique qui constituera une pièce contractuelle dont la valeur est fixée par l’ordre de priorité établi par l’article 2 du CCAP.</w:t>
      </w:r>
    </w:p>
    <w:p w14:paraId="5A1E2E21" w14:textId="77777777" w:rsidR="0000611B" w:rsidRPr="0000611B" w:rsidRDefault="0000611B" w:rsidP="003D35BB">
      <w:r w:rsidRPr="0000611B">
        <w:t>Pièces de l’offre</w:t>
      </w:r>
    </w:p>
    <w:p w14:paraId="52DC81D4" w14:textId="77777777" w:rsidR="0000611B" w:rsidRPr="0000611B" w:rsidRDefault="0000611B" w:rsidP="003D35BB">
      <w:r w:rsidRPr="0000611B">
        <w:lastRenderedPageBreak/>
        <w:t>Pour chaque offre de base et pour chaque variante éventuelle, l’offre du candidat comprend :</w:t>
      </w:r>
    </w:p>
    <w:p w14:paraId="706D73AF" w14:textId="77777777" w:rsidR="0000611B" w:rsidRPr="0000611B" w:rsidRDefault="0000611B" w:rsidP="003D35BB">
      <w:pPr>
        <w:pStyle w:val="Paragraphedeliste"/>
        <w:numPr>
          <w:ilvl w:val="0"/>
          <w:numId w:val="10"/>
        </w:numPr>
      </w:pPr>
      <w:r w:rsidRPr="0000611B">
        <w:t>L’acte d'engagement complété, daté et signé par les représentants qualifiés de toutes les entreprises candidates ayant vocation à être titulaires du marché</w:t>
      </w:r>
    </w:p>
    <w:p w14:paraId="31FC0054" w14:textId="77777777" w:rsidR="0000611B" w:rsidRPr="0000611B" w:rsidRDefault="0000611B" w:rsidP="003D35BB">
      <w:r w:rsidRPr="0000611B">
        <w:t xml:space="preserve">L’acte d'engagement sera accompagné éventuellement par les demandes d'acceptation des sous-traitants, et d'agrément des conditions de paiement, pour tous les sous-traitants de premier rang désignés au marché (annexe 1 de l'acte d'engagement en cas de sous-traitance) </w:t>
      </w:r>
    </w:p>
    <w:p w14:paraId="031978A7" w14:textId="7414739D" w:rsidR="0000611B" w:rsidRDefault="0000611B" w:rsidP="00ED7E54">
      <w:pPr>
        <w:pStyle w:val="Paragraphedeliste"/>
        <w:numPr>
          <w:ilvl w:val="0"/>
          <w:numId w:val="10"/>
        </w:numPr>
      </w:pPr>
      <w:r w:rsidRPr="0000611B">
        <w:t>Mémoire technique établi dans les conditions fixées ci-après :</w:t>
      </w:r>
    </w:p>
    <w:p w14:paraId="0336402A" w14:textId="77777777" w:rsidR="003D35BB" w:rsidRPr="0000611B" w:rsidRDefault="003D35BB" w:rsidP="003D35BB">
      <w:pPr>
        <w:pStyle w:val="Paragraphedeliste"/>
      </w:pPr>
    </w:p>
    <w:p w14:paraId="53484627" w14:textId="77777777" w:rsidR="0000611B" w:rsidRPr="0000611B" w:rsidRDefault="0000611B" w:rsidP="003D35BB">
      <w:pPr>
        <w:pStyle w:val="Paragraphedeliste"/>
        <w:numPr>
          <w:ilvl w:val="0"/>
          <w:numId w:val="11"/>
        </w:numPr>
      </w:pPr>
      <w:r w:rsidRPr="0000611B">
        <w:t>Les moyens techniques et humains mis en œuvre pour le présent marché,</w:t>
      </w:r>
    </w:p>
    <w:p w14:paraId="16B82E2B" w14:textId="6F2444A2" w:rsidR="0000611B" w:rsidRPr="0000611B" w:rsidRDefault="0000611B" w:rsidP="003D35BB">
      <w:pPr>
        <w:pStyle w:val="Paragraphedeliste"/>
        <w:numPr>
          <w:ilvl w:val="0"/>
          <w:numId w:val="11"/>
        </w:numPr>
      </w:pPr>
      <w:r w:rsidRPr="0000611B">
        <w:t>L’organisation de l’exploitation, avec les prestations sous-traitées, le détail des programmes d’entretien préventif</w:t>
      </w:r>
    </w:p>
    <w:p w14:paraId="32CFD7F3" w14:textId="77777777" w:rsidR="0000611B" w:rsidRPr="0000611B" w:rsidRDefault="0000611B" w:rsidP="003D35BB">
      <w:pPr>
        <w:pStyle w:val="Paragraphedeliste"/>
        <w:numPr>
          <w:ilvl w:val="0"/>
          <w:numId w:val="11"/>
        </w:numPr>
      </w:pPr>
      <w:r w:rsidRPr="0000611B">
        <w:t>Le nombre d’heures prévisionnelles P2 :</w:t>
      </w:r>
    </w:p>
    <w:p w14:paraId="6A9C652F" w14:textId="77777777" w:rsidR="0000611B" w:rsidRPr="0000611B" w:rsidRDefault="0000611B" w:rsidP="003D35BB">
      <w:pPr>
        <w:pStyle w:val="Paragraphedeliste"/>
        <w:numPr>
          <w:ilvl w:val="1"/>
          <w:numId w:val="2"/>
        </w:numPr>
      </w:pPr>
      <w:r w:rsidRPr="0000611B">
        <w:t>de conduite</w:t>
      </w:r>
    </w:p>
    <w:p w14:paraId="0CE2A919" w14:textId="77777777" w:rsidR="0000611B" w:rsidRPr="0000611B" w:rsidRDefault="0000611B" w:rsidP="003D35BB">
      <w:pPr>
        <w:pStyle w:val="Paragraphedeliste"/>
        <w:numPr>
          <w:ilvl w:val="1"/>
          <w:numId w:val="2"/>
        </w:numPr>
      </w:pPr>
      <w:r w:rsidRPr="0000611B">
        <w:t>de maintenance,</w:t>
      </w:r>
    </w:p>
    <w:p w14:paraId="6E7DE292" w14:textId="77777777" w:rsidR="0000611B" w:rsidRPr="0000611B" w:rsidRDefault="0000611B" w:rsidP="003D35BB">
      <w:pPr>
        <w:pStyle w:val="Paragraphedeliste"/>
        <w:numPr>
          <w:ilvl w:val="1"/>
          <w:numId w:val="2"/>
        </w:numPr>
      </w:pPr>
      <w:r w:rsidRPr="0000611B">
        <w:t>de dépannage,</w:t>
      </w:r>
    </w:p>
    <w:p w14:paraId="6E69E79C" w14:textId="77777777" w:rsidR="0000611B" w:rsidRPr="0000611B" w:rsidRDefault="0000611B" w:rsidP="003D35BB">
      <w:pPr>
        <w:pStyle w:val="Paragraphedeliste"/>
        <w:numPr>
          <w:ilvl w:val="1"/>
          <w:numId w:val="2"/>
        </w:numPr>
      </w:pPr>
      <w:r w:rsidRPr="0000611B">
        <w:t>de gestion</w:t>
      </w:r>
    </w:p>
    <w:p w14:paraId="6FE72D27" w14:textId="77777777" w:rsidR="0000611B" w:rsidRPr="0000611B" w:rsidRDefault="0000611B" w:rsidP="003D35BB">
      <w:pPr>
        <w:pStyle w:val="Paragraphedeliste"/>
        <w:numPr>
          <w:ilvl w:val="0"/>
          <w:numId w:val="12"/>
        </w:numPr>
      </w:pPr>
      <w:r w:rsidRPr="0000611B">
        <w:t>Les organisations spécifiques et les moyens mis en place pour assurer la sécurité des usagers et des techniciens (protection électrique, détecteur CO, prévention légionellose…),</w:t>
      </w:r>
    </w:p>
    <w:p w14:paraId="12BC1726" w14:textId="7F39B73D" w:rsidR="0000611B" w:rsidRPr="0000611B" w:rsidRDefault="0000611B" w:rsidP="003D35BB">
      <w:pPr>
        <w:pStyle w:val="Paragraphedeliste"/>
        <w:numPr>
          <w:ilvl w:val="0"/>
          <w:numId w:val="12"/>
        </w:numPr>
      </w:pPr>
      <w:r w:rsidRPr="0000611B">
        <w:t>Les détails des travaux programmés au titre de la garantie totale</w:t>
      </w:r>
    </w:p>
    <w:p w14:paraId="38C2E045" w14:textId="37CFF103" w:rsidR="0000611B" w:rsidRPr="0000611B" w:rsidRDefault="0000611B" w:rsidP="003D35BB">
      <w:pPr>
        <w:pStyle w:val="Paragraphedeliste"/>
        <w:numPr>
          <w:ilvl w:val="0"/>
          <w:numId w:val="13"/>
        </w:numPr>
      </w:pPr>
      <w:r w:rsidRPr="0000611B">
        <w:t xml:space="preserve">L’organisation de l’astreinte et </w:t>
      </w:r>
      <w:r w:rsidR="00103CA8">
        <w:t>les</w:t>
      </w:r>
      <w:r w:rsidRPr="0000611B">
        <w:t xml:space="preserve"> moyens mis en œuvre en cas de rupture partielle ou totale d’équipement</w:t>
      </w:r>
    </w:p>
    <w:p w14:paraId="272278DB" w14:textId="77777777" w:rsidR="0000611B" w:rsidRPr="0000611B" w:rsidRDefault="0000611B" w:rsidP="003D35BB">
      <w:pPr>
        <w:pStyle w:val="Paragraphedeliste"/>
        <w:numPr>
          <w:ilvl w:val="0"/>
          <w:numId w:val="13"/>
        </w:numPr>
      </w:pPr>
      <w:r w:rsidRPr="0000611B">
        <w:t>L’organisation de la traçabilité et du reporting</w:t>
      </w:r>
    </w:p>
    <w:p w14:paraId="70832F77" w14:textId="77777777" w:rsidR="0000611B" w:rsidRDefault="0000611B" w:rsidP="003D35BB">
      <w:pPr>
        <w:pStyle w:val="Paragraphedeliste"/>
        <w:numPr>
          <w:ilvl w:val="0"/>
          <w:numId w:val="13"/>
        </w:numPr>
      </w:pPr>
      <w:r w:rsidRPr="0000611B">
        <w:t>Les actions mises en place pour limiter les rejets dans l’environnement</w:t>
      </w:r>
    </w:p>
    <w:p w14:paraId="73C0D420" w14:textId="77777777" w:rsidR="00F91DF2" w:rsidRPr="0000611B" w:rsidRDefault="00F91DF2" w:rsidP="00F91DF2">
      <w:pPr>
        <w:pStyle w:val="Paragraphedeliste"/>
        <w:ind w:left="1004"/>
      </w:pPr>
    </w:p>
    <w:p w14:paraId="4796BF0B" w14:textId="77777777" w:rsidR="00F91DF2" w:rsidRDefault="0000611B" w:rsidP="00E0639A">
      <w:pPr>
        <w:pStyle w:val="Paragraphedeliste"/>
        <w:numPr>
          <w:ilvl w:val="0"/>
          <w:numId w:val="24"/>
        </w:numPr>
        <w:ind w:left="567"/>
      </w:pPr>
      <w:r w:rsidRPr="0000611B">
        <w:t xml:space="preserve">Le certificat de visite du site remis à l’issue de la visite. </w:t>
      </w:r>
      <w:bookmarkStart w:id="54" w:name="_Toc12246599"/>
      <w:bookmarkStart w:id="55" w:name="_Toc163893740"/>
      <w:bookmarkStart w:id="56" w:name="_Toc258843160"/>
      <w:bookmarkStart w:id="57" w:name="_Toc258843285"/>
      <w:bookmarkStart w:id="58" w:name="_Toc258843347"/>
      <w:bookmarkStart w:id="59" w:name="_Toc475533239"/>
    </w:p>
    <w:p w14:paraId="7D2BE6BA" w14:textId="77777777" w:rsidR="00E0639A" w:rsidRPr="00E0639A" w:rsidRDefault="00E0639A" w:rsidP="00E0639A">
      <w:pPr>
        <w:pStyle w:val="Paragraphedeliste"/>
        <w:ind w:left="567"/>
      </w:pPr>
    </w:p>
    <w:p w14:paraId="183F76B1" w14:textId="77777777" w:rsidR="0000611B" w:rsidRPr="0000611B" w:rsidRDefault="0000611B" w:rsidP="003D35BB">
      <w:pPr>
        <w:pStyle w:val="Titre1"/>
      </w:pPr>
      <w:bookmarkStart w:id="60" w:name="_Toc36112378"/>
      <w:r w:rsidRPr="0000611B">
        <w:t xml:space="preserve">ARTICLE 5 - </w:t>
      </w:r>
      <w:bookmarkEnd w:id="54"/>
      <w:bookmarkEnd w:id="55"/>
      <w:bookmarkEnd w:id="56"/>
      <w:bookmarkEnd w:id="57"/>
      <w:bookmarkEnd w:id="58"/>
      <w:bookmarkEnd w:id="59"/>
      <w:r w:rsidRPr="0000611B">
        <w:t>SELECTION DES CANDIDATURES ET JUGEMENT DES OFFRES</w:t>
      </w:r>
      <w:bookmarkEnd w:id="60"/>
    </w:p>
    <w:p w14:paraId="55B9275C" w14:textId="77777777" w:rsidR="0000611B" w:rsidRPr="0000611B" w:rsidRDefault="0000611B" w:rsidP="003D35BB">
      <w:pPr>
        <w:pStyle w:val="Titre2"/>
      </w:pPr>
      <w:r w:rsidRPr="0000611B">
        <w:tab/>
      </w:r>
      <w:bookmarkStart w:id="61" w:name="_Toc13777670"/>
      <w:bookmarkStart w:id="62" w:name="_Toc36112379"/>
      <w:r w:rsidRPr="0000611B">
        <w:t>5.1</w:t>
      </w:r>
      <w:r w:rsidRPr="0000611B">
        <w:tab/>
        <w:t>Sélection des candidatures</w:t>
      </w:r>
      <w:bookmarkEnd w:id="61"/>
      <w:bookmarkEnd w:id="62"/>
    </w:p>
    <w:p w14:paraId="3B27E411" w14:textId="77777777" w:rsidR="0000611B" w:rsidRPr="0000611B" w:rsidRDefault="0000611B" w:rsidP="003D35BB">
      <w:r w:rsidRPr="0000611B">
        <w:t>Seuls seront ouverts les documents qui ont été reçus au plus tard à la date et l’heure limite de remise des offres.</w:t>
      </w:r>
    </w:p>
    <w:p w14:paraId="04652C62" w14:textId="075AD358" w:rsidR="0000611B" w:rsidRDefault="0000611B" w:rsidP="003D35BB">
      <w:r w:rsidRPr="0000611B">
        <w:t xml:space="preserve">Avant de procéder à l’examen des candidatures, </w:t>
      </w:r>
      <w:r w:rsidR="001C4FC9">
        <w:t>L’ACHETEUR</w:t>
      </w:r>
      <w:r w:rsidRPr="0000611B">
        <w:t xml:space="preserve"> qui constate que des pièces dont la production était réclamée sont absentes ou incomplètes peut demander à tous les candidats concernés de compléter leur dossier de candidature dans un délai identique pour tous et qui ne saurait être supérieur à six jours calendaires.</w:t>
      </w:r>
    </w:p>
    <w:p w14:paraId="386454AA" w14:textId="77777777" w:rsidR="00F91DF2" w:rsidRPr="0000611B" w:rsidRDefault="00F91DF2" w:rsidP="003D35BB"/>
    <w:p w14:paraId="7C10C5E9" w14:textId="77777777" w:rsidR="0000611B" w:rsidRPr="0000611B" w:rsidRDefault="0000611B" w:rsidP="003D35BB">
      <w:pPr>
        <w:pStyle w:val="Titre2"/>
      </w:pPr>
      <w:r w:rsidRPr="0000611B">
        <w:tab/>
      </w:r>
      <w:bookmarkStart w:id="63" w:name="_Toc13777671"/>
      <w:bookmarkStart w:id="64" w:name="_Toc36112380"/>
      <w:r w:rsidRPr="0000611B">
        <w:t>5.2</w:t>
      </w:r>
      <w:r w:rsidRPr="0000611B">
        <w:tab/>
        <w:t>Jugement des offres</w:t>
      </w:r>
      <w:bookmarkEnd w:id="63"/>
      <w:bookmarkEnd w:id="64"/>
    </w:p>
    <w:p w14:paraId="2A8578C7" w14:textId="77777777" w:rsidR="0000611B" w:rsidRPr="0000611B" w:rsidRDefault="0000611B" w:rsidP="003D35BB">
      <w:r w:rsidRPr="0000611B">
        <w:t>Les offres de base et les offres variantes éventuelles seront analysées au regard des critères énoncés ci-dessous et classées.</w:t>
      </w:r>
    </w:p>
    <w:p w14:paraId="5D772AF4" w14:textId="0B0657D5" w:rsidR="0000611B" w:rsidRPr="0000611B" w:rsidRDefault="001C4FC9" w:rsidP="003D35BB">
      <w:r>
        <w:lastRenderedPageBreak/>
        <w:t>L’ACHETEUR</w:t>
      </w:r>
      <w:r w:rsidR="0000611B" w:rsidRPr="0000611B">
        <w:t xml:space="preserve"> attribue le marché au candidat qui a présenté l’offre économiquement la plus avantageuse au regard de ces critères conformément aux termes des articles R. 2152-6 et R. 2152-7 du code de la commande publique.</w:t>
      </w:r>
    </w:p>
    <w:p w14:paraId="3FB7C97A" w14:textId="44E0E4D8" w:rsidR="0000611B" w:rsidRDefault="0000611B" w:rsidP="003D35BB">
      <w:pPr>
        <w:rPr>
          <w:i/>
          <w:iCs/>
          <w:u w:val="single"/>
        </w:rPr>
      </w:pPr>
      <w:r w:rsidRPr="0000611B">
        <w:rPr>
          <w:bCs/>
        </w:rPr>
        <w:t>Le critère de la valeur technique sera apprécié au regard des éléments développés dans le mémoire technique.</w:t>
      </w:r>
      <w:r w:rsidRPr="0000611B">
        <w:rPr>
          <w:b/>
          <w:bCs/>
        </w:rPr>
        <w:t xml:space="preserve"> </w:t>
      </w:r>
      <w:r w:rsidRPr="00F91DF2">
        <w:rPr>
          <w:i/>
          <w:iCs/>
          <w:u w:val="single"/>
        </w:rPr>
        <w:t>(Il est précisé que le mémoire technique doit être présenté dans l'ordre des critères d'évaluation avec la même numérotation, tout élément ne figurant pas dans la bonne rubrique ne sera pas pris en compte ).</w:t>
      </w:r>
    </w:p>
    <w:p w14:paraId="1D1E7DB4" w14:textId="1ED28F17" w:rsidR="00B5269B" w:rsidRDefault="008600F3" w:rsidP="00B5269B">
      <w:r w:rsidRPr="008600F3">
        <w:rPr>
          <w:noProof/>
        </w:rPr>
        <w:drawing>
          <wp:inline distT="0" distB="0" distL="0" distR="0" wp14:anchorId="70B3BB29" wp14:editId="5939A70A">
            <wp:extent cx="5760085" cy="3326130"/>
            <wp:effectExtent l="0" t="0" r="0" b="7620"/>
            <wp:docPr id="11107497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326130"/>
                    </a:xfrm>
                    <a:prstGeom prst="rect">
                      <a:avLst/>
                    </a:prstGeom>
                    <a:noFill/>
                    <a:ln>
                      <a:noFill/>
                    </a:ln>
                  </pic:spPr>
                </pic:pic>
              </a:graphicData>
            </a:graphic>
          </wp:inline>
        </w:drawing>
      </w:r>
    </w:p>
    <w:p w14:paraId="79C59EC2" w14:textId="56C0828F" w:rsidR="00B5269B" w:rsidRPr="00E0639A" w:rsidRDefault="00B5269B" w:rsidP="003D35BB">
      <w:pPr>
        <w:rPr>
          <w:b/>
          <w:bCs/>
        </w:rPr>
      </w:pPr>
      <w:r w:rsidRPr="0000611B">
        <w:t>Chaque critère sera analysé qualitativement :</w:t>
      </w:r>
    </w:p>
    <w:bookmarkStart w:id="65" w:name="_Hlk58429743"/>
    <w:p w14:paraId="4947F30B" w14:textId="240C8120" w:rsidR="00B5269B" w:rsidRPr="0000611B" w:rsidRDefault="00E75ED0" w:rsidP="00B5269B">
      <w:pPr>
        <w:jc w:val="center"/>
      </w:pPr>
      <w:r>
        <w:fldChar w:fldCharType="begin"/>
      </w:r>
      <w:r>
        <w:instrText xml:space="preserve"> LINK Excel.Sheet.12 "C:\\Users\\Utilisateur\\EPURE Dropbox\\Equipe EPURE\\TECHNIQUE et CONTRAT\\2-contrat\\Modèles\\modèle AMO\\DCE AMO P1P2P3 exploitation CVC\\0 - New version\\Limite de préstation base Rev1.xlsx!notation!L23C6:L29C7" "" \a \p \* MERGEFORMAT </w:instrText>
      </w:r>
      <w:r>
        <w:fldChar w:fldCharType="separate"/>
      </w:r>
      <w:r w:rsidR="00707470">
        <w:object w:dxaOrig="5730" w:dyaOrig="2445" w14:anchorId="5E157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119.25pt" o:ole="">
            <v:imagedata r:id="rId12" o:title=""/>
          </v:shape>
        </w:object>
      </w:r>
      <w:r>
        <w:fldChar w:fldCharType="end"/>
      </w:r>
    </w:p>
    <w:bookmarkEnd w:id="65"/>
    <w:p w14:paraId="2E792C51" w14:textId="18F4858D" w:rsidR="0000611B" w:rsidRPr="0000611B" w:rsidRDefault="0000611B" w:rsidP="003D35BB">
      <w:r w:rsidRPr="0000611B">
        <w:t>Pour l'appréciation du critère prix, la meilleure offre, après élimination des offres anormalement basses, déterminera la note maximale sur ce critère et servira de référence pour la notation des autres offres.</w:t>
      </w:r>
    </w:p>
    <w:p w14:paraId="38EB97A2" w14:textId="27B73E68" w:rsidR="003D7E05" w:rsidRDefault="0000611B" w:rsidP="003D35BB">
      <w:r w:rsidRPr="0000611B">
        <w:t xml:space="preserve">Note prix = (Offre de prix la moins disante/offre de prix du candidat) × </w:t>
      </w:r>
      <w:r w:rsidR="008600F3">
        <w:t>55</w:t>
      </w:r>
    </w:p>
    <w:p w14:paraId="6BF45E6E" w14:textId="77777777" w:rsidR="0000611B" w:rsidRPr="0000611B" w:rsidRDefault="0000611B" w:rsidP="003D35BB">
      <w:r w:rsidRPr="0000611B">
        <w:t>L’offre économiquement et qualitativement la plus avantageuse est celle qui obtient le nombre de points le plus élevé (prix + valeur technique).</w:t>
      </w:r>
    </w:p>
    <w:p w14:paraId="18D78C49" w14:textId="5A6548B6" w:rsidR="0000611B" w:rsidRPr="0000611B" w:rsidRDefault="001C4FC9" w:rsidP="003D35BB">
      <w:r>
        <w:lastRenderedPageBreak/>
        <w:t>L’ACHETEUR</w:t>
      </w:r>
      <w:r w:rsidR="0000611B" w:rsidRPr="0000611B">
        <w:t xml:space="preserve"> pourra demander aux candidats de préciser la teneur de leurs offres afin d’en assurer la bonne comparaison selon les critères établis au présent règlement de consultation. Cette demande ne peut, en aucun cas, permettre à un ou plusieurs candidats de modifier son offre sur le fond en vue de l'améliorer. La demande ne doit être adressée qu’aux candidats dont l'offre nécessite des précisions et dans ce seul et unique but. Sont autorisées les rectifications d'erreur purement matérielle.</w:t>
      </w:r>
    </w:p>
    <w:p w14:paraId="202D9CC5" w14:textId="77777777" w:rsidR="0000611B" w:rsidRPr="0000611B" w:rsidRDefault="0000611B" w:rsidP="003D35BB"/>
    <w:p w14:paraId="10E3F9A7" w14:textId="77777777" w:rsidR="0000611B" w:rsidRPr="0000611B" w:rsidRDefault="0000611B" w:rsidP="003D35BB">
      <w:pPr>
        <w:pStyle w:val="Titre1"/>
      </w:pPr>
      <w:bookmarkStart w:id="66" w:name="_Toc13777672"/>
      <w:bookmarkStart w:id="67" w:name="_Toc36112381"/>
      <w:r w:rsidRPr="0000611B">
        <w:t>ARTICLE 6 – MODALITES DE RETRAIT DES DOSSIERS ET CONDITIONS DE REMISE DES OFFRES</w:t>
      </w:r>
      <w:bookmarkEnd w:id="66"/>
      <w:bookmarkEnd w:id="67"/>
    </w:p>
    <w:p w14:paraId="14ED251B" w14:textId="77777777" w:rsidR="0000611B" w:rsidRPr="0000611B" w:rsidRDefault="0000611B" w:rsidP="003D35BB">
      <w:pPr>
        <w:pStyle w:val="Titre2"/>
      </w:pPr>
      <w:r w:rsidRPr="0000611B">
        <w:tab/>
      </w:r>
      <w:bookmarkStart w:id="68" w:name="_Toc13777673"/>
      <w:bookmarkStart w:id="69" w:name="_Toc36112382"/>
      <w:r w:rsidRPr="0000611B">
        <w:t>6.1</w:t>
      </w:r>
      <w:r w:rsidRPr="0000611B">
        <w:tab/>
        <w:t>Modalités de retrait des dossiers</w:t>
      </w:r>
      <w:bookmarkEnd w:id="68"/>
      <w:bookmarkEnd w:id="69"/>
    </w:p>
    <w:p w14:paraId="68B54171" w14:textId="51F219DE" w:rsidR="0000611B" w:rsidRPr="0000611B" w:rsidRDefault="0000611B" w:rsidP="003D35BB">
      <w:r w:rsidRPr="0000611B">
        <w:t xml:space="preserve">Conformément aux termes des articles R. 2132-7 et R. 213-8 du code de la commande publique relatif à la Communication et échanges d’informations par voie électronique, le dossier de consultation est obtenu par téléchargement sur le site suivant : </w:t>
      </w:r>
      <w:r w:rsidRPr="00742050">
        <w:t>voir</w:t>
      </w:r>
      <w:r w:rsidRPr="0000611B">
        <w:t xml:space="preserve"> article 3.1 du présent document</w:t>
      </w:r>
    </w:p>
    <w:p w14:paraId="0C9C7494" w14:textId="77777777" w:rsidR="0000611B" w:rsidRPr="0000611B" w:rsidRDefault="0000611B" w:rsidP="003D35BB">
      <w:r w:rsidRPr="0000611B">
        <w:t>Les démarches à suivre pour retirer un dossier sont les suivantes :</w:t>
      </w:r>
    </w:p>
    <w:p w14:paraId="69311426" w14:textId="77777777" w:rsidR="0000611B" w:rsidRPr="003D35BB" w:rsidRDefault="0000611B" w:rsidP="003D35BB">
      <w:pPr>
        <w:pStyle w:val="Paragraphedeliste"/>
        <w:numPr>
          <w:ilvl w:val="0"/>
          <w:numId w:val="16"/>
        </w:numPr>
        <w:rPr>
          <w:i/>
        </w:rPr>
      </w:pPr>
      <w:r w:rsidRPr="003D35BB">
        <w:rPr>
          <w:i/>
        </w:rPr>
        <w:t xml:space="preserve">s'identifier (facultatif) </w:t>
      </w:r>
      <w:r w:rsidRPr="0000611B">
        <w:t>: cliquer sur le lien “vous n'êtes pas encore inscrit”</w:t>
      </w:r>
    </w:p>
    <w:p w14:paraId="1ADEF376" w14:textId="77777777" w:rsidR="0000611B" w:rsidRPr="0000611B" w:rsidRDefault="0000611B" w:rsidP="003D35BB">
      <w:pPr>
        <w:pStyle w:val="Paragraphedeliste"/>
        <w:numPr>
          <w:ilvl w:val="0"/>
          <w:numId w:val="16"/>
        </w:numPr>
      </w:pPr>
      <w:r w:rsidRPr="0000611B">
        <w:t>créer l'identifiant de votre choix</w:t>
      </w:r>
    </w:p>
    <w:p w14:paraId="762EC0CB" w14:textId="77777777" w:rsidR="0000611B" w:rsidRPr="0000611B" w:rsidRDefault="0000611B" w:rsidP="003D35BB">
      <w:pPr>
        <w:pStyle w:val="Paragraphedeliste"/>
        <w:numPr>
          <w:ilvl w:val="0"/>
          <w:numId w:val="16"/>
        </w:numPr>
      </w:pPr>
      <w:r w:rsidRPr="0000611B">
        <w:t>créer votre mot de passe</w:t>
      </w:r>
    </w:p>
    <w:p w14:paraId="7AA71E29" w14:textId="77777777" w:rsidR="0000611B" w:rsidRPr="00F91DF2" w:rsidRDefault="0000611B" w:rsidP="00F91DF2">
      <w:pPr>
        <w:ind w:left="1276"/>
        <w:rPr>
          <w:b/>
          <w:bCs/>
          <w:i/>
          <w:iCs/>
        </w:rPr>
      </w:pPr>
      <w:r w:rsidRPr="00F91DF2">
        <w:rPr>
          <w:b/>
          <w:bCs/>
          <w:i/>
          <w:iCs/>
        </w:rPr>
        <w:t>Cette inscription est gratuite et facultative pour tout retrait en ligne. Cependant elle est nécessaire pour être informée des modifications ou précisions apportées aux documents de consultation.</w:t>
      </w:r>
    </w:p>
    <w:p w14:paraId="783CF2D1" w14:textId="77777777" w:rsidR="0000611B" w:rsidRPr="0000611B" w:rsidRDefault="0000611B" w:rsidP="003D35BB">
      <w:pPr>
        <w:pStyle w:val="Paragraphedeliste"/>
        <w:numPr>
          <w:ilvl w:val="0"/>
          <w:numId w:val="16"/>
        </w:numPr>
      </w:pPr>
      <w:r w:rsidRPr="0000611B">
        <w:t>rechercher l’annonce</w:t>
      </w:r>
      <w:r w:rsidRPr="0000611B">
        <w:tab/>
        <w:t>cliquer sur le lien « afficher toutes les consultations » ou « rechercher une consultation »</w:t>
      </w:r>
    </w:p>
    <w:p w14:paraId="553C39BB" w14:textId="77777777" w:rsidR="0000611B" w:rsidRPr="0000611B" w:rsidRDefault="0000611B" w:rsidP="003D35BB">
      <w:pPr>
        <w:pStyle w:val="Paragraphedeliste"/>
        <w:numPr>
          <w:ilvl w:val="0"/>
          <w:numId w:val="16"/>
        </w:numPr>
      </w:pPr>
      <w:r w:rsidRPr="0000611B">
        <w:t>télécharger l’offre</w:t>
      </w:r>
      <w:r w:rsidRPr="0000611B">
        <w:tab/>
        <w:t>cliquer sur « téléchargement »</w:t>
      </w:r>
    </w:p>
    <w:p w14:paraId="027F93E1" w14:textId="77777777" w:rsidR="0000611B" w:rsidRPr="0000611B" w:rsidRDefault="0000611B" w:rsidP="003D35BB">
      <w:r w:rsidRPr="0000611B">
        <w:t>Les offres des candidats seront entièrement rédigées en langue française ou accompagnées d’une traduction en français certifiée conforme à l’original par un traducteur assermenté. Elles seront exprimées en EURO.</w:t>
      </w:r>
    </w:p>
    <w:p w14:paraId="7358C327" w14:textId="77777777" w:rsidR="0000611B" w:rsidRPr="0000611B" w:rsidRDefault="0000611B" w:rsidP="003D35BB">
      <w:r w:rsidRPr="0000611B">
        <w:tab/>
      </w:r>
    </w:p>
    <w:p w14:paraId="2F4393A7" w14:textId="77777777" w:rsidR="0000611B" w:rsidRPr="0000611B" w:rsidRDefault="0000611B" w:rsidP="003D35BB">
      <w:pPr>
        <w:pStyle w:val="Titre2"/>
      </w:pPr>
      <w:bookmarkStart w:id="70" w:name="_Toc13777674"/>
      <w:bookmarkStart w:id="71" w:name="_Toc36112383"/>
      <w:r w:rsidRPr="0000611B">
        <w:t>6.2</w:t>
      </w:r>
      <w:r w:rsidRPr="0000611B">
        <w:tab/>
        <w:t>Conditions de remise des offres</w:t>
      </w:r>
      <w:bookmarkEnd w:id="70"/>
      <w:bookmarkEnd w:id="71"/>
    </w:p>
    <w:p w14:paraId="4E842809" w14:textId="77777777" w:rsidR="0000611B" w:rsidRPr="0000611B" w:rsidRDefault="0000611B" w:rsidP="003D35BB">
      <w:r w:rsidRPr="0000611B">
        <w:t>La transmission électronique est obligatoire</w:t>
      </w:r>
    </w:p>
    <w:p w14:paraId="3F00CE37" w14:textId="77777777" w:rsidR="0000611B" w:rsidRPr="0000611B" w:rsidRDefault="0000611B" w:rsidP="003D35BB">
      <w:r w:rsidRPr="0000611B">
        <w:t>Aucune offre papier ne sera acceptée.</w:t>
      </w:r>
    </w:p>
    <w:p w14:paraId="1CF3F1DE" w14:textId="77777777" w:rsidR="0000611B" w:rsidRPr="0000611B" w:rsidRDefault="0000611B" w:rsidP="003D35BB">
      <w:r w:rsidRPr="0000611B">
        <w:t>Les conditions générales de transmission des offres par voie dématérialisée sont définies par l’arrêté du 14 décembre 2009 relatif à la dématérialisation des procédures de passation des marchés publics.</w:t>
      </w:r>
    </w:p>
    <w:p w14:paraId="55929BFA" w14:textId="0CB70168" w:rsidR="0000611B" w:rsidRPr="00F91DF2" w:rsidRDefault="0000611B" w:rsidP="003D35BB">
      <w:pPr>
        <w:rPr>
          <w:u w:val="single"/>
        </w:rPr>
      </w:pPr>
      <w:r w:rsidRPr="0000611B">
        <w:lastRenderedPageBreak/>
        <w:t xml:space="preserve">Pour transmettre leur candidature et leur offre, les </w:t>
      </w:r>
      <w:r w:rsidR="00F91DF2" w:rsidRPr="0000611B">
        <w:t>candidats</w:t>
      </w:r>
      <w:r w:rsidRPr="0000611B">
        <w:t xml:space="preserve"> peuvent le faire exclusivement sur le profil d’acheteur du pouvoir adjudicateur, à l’adresse URL suivante : </w:t>
      </w:r>
      <w:r w:rsidRPr="00742050">
        <w:t>voir</w:t>
      </w:r>
      <w:r w:rsidRPr="0000611B">
        <w:t xml:space="preserve"> </w:t>
      </w:r>
      <w:r w:rsidRPr="0000611B">
        <w:rPr>
          <w:i/>
          <w:iCs/>
        </w:rPr>
        <w:t>article 3.1</w:t>
      </w:r>
      <w:r w:rsidRPr="0000611B">
        <w:t xml:space="preserve"> du présent document</w:t>
      </w:r>
    </w:p>
    <w:p w14:paraId="7476A6D9" w14:textId="77777777" w:rsidR="0000611B" w:rsidRPr="0000611B" w:rsidRDefault="0000611B" w:rsidP="003D35BB">
      <w:r w:rsidRPr="0000611B">
        <w:t>Tout autre envoi dématérialisé (e-mail, par exemple) ne pourra être accepté.</w:t>
      </w:r>
    </w:p>
    <w:p w14:paraId="06EBDBA8" w14:textId="77777777" w:rsidR="0000611B" w:rsidRPr="0000611B" w:rsidRDefault="0000611B" w:rsidP="003D35BB">
      <w:r w:rsidRPr="0000611B">
        <w:t xml:space="preserve">L’envoi dématérialisé peut être doublé d'une </w:t>
      </w:r>
      <w:r w:rsidRPr="0000611B">
        <w:rPr>
          <w:b/>
          <w:u w:val="single"/>
        </w:rPr>
        <w:t>copie de sauvegarde</w:t>
      </w:r>
      <w:r w:rsidRPr="0000611B">
        <w:t xml:space="preserv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21566339" w14:textId="77777777" w:rsidR="0000611B" w:rsidRPr="0000611B" w:rsidRDefault="0000611B" w:rsidP="003D35BB">
      <w:pPr>
        <w:pStyle w:val="Paragraphedeliste"/>
        <w:numPr>
          <w:ilvl w:val="2"/>
          <w:numId w:val="26"/>
        </w:numPr>
        <w:ind w:left="426"/>
      </w:pPr>
      <w:r w:rsidRPr="0000611B">
        <w:t>lorsqu'un programme informatique malveillant est détecté dans le pli transmis par voie électronique ;</w:t>
      </w:r>
    </w:p>
    <w:p w14:paraId="0A29351D" w14:textId="77777777" w:rsidR="0000611B" w:rsidRPr="0000611B" w:rsidRDefault="0000611B" w:rsidP="003D35BB">
      <w:pPr>
        <w:pStyle w:val="Paragraphedeliste"/>
        <w:numPr>
          <w:ilvl w:val="2"/>
          <w:numId w:val="26"/>
        </w:numPr>
        <w:ind w:left="426"/>
      </w:pPr>
      <w:r w:rsidRPr="0000611B">
        <w:t>lorsque le pli électronique est reçu de façon incomplète, hors délai ou n'a pu être ouvert, à condition que sa transmission ait commencé avant la clôture de la remise des plis.</w:t>
      </w:r>
    </w:p>
    <w:p w14:paraId="69E73DE0" w14:textId="77777777" w:rsidR="0000611B" w:rsidRDefault="0000611B" w:rsidP="003D35BB">
      <w:r w:rsidRPr="0000611B">
        <w:t>La copie de sauvegarde peut être transmise ou déposée à l'adresse suivante :</w:t>
      </w:r>
    </w:p>
    <w:p w14:paraId="7D6B6E69" w14:textId="0FC9403E" w:rsidR="00ED7E54" w:rsidRDefault="00ED7E54" w:rsidP="00ED7E54">
      <w:pPr>
        <w:spacing w:before="0" w:after="0" w:line="240" w:lineRule="auto"/>
      </w:pPr>
      <w:r w:rsidRPr="004562E9">
        <w:t>CHR Metz-Thionville (établissement support du GHT Lorraine Nord pour le compte d</w:t>
      </w:r>
      <w:r>
        <w:t>u GCS Blanchisserie Lorraine Nord</w:t>
      </w:r>
      <w:r w:rsidRPr="004562E9">
        <w:t>)</w:t>
      </w:r>
    </w:p>
    <w:p w14:paraId="36B256A7" w14:textId="0E58BBAE" w:rsidR="003B1022" w:rsidRPr="004562E9" w:rsidRDefault="003B1022" w:rsidP="00ED7E54">
      <w:pPr>
        <w:spacing w:before="0" w:after="0" w:line="240" w:lineRule="auto"/>
      </w:pPr>
      <w:r>
        <w:t>Cellule marchés</w:t>
      </w:r>
    </w:p>
    <w:p w14:paraId="1D77A889" w14:textId="77777777" w:rsidR="00ED7E54" w:rsidRPr="004562E9" w:rsidRDefault="00ED7E54" w:rsidP="00ED7E54">
      <w:pPr>
        <w:spacing w:before="0" w:after="0" w:line="240" w:lineRule="auto"/>
      </w:pPr>
      <w:r w:rsidRPr="004562E9">
        <w:t>1 allée du Château</w:t>
      </w:r>
    </w:p>
    <w:p w14:paraId="128942F3" w14:textId="77777777" w:rsidR="00ED7E54" w:rsidRPr="004562E9" w:rsidRDefault="00ED7E54" w:rsidP="00ED7E54">
      <w:pPr>
        <w:spacing w:before="0" w:after="0" w:line="240" w:lineRule="auto"/>
      </w:pPr>
      <w:r w:rsidRPr="004562E9">
        <w:t>CS 45001</w:t>
      </w:r>
    </w:p>
    <w:p w14:paraId="36DA1A14" w14:textId="77777777" w:rsidR="00ED7E54" w:rsidRPr="004562E9" w:rsidRDefault="00ED7E54" w:rsidP="00ED7E54">
      <w:pPr>
        <w:spacing w:before="0" w:after="0" w:line="240" w:lineRule="auto"/>
      </w:pPr>
      <w:r w:rsidRPr="004562E9">
        <w:t>57085 METZ cedex 3</w:t>
      </w:r>
    </w:p>
    <w:p w14:paraId="40F8AD51" w14:textId="77777777" w:rsidR="0000611B" w:rsidRPr="0000611B" w:rsidRDefault="0000611B" w:rsidP="003D35BB">
      <w:r w:rsidRPr="0000611B">
        <w:t>Le candidat conserve la faculté d’envoyer par une autre voie (papier, CD-ROM...), les documents et pièces qu’il ne peut matériellement transmettre en format électronique (par exemple : les échantillons, plans, esquisses, maquettes, catalogues...) et qui ne modifient pas les caractéristiques essentielles de l’offre.</w:t>
      </w:r>
    </w:p>
    <w:p w14:paraId="1F1DCBB4" w14:textId="659C0D35" w:rsidR="0000611B" w:rsidRPr="0000611B" w:rsidRDefault="001C4FC9" w:rsidP="003D35BB">
      <w:r>
        <w:t>L’ACHETEUR</w:t>
      </w:r>
      <w:r w:rsidR="0000611B" w:rsidRPr="0000611B">
        <w:t xml:space="preserve"> se réserve le droit de convertir ultérieurement les formats des données et des pièces du marché dans lesquels ont été encodés les fichiers afin d’assurer leur lisibilité dans le moyen et long terme</w:t>
      </w:r>
    </w:p>
    <w:p w14:paraId="3F65A9AE" w14:textId="77777777" w:rsidR="0000611B" w:rsidRPr="0000611B" w:rsidRDefault="0000611B" w:rsidP="003D35BB"/>
    <w:p w14:paraId="3A2B5E57" w14:textId="77777777" w:rsidR="0000611B" w:rsidRPr="0000611B" w:rsidRDefault="0000611B" w:rsidP="00C3676F">
      <w:bookmarkStart w:id="72" w:name="_Toc36112384"/>
      <w:r w:rsidRPr="0000611B">
        <w:t>PRÉREQUIS INFORMATIQUES</w:t>
      </w:r>
      <w:bookmarkEnd w:id="72"/>
    </w:p>
    <w:p w14:paraId="2CCEF930" w14:textId="77777777" w:rsidR="0000611B" w:rsidRPr="0000611B" w:rsidRDefault="0000611B" w:rsidP="003D35BB">
      <w:r w:rsidRPr="0000611B">
        <w:t>Le candidat doit s’assurer de disposer sur son poste de travail des outils listés dans la rubrique « Aide &gt; Outils informatiques » de la plate-forme.</w:t>
      </w:r>
    </w:p>
    <w:p w14:paraId="1B3A6827" w14:textId="77777777" w:rsidR="0000611B" w:rsidRPr="0000611B" w:rsidRDefault="0000611B" w:rsidP="00C3676F">
      <w:r w:rsidRPr="0000611B">
        <w:t>Test de la configuration du poste :</w:t>
      </w:r>
    </w:p>
    <w:p w14:paraId="2ABA5F1C" w14:textId="77777777" w:rsidR="0000611B" w:rsidRPr="0000611B" w:rsidRDefault="0000611B" w:rsidP="00E0639A">
      <w:pPr>
        <w:spacing w:before="0"/>
      </w:pPr>
      <w:r w:rsidRPr="0000611B">
        <w:t>La remise d'une réponse électronique exige l'utilisation d'un programme (applet) qui assure le formatage des fichiers de réponse ainsi que les opérations de signature et de chiffrement, le cas échéant. Cet applet nécessite une configuration spécifique de votre poste de travail.</w:t>
      </w:r>
    </w:p>
    <w:p w14:paraId="4ADF7ED3" w14:textId="77777777" w:rsidR="0000611B" w:rsidRPr="0000611B" w:rsidRDefault="0000611B" w:rsidP="003D35BB">
      <w:r w:rsidRPr="0000611B">
        <w:t>Il est conseillé de vérifier les prérequis pour la remise électronique d'une réponse.</w:t>
      </w:r>
    </w:p>
    <w:p w14:paraId="7B1153B1" w14:textId="77777777" w:rsidR="0000611B" w:rsidRPr="0000611B" w:rsidRDefault="0000611B" w:rsidP="003D35BB">
      <w:r w:rsidRPr="0000611B">
        <w:lastRenderedPageBreak/>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62C4B4D8" w14:textId="3B6BB586" w:rsidR="0000611B" w:rsidRPr="0000611B" w:rsidRDefault="0000611B" w:rsidP="003D35BB">
      <w:r w:rsidRPr="0000611B">
        <w:t xml:space="preserve">La liste des formats de fichiers acceptés par </w:t>
      </w:r>
      <w:r w:rsidR="001C4FC9">
        <w:t>L’ACHETEUR</w:t>
      </w:r>
      <w:r w:rsidRPr="0000611B">
        <w:t xml:space="preserve"> est la suivante :</w:t>
      </w:r>
    </w:p>
    <w:p w14:paraId="2F5AB2F0" w14:textId="77777777" w:rsidR="0000611B" w:rsidRPr="0000611B" w:rsidRDefault="0000611B" w:rsidP="003D35BB">
      <w:pPr>
        <w:pStyle w:val="Paragraphedeliste"/>
        <w:numPr>
          <w:ilvl w:val="0"/>
          <w:numId w:val="17"/>
        </w:numPr>
      </w:pPr>
      <w:r w:rsidRPr="0000611B">
        <w:t>Portable Document Format (.pdf),</w:t>
      </w:r>
    </w:p>
    <w:p w14:paraId="458F6D51" w14:textId="77777777" w:rsidR="0000611B" w:rsidRPr="0000611B" w:rsidRDefault="0000611B" w:rsidP="003D35BB">
      <w:pPr>
        <w:pStyle w:val="Paragraphedeliste"/>
        <w:numPr>
          <w:ilvl w:val="0"/>
          <w:numId w:val="17"/>
        </w:numPr>
      </w:pPr>
      <w:r w:rsidRPr="0000611B">
        <w:t>Rich Text Format (.rtf),</w:t>
      </w:r>
    </w:p>
    <w:p w14:paraId="2A6184E2" w14:textId="77777777" w:rsidR="0000611B" w:rsidRPr="0000611B" w:rsidRDefault="0000611B" w:rsidP="003D35BB">
      <w:pPr>
        <w:pStyle w:val="Paragraphedeliste"/>
        <w:numPr>
          <w:ilvl w:val="0"/>
          <w:numId w:val="17"/>
        </w:numPr>
      </w:pPr>
      <w:r w:rsidRPr="0000611B">
        <w:t>Compressés (exemples d’extensions : .zip, .rar),</w:t>
      </w:r>
    </w:p>
    <w:p w14:paraId="7A339E60" w14:textId="6C37805D" w:rsidR="0000611B" w:rsidRPr="0000611B" w:rsidRDefault="0000611B" w:rsidP="003D35BB">
      <w:pPr>
        <w:pStyle w:val="Paragraphedeliste"/>
        <w:numPr>
          <w:ilvl w:val="0"/>
          <w:numId w:val="17"/>
        </w:numPr>
      </w:pPr>
      <w:r w:rsidRPr="0000611B">
        <w:t>Applications bureautiques (exemples d’extensions : .doc</w:t>
      </w:r>
      <w:r w:rsidR="00742050">
        <w:t>x</w:t>
      </w:r>
      <w:r w:rsidRPr="0000611B">
        <w:t>, .xls</w:t>
      </w:r>
      <w:r w:rsidR="00742050">
        <w:t>x</w:t>
      </w:r>
      <w:r w:rsidRPr="0000611B">
        <w:t>, .pwt, .pub, .mdb),</w:t>
      </w:r>
    </w:p>
    <w:p w14:paraId="294FC5A2" w14:textId="77777777" w:rsidR="0000611B" w:rsidRPr="0000611B" w:rsidRDefault="0000611B" w:rsidP="003D35BB">
      <w:pPr>
        <w:pStyle w:val="Paragraphedeliste"/>
        <w:numPr>
          <w:ilvl w:val="0"/>
          <w:numId w:val="17"/>
        </w:numPr>
      </w:pPr>
      <w:r w:rsidRPr="0000611B">
        <w:t>Multimédias (exemples d’extensions : gif, .jpg, .png),</w:t>
      </w:r>
    </w:p>
    <w:p w14:paraId="745D9BF5" w14:textId="77777777" w:rsidR="0000611B" w:rsidRPr="0000611B" w:rsidRDefault="0000611B" w:rsidP="003D35BB">
      <w:pPr>
        <w:pStyle w:val="Paragraphedeliste"/>
        <w:numPr>
          <w:ilvl w:val="0"/>
          <w:numId w:val="17"/>
        </w:numPr>
      </w:pPr>
      <w:r w:rsidRPr="0000611B">
        <w:t>Internet (exemple d’extension : .htm).</w:t>
      </w:r>
    </w:p>
    <w:p w14:paraId="46350A7A" w14:textId="77777777" w:rsidR="0000611B" w:rsidRPr="0000611B" w:rsidRDefault="0000611B" w:rsidP="003D35BB"/>
    <w:p w14:paraId="7BDFC98D" w14:textId="77777777" w:rsidR="0000611B" w:rsidRPr="0000611B" w:rsidRDefault="0000611B" w:rsidP="00C3676F">
      <w:bookmarkStart w:id="73" w:name="_Toc36112385"/>
      <w:r w:rsidRPr="0000611B">
        <w:t>DÉPÔT DE L’OFFRE SUR LA PLATE-FORME</w:t>
      </w:r>
      <w:bookmarkEnd w:id="73"/>
    </w:p>
    <w:p w14:paraId="53442141" w14:textId="7DEDA027" w:rsidR="0000611B" w:rsidRPr="0000611B" w:rsidRDefault="0000611B" w:rsidP="003D35BB">
      <w:r w:rsidRPr="0000611B">
        <w:t xml:space="preserve">Afin de déposer sa réponse, le candidat doit se connecter au site Internet </w:t>
      </w:r>
      <w:r w:rsidRPr="00742050">
        <w:t>voir</w:t>
      </w:r>
      <w:r w:rsidRPr="0000611B">
        <w:t xml:space="preserve"> </w:t>
      </w:r>
      <w:r w:rsidRPr="0000611B">
        <w:rPr>
          <w:i/>
          <w:iCs/>
        </w:rPr>
        <w:t>article 3.1</w:t>
      </w:r>
      <w:r w:rsidRPr="0000611B">
        <w:t xml:space="preserve"> du présent document s’identifier avec son compte et accéder à la procédure concernée.</w:t>
      </w:r>
    </w:p>
    <w:p w14:paraId="77BC9E57" w14:textId="77777777" w:rsidR="0000611B" w:rsidRPr="0000611B" w:rsidRDefault="0000611B" w:rsidP="003D35BB">
      <w:r w:rsidRPr="0000611B">
        <w:t>Il procède alors à l’opération de dépôt des fichiers en cliquant sur le bouton « Répondre à la consultation » (Le processus de réponse électronique est décrit dans le guide utilisateur disponible sur la plate-forme)</w:t>
      </w:r>
    </w:p>
    <w:p w14:paraId="1A1366BE" w14:textId="77777777" w:rsidR="0000611B" w:rsidRPr="0000611B" w:rsidRDefault="0000611B" w:rsidP="003D35BB">
      <w:r w:rsidRPr="0000611B">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755959AB" w14:textId="77777777" w:rsidR="0000611B" w:rsidRPr="0000611B" w:rsidRDefault="0000611B" w:rsidP="003D35BB">
      <w:r w:rsidRPr="0000611B">
        <w:t>Si une nouvelle offre est envoyée par voie électronique par le même candidat, celle-ci annule et remplace l'offre précédente.</w:t>
      </w:r>
    </w:p>
    <w:p w14:paraId="7FD1DC5E" w14:textId="77777777" w:rsidR="0000611B" w:rsidRPr="0000611B" w:rsidRDefault="0000611B" w:rsidP="003D35BB"/>
    <w:p w14:paraId="31000E0A" w14:textId="77777777" w:rsidR="0000611B" w:rsidRPr="0000611B" w:rsidRDefault="0000611B" w:rsidP="00C3676F">
      <w:bookmarkStart w:id="74" w:name="_Toc36112386"/>
      <w:r w:rsidRPr="0000611B">
        <w:t>TRAITEMENT DES PROGRAMMES INFORMATIQUES MALVEILLANTS (VIRUS)</w:t>
      </w:r>
      <w:bookmarkEnd w:id="74"/>
    </w:p>
    <w:p w14:paraId="6A277444" w14:textId="77777777" w:rsidR="0000611B" w:rsidRPr="0000611B" w:rsidRDefault="0000611B" w:rsidP="003D35BB">
      <w:r w:rsidRPr="0000611B">
        <w:t>Afin d'empêcher la diffusion des virus informatiques, le soumissionnaire ne doit utiliser ni les exécutables notamment les « exe », ni les « macros ».</w:t>
      </w:r>
    </w:p>
    <w:p w14:paraId="06A43E5B" w14:textId="77777777" w:rsidR="0000611B" w:rsidRPr="0000611B" w:rsidRDefault="0000611B" w:rsidP="003D35BB">
      <w:r w:rsidRPr="0000611B">
        <w:t>Tout fichier constitutif de la candidature et de l'offre, sera traité préalablement par le candidat par un anti- virus régulièrement mis à jour.</w:t>
      </w:r>
    </w:p>
    <w:p w14:paraId="65F8E0E1" w14:textId="10DC9025" w:rsidR="0000611B" w:rsidRPr="0000611B" w:rsidRDefault="0000611B" w:rsidP="003D35BB">
      <w:r w:rsidRPr="0000611B">
        <w:t xml:space="preserve">Lorsqu'elles ne sont pas accompagnées d'une copie de sauvegarde, les offres transmises par voie dématérialisée et dans lesquelles un programme informatique malveillant est détecté par </w:t>
      </w:r>
      <w:r w:rsidR="001C4FC9">
        <w:t>L’ACHETEUR</w:t>
      </w:r>
      <w:r w:rsidRPr="0000611B">
        <w:t xml:space="preserve"> peuvent faire l'objet d'une réparation.</w:t>
      </w:r>
    </w:p>
    <w:p w14:paraId="17D7FDF1" w14:textId="2D1975A9" w:rsidR="0000611B" w:rsidRPr="0000611B" w:rsidRDefault="001C4FC9" w:rsidP="003D35BB">
      <w:r>
        <w:t>L’ACHETEUR</w:t>
      </w:r>
      <w:r w:rsidR="0000611B" w:rsidRPr="0000611B">
        <w:t xml:space="preserve"> conserve alors la trace de la malveillance du programme et, s'il décide de tenter une réparation, conserve également la trace des opérations de réparation réalisées.</w:t>
      </w:r>
    </w:p>
    <w:p w14:paraId="5435D719" w14:textId="1FCC9ED2" w:rsidR="0000611B" w:rsidRPr="0000611B" w:rsidRDefault="0000611B" w:rsidP="003D35BB">
      <w:r w:rsidRPr="0000611B">
        <w:t xml:space="preserve">Concernant les éléments de la candidature qui n’est pas accompagnée d’une copie de sauvegarde, le fichier électronique qui n'a pas fait l'objet de réparation ou dont la réparation a échoué est réputé n'avoir jamais été reçu. Toutefois, </w:t>
      </w:r>
      <w:r w:rsidR="001C4FC9">
        <w:t>L’ACHETEUR</w:t>
      </w:r>
      <w:r w:rsidRPr="0000611B">
        <w:t xml:space="preserve"> pourra décider de faire application de </w:t>
      </w:r>
      <w:r w:rsidRPr="0000611B">
        <w:lastRenderedPageBreak/>
        <w:t>l'article R. 2144- 2 du code de la commande publique et demander au candidat de procéder à un nouvel envoi du document.</w:t>
      </w:r>
    </w:p>
    <w:p w14:paraId="3089BE0A" w14:textId="73251B07" w:rsidR="0000611B" w:rsidRPr="0000611B" w:rsidRDefault="0000611B" w:rsidP="003D35BB">
      <w:r w:rsidRPr="0000611B">
        <w:t xml:space="preserve">Concernant les éléments de l’offre qui n’est pas accompagnée d’une copie de sauvegarde, le fichier électronique qui n'a pas fait l'objet de réparation ou dont la réparation a échoué est réputé n'avoir jamais été reçu. Le candidat en sera informé dans les conditions fixées par les articles R. 2181-1, R. 2181- 3 et R. 2181-4 du code de la commande publique. Toutefois, </w:t>
      </w:r>
      <w:r w:rsidR="001C4FC9">
        <w:t>l’ACHETEUR</w:t>
      </w:r>
      <w:r w:rsidRPr="0000611B">
        <w:t xml:space="preserve"> pourra demander au candidat de procéder à un nouvel envoi du document, par application de l’article R. 2152-2 du code de la commande publique qui prévoit la possibilité d’autoriser tous les soumissionnaires concernés à régulariser les offres irrégulières sous réserve qu’elles ne soient pas anormalement basses et à la condition que cette régularisation ne puisse avoir pour effet de modifier des caractéristiques substantielles des offres.</w:t>
      </w:r>
    </w:p>
    <w:p w14:paraId="2F4C44F3" w14:textId="77777777" w:rsidR="0000611B" w:rsidRPr="0000611B" w:rsidRDefault="0000611B" w:rsidP="003D35BB"/>
    <w:p w14:paraId="1BFDE46A" w14:textId="77777777" w:rsidR="0000611B" w:rsidRPr="0000611B" w:rsidRDefault="0000611B" w:rsidP="00E0639A">
      <w:pPr>
        <w:pStyle w:val="Titre1"/>
      </w:pPr>
      <w:bookmarkStart w:id="75" w:name="_Toc13777675"/>
      <w:bookmarkStart w:id="76" w:name="_Toc36112387"/>
      <w:r w:rsidRPr="0000611B">
        <w:t>ARTICLE 7</w:t>
      </w:r>
      <w:r w:rsidRPr="0000611B">
        <w:tab/>
        <w:t>RENSEIGNEMENTS COMPLEMENTAIRES ET VISITE DES INSTALLATIONS</w:t>
      </w:r>
      <w:bookmarkEnd w:id="75"/>
      <w:bookmarkEnd w:id="76"/>
    </w:p>
    <w:p w14:paraId="76306A94" w14:textId="77777777" w:rsidR="0000611B" w:rsidRPr="0000611B" w:rsidRDefault="0000611B" w:rsidP="003D35BB">
      <w:pPr>
        <w:pStyle w:val="Titre2"/>
      </w:pPr>
      <w:bookmarkStart w:id="77" w:name="_Toc13777676"/>
      <w:bookmarkStart w:id="78" w:name="_Toc36112388"/>
      <w:r w:rsidRPr="0000611B">
        <w:t>7.1</w:t>
      </w:r>
      <w:r w:rsidRPr="0000611B">
        <w:tab/>
        <w:t>Renseignements complémentaires</w:t>
      </w:r>
      <w:bookmarkEnd w:id="77"/>
      <w:bookmarkEnd w:id="78"/>
    </w:p>
    <w:p w14:paraId="3A75B92F" w14:textId="5FAC66BA" w:rsidR="0000611B" w:rsidRPr="0000611B" w:rsidRDefault="0000611B" w:rsidP="003D35BB">
      <w:pPr>
        <w:rPr>
          <w:u w:val="single"/>
        </w:rPr>
      </w:pPr>
      <w:r w:rsidRPr="0000611B">
        <w:t xml:space="preserve">Les renseignements complémentaires qui seraient nécessaires aux candidats au cours de leur étude, devront faire l’objet d’une demande par l’intermédiaire du portail </w:t>
      </w:r>
      <w:r w:rsidRPr="00742050">
        <w:t>voir</w:t>
      </w:r>
      <w:r w:rsidRPr="0000611B">
        <w:t xml:space="preserve"> </w:t>
      </w:r>
      <w:r w:rsidRPr="0000611B">
        <w:rPr>
          <w:i/>
          <w:iCs/>
        </w:rPr>
        <w:t>article 3.1</w:t>
      </w:r>
      <w:r w:rsidRPr="0000611B">
        <w:t xml:space="preserve"> du présent document au plus tard 6 jours calendaires avant la date limite de réception des offres.</w:t>
      </w:r>
    </w:p>
    <w:p w14:paraId="514E1F02" w14:textId="77777777" w:rsidR="0000611B" w:rsidRPr="0000611B" w:rsidRDefault="0000611B" w:rsidP="003D35BB"/>
    <w:p w14:paraId="3D086EE3" w14:textId="77777777" w:rsidR="0000611B" w:rsidRPr="0000611B" w:rsidRDefault="0000611B" w:rsidP="003D35BB">
      <w:pPr>
        <w:pStyle w:val="Titre2"/>
      </w:pPr>
      <w:bookmarkStart w:id="79" w:name="_Toc13777677"/>
      <w:bookmarkStart w:id="80" w:name="_Toc36112389"/>
      <w:r w:rsidRPr="0000611B">
        <w:t>7.2</w:t>
      </w:r>
      <w:r w:rsidRPr="0000611B">
        <w:tab/>
        <w:t>Visite des installations</w:t>
      </w:r>
      <w:bookmarkEnd w:id="79"/>
      <w:bookmarkEnd w:id="80"/>
    </w:p>
    <w:p w14:paraId="45A48459" w14:textId="61242108" w:rsidR="00587683" w:rsidRDefault="0000611B" w:rsidP="003D35BB">
      <w:r w:rsidRPr="0000611B">
        <w:t xml:space="preserve">Une visite </w:t>
      </w:r>
      <w:r w:rsidR="00587683">
        <w:t>d</w:t>
      </w:r>
      <w:r w:rsidRPr="0000611B">
        <w:t xml:space="preserve">es installations est </w:t>
      </w:r>
      <w:r w:rsidR="00587683">
        <w:t>obligatoire. Prendre RDV à l’adresse courriel :</w:t>
      </w:r>
    </w:p>
    <w:p w14:paraId="7BF7862D" w14:textId="4B8442CE" w:rsidR="00587683" w:rsidRDefault="00707470" w:rsidP="00587683">
      <w:pPr>
        <w:jc w:val="center"/>
      </w:pPr>
      <w:hyperlink r:id="rId13" w:history="1">
        <w:r w:rsidR="00587683" w:rsidRPr="00E26B29">
          <w:rPr>
            <w:rStyle w:val="Lienhypertexte"/>
          </w:rPr>
          <w:t>secretariat@blanchisserie-lorraine-nord.fr</w:t>
        </w:r>
      </w:hyperlink>
    </w:p>
    <w:p w14:paraId="2515DAF6" w14:textId="77777777" w:rsidR="0000611B" w:rsidRPr="0000611B" w:rsidRDefault="0000611B" w:rsidP="003D35BB"/>
    <w:p w14:paraId="527DD1D4" w14:textId="77777777" w:rsidR="0000611B" w:rsidRPr="0000611B" w:rsidRDefault="0000611B" w:rsidP="003D35BB">
      <w:pPr>
        <w:pStyle w:val="Titre1"/>
      </w:pPr>
      <w:bookmarkStart w:id="81" w:name="_Toc13777678"/>
      <w:bookmarkStart w:id="82" w:name="_Toc36112390"/>
      <w:r w:rsidRPr="0000611B">
        <w:t xml:space="preserve">ARTICLE 8 </w:t>
      </w:r>
      <w:r w:rsidRPr="0000611B">
        <w:tab/>
        <w:t>DOCUMENTS A PRODUIRE PAR LE CANDIDAT RETENU</w:t>
      </w:r>
      <w:bookmarkEnd w:id="81"/>
      <w:bookmarkEnd w:id="82"/>
    </w:p>
    <w:p w14:paraId="3FE79047" w14:textId="77777777" w:rsidR="0000611B" w:rsidRPr="0000611B" w:rsidRDefault="0000611B" w:rsidP="003D35BB">
      <w:r w:rsidRPr="0000611B">
        <w:t>Le candidat auquel il est envisagé d’attribuer un marché devra impérativement produire dans un délai de 5 jours, les documents listés ci-après (dans l’hypothèse où il ne les a pas joints dans le pli déposé) :</w:t>
      </w:r>
    </w:p>
    <w:p w14:paraId="3196BA9A" w14:textId="77777777" w:rsidR="0000611B" w:rsidRPr="0000611B" w:rsidRDefault="0000611B" w:rsidP="003D35BB">
      <w:pPr>
        <w:pStyle w:val="Paragraphedeliste"/>
        <w:numPr>
          <w:ilvl w:val="0"/>
          <w:numId w:val="18"/>
        </w:numPr>
      </w:pPr>
      <w:r w:rsidRPr="0000611B">
        <w:t>L’acte d’engagement (AE) qui sera revêtu d’une signature manuscrite et renvoyé par courrier ou déposé au secteur marchés publics à l’adresse indiquée à l’article 6.2 supra, avec un relevé d'identité bancaire ou postal annexé ;</w:t>
      </w:r>
    </w:p>
    <w:p w14:paraId="7E81725E" w14:textId="77777777" w:rsidR="0000611B" w:rsidRPr="0000611B" w:rsidRDefault="0000611B" w:rsidP="003D35BB">
      <w:pPr>
        <w:pStyle w:val="Paragraphedeliste"/>
        <w:numPr>
          <w:ilvl w:val="0"/>
          <w:numId w:val="18"/>
        </w:numPr>
      </w:pPr>
      <w:r w:rsidRPr="0000611B">
        <w:t>Le cas échéant, les pièces prévues aux articles R.1263-12, D. 8222-5 ou D. 8222-7 ou D. 8254-2 à D. 8254-5 du code du travail ;</w:t>
      </w:r>
    </w:p>
    <w:p w14:paraId="470D8AD7" w14:textId="74F518F6" w:rsidR="0000611B" w:rsidRPr="0000611B" w:rsidRDefault="0000611B" w:rsidP="003D35BB">
      <w:r w:rsidRPr="0000611B">
        <w:t xml:space="preserve">Il est rappelé que le candidat ne sera pas tenu de fournir les documents justificatifs et moyens de preuve que </w:t>
      </w:r>
      <w:r w:rsidR="001C4FC9">
        <w:t>l’ACHETEUR</w:t>
      </w:r>
      <w:r w:rsidRPr="0000611B">
        <w:t xml:space="preserve"> peut obtenir directement par le biais d’un système électronique de mise à disposition d’informations administré par un organisme officiel ou d’un espace de stockage </w:t>
      </w:r>
      <w:r w:rsidRPr="0000611B">
        <w:lastRenderedPageBreak/>
        <w:t>numérique, à condition que figurent dans le dossier de candidature toutes les informations nécessaires à la consultation de ce système ou de cet espace et que l’accès à ceux-ci soit gratuit.</w:t>
      </w:r>
    </w:p>
    <w:p w14:paraId="6D943C56" w14:textId="110AE13D" w:rsidR="0000611B" w:rsidRPr="0000611B" w:rsidRDefault="0000611B" w:rsidP="003D35BB">
      <w:r w:rsidRPr="0000611B">
        <w:t xml:space="preserve">Si, dans les délais précisés par </w:t>
      </w:r>
      <w:r w:rsidR="001C4FC9">
        <w:t>L’ACHETEUR</w:t>
      </w:r>
      <w:r w:rsidRPr="0000611B">
        <w:t>, le candidat retenu n’est pas en mesure de fournir les documents demandés (article R. 2144-7 du code de la commande publique), le soumissionnaire dont l’offre a été classée immédiatement après la sienne est sollicité pour produire les documents nécessaires.</w:t>
      </w:r>
    </w:p>
    <w:p w14:paraId="6ADB8E19" w14:textId="0FEEE0F5" w:rsidR="0000611B" w:rsidRPr="0000611B" w:rsidRDefault="0000611B" w:rsidP="003D35BB">
      <w:r w:rsidRPr="0000611B">
        <w:t xml:space="preserve">Après signature du marché, en cas d'inexactitude des documents et renseignements demandés par application des articles R. 2142-1 et R. 2142-2 du code de la commande publique ou de refus de produire les pièces prévues aux articles R. 1263-12, D. 8222-5 ou D. 8222-7 ou D. 8254-2 à D. 8254-5 du code du travail, </w:t>
      </w:r>
      <w:r w:rsidR="001C4FC9">
        <w:t>L’ACHETEUR</w:t>
      </w:r>
      <w:r w:rsidRPr="0000611B">
        <w:t xml:space="preserve"> sera en droit, après notification d'une mise en demeure préalable, de résilier le marché aux torts du cocontractant.</w:t>
      </w:r>
    </w:p>
    <w:p w14:paraId="03E753CA" w14:textId="77777777" w:rsidR="0000611B" w:rsidRPr="0000611B" w:rsidRDefault="0000611B" w:rsidP="003D35BB"/>
    <w:p w14:paraId="5C8625DA" w14:textId="77777777" w:rsidR="0000611B" w:rsidRPr="0000611B" w:rsidRDefault="0000611B" w:rsidP="003D35BB">
      <w:pPr>
        <w:pStyle w:val="Titre1"/>
      </w:pPr>
      <w:bookmarkStart w:id="83" w:name="_Toc13777679"/>
      <w:bookmarkStart w:id="84" w:name="_Toc36112391"/>
      <w:r w:rsidRPr="0000611B">
        <w:t>ARTICLE 9 INFORMATIONS DES CANDIDATS NON RETENUS</w:t>
      </w:r>
      <w:bookmarkEnd w:id="83"/>
      <w:bookmarkEnd w:id="84"/>
    </w:p>
    <w:p w14:paraId="21670240" w14:textId="50EA74C7" w:rsidR="0000611B" w:rsidRPr="0000611B" w:rsidRDefault="0000611B" w:rsidP="003D35BB">
      <w:pPr>
        <w:rPr>
          <w:u w:val="single"/>
        </w:rPr>
      </w:pPr>
      <w:r w:rsidRPr="0000611B">
        <w:t xml:space="preserve">Le représentant de </w:t>
      </w:r>
      <w:r w:rsidR="001C4FC9">
        <w:t xml:space="preserve">L’ACHETEUR </w:t>
      </w:r>
      <w:r w:rsidRPr="0000611B">
        <w:t xml:space="preserve">informe les candidats non retenus du rejet de leur offre et du nom de l’attributaire, par voie électronique par le biais de la plate-forme : </w:t>
      </w:r>
      <w:r w:rsidRPr="00742050">
        <w:t>voir</w:t>
      </w:r>
      <w:r w:rsidRPr="0000611B">
        <w:t xml:space="preserve"> </w:t>
      </w:r>
      <w:r w:rsidRPr="0000611B">
        <w:rPr>
          <w:i/>
          <w:iCs/>
        </w:rPr>
        <w:t>article 3.1</w:t>
      </w:r>
      <w:r w:rsidRPr="0000611B">
        <w:t xml:space="preserve"> du présent document </w:t>
      </w:r>
    </w:p>
    <w:p w14:paraId="07CE13DD" w14:textId="77777777" w:rsidR="0000611B" w:rsidRPr="0000611B" w:rsidRDefault="0000611B" w:rsidP="003D35BB"/>
    <w:p w14:paraId="07DCCB1F" w14:textId="77777777" w:rsidR="0000611B" w:rsidRPr="0000611B" w:rsidRDefault="0000611B" w:rsidP="003D35BB">
      <w:pPr>
        <w:pStyle w:val="Titre1"/>
      </w:pPr>
      <w:bookmarkStart w:id="85" w:name="_Toc13777680"/>
      <w:bookmarkStart w:id="86" w:name="_Toc36112392"/>
      <w:r w:rsidRPr="0000611B">
        <w:t>ARTICLE 10 SIGNATURE ET NOTIFICATION DES MARCHES PUBLICS</w:t>
      </w:r>
      <w:bookmarkEnd w:id="85"/>
      <w:bookmarkEnd w:id="86"/>
    </w:p>
    <w:p w14:paraId="3C6922D4" w14:textId="77777777" w:rsidR="0000611B" w:rsidRPr="0000611B" w:rsidRDefault="0000611B" w:rsidP="003D35BB">
      <w:r w:rsidRPr="0000611B">
        <w:t>L’acte d’engagement de l’attributaire du marché pourra être :</w:t>
      </w:r>
    </w:p>
    <w:p w14:paraId="2869EC32" w14:textId="77777777" w:rsidR="0000611B" w:rsidRPr="0000611B" w:rsidRDefault="0000611B" w:rsidP="003D35BB">
      <w:pPr>
        <w:pStyle w:val="Paragraphedeliste"/>
        <w:numPr>
          <w:ilvl w:val="0"/>
          <w:numId w:val="19"/>
        </w:numPr>
      </w:pPr>
      <w:r w:rsidRPr="0000611B">
        <w:t>soit signé de façon manuscrite.</w:t>
      </w:r>
    </w:p>
    <w:p w14:paraId="0296F117" w14:textId="389577BF" w:rsidR="0000611B" w:rsidRPr="0000611B" w:rsidRDefault="0000611B" w:rsidP="003D35BB">
      <w:pPr>
        <w:pStyle w:val="Paragraphedeliste"/>
        <w:numPr>
          <w:ilvl w:val="0"/>
          <w:numId w:val="19"/>
        </w:numPr>
      </w:pPr>
      <w:r w:rsidRPr="0000611B">
        <w:t xml:space="preserve">soit cosigné électroniquement tel que transmis par le candidat retenu. Celui-ci pourra être complété par le biais d’une annexe de mise au point, également signée par </w:t>
      </w:r>
      <w:r w:rsidR="001C4FC9">
        <w:t>L’ACHETEUR</w:t>
      </w:r>
      <w:r w:rsidRPr="0000611B">
        <w:t>, aux fins de valider les éléments nécessaires. L’acte d’engagement et la mise au point du marché seront notifiés ensemble.</w:t>
      </w:r>
    </w:p>
    <w:p w14:paraId="73ABB84C" w14:textId="79272D4A" w:rsidR="0000611B" w:rsidRPr="0000611B" w:rsidRDefault="001C4FC9" w:rsidP="003D35BB">
      <w:r>
        <w:t>L’ACHETEUR</w:t>
      </w:r>
      <w:r w:rsidR="0000611B" w:rsidRPr="0000611B">
        <w:t xml:space="preserve"> notifiera le marché par voie électronique, par le biais de la plate-forme </w:t>
      </w:r>
      <w:r w:rsidR="0000611B" w:rsidRPr="00742050">
        <w:t>voir</w:t>
      </w:r>
      <w:r w:rsidR="0000611B" w:rsidRPr="0000611B">
        <w:t xml:space="preserve"> </w:t>
      </w:r>
      <w:r w:rsidR="0000611B" w:rsidRPr="0000611B">
        <w:rPr>
          <w:i/>
          <w:iCs/>
        </w:rPr>
        <w:t>article 3.1</w:t>
      </w:r>
      <w:r w:rsidR="0000611B" w:rsidRPr="0000611B">
        <w:t xml:space="preserve"> du présent document</w:t>
      </w:r>
    </w:p>
    <w:p w14:paraId="1DCA3D9D" w14:textId="77777777" w:rsidR="0000611B" w:rsidRPr="0000611B" w:rsidRDefault="0000611B" w:rsidP="003D35BB"/>
    <w:p w14:paraId="72AA8021" w14:textId="36C9925B" w:rsidR="0000611B" w:rsidRPr="0000611B" w:rsidRDefault="0000611B" w:rsidP="003D35BB">
      <w:pPr>
        <w:rPr>
          <w:rStyle w:val="Titre1Car"/>
        </w:rPr>
      </w:pPr>
      <w:bookmarkStart w:id="87" w:name="_Toc36112393"/>
      <w:bookmarkStart w:id="88" w:name="_Toc13777681"/>
      <w:r w:rsidRPr="0000611B">
        <w:rPr>
          <w:rStyle w:val="Titre1Car"/>
        </w:rPr>
        <w:t xml:space="preserve">ARTICLE 11 DEMATERIALISATION DES ECHANGES ENTRE </w:t>
      </w:r>
      <w:r w:rsidR="001C4FC9">
        <w:rPr>
          <w:rStyle w:val="Titre1Car"/>
        </w:rPr>
        <w:t>L’ACHETEUR</w:t>
      </w:r>
      <w:r w:rsidRPr="0000611B">
        <w:rPr>
          <w:rStyle w:val="Titre1Car"/>
        </w:rPr>
        <w:t xml:space="preserve"> ET</w:t>
      </w:r>
      <w:bookmarkEnd w:id="87"/>
      <w:r w:rsidRPr="0000611B">
        <w:rPr>
          <w:b/>
        </w:rPr>
        <w:t xml:space="preserve"> </w:t>
      </w:r>
      <w:r w:rsidRPr="0000611B">
        <w:rPr>
          <w:rStyle w:val="Titre1Car"/>
        </w:rPr>
        <w:t>L’OPERATEUR ECONOMIQUE</w:t>
      </w:r>
      <w:bookmarkEnd w:id="88"/>
    </w:p>
    <w:p w14:paraId="120278DD" w14:textId="7F10C934" w:rsidR="0000611B" w:rsidRPr="0000611B" w:rsidRDefault="0000611B" w:rsidP="003D35BB">
      <w:r w:rsidRPr="0000611B">
        <w:t xml:space="preserve">Le représentant de </w:t>
      </w:r>
      <w:r w:rsidR="001C4FC9">
        <w:t>L’ACHETEUR</w:t>
      </w:r>
      <w:r w:rsidR="003D35BB">
        <w:t xml:space="preserve"> </w:t>
      </w:r>
      <w:r w:rsidRPr="0000611B">
        <w:t>transmet, selon des modalités identiques, les documents associés aux différentes phases de la procédure, notamment :</w:t>
      </w:r>
    </w:p>
    <w:p w14:paraId="03E367F7" w14:textId="77777777" w:rsidR="0000611B" w:rsidRPr="0000611B" w:rsidRDefault="0000611B" w:rsidP="00E0639A">
      <w:pPr>
        <w:pStyle w:val="Paragraphedeliste"/>
        <w:numPr>
          <w:ilvl w:val="0"/>
          <w:numId w:val="14"/>
        </w:numPr>
        <w:tabs>
          <w:tab w:val="clear" w:pos="216"/>
          <w:tab w:val="left" w:pos="720"/>
        </w:tabs>
        <w:ind w:firstLine="414"/>
      </w:pPr>
      <w:r w:rsidRPr="0000611B">
        <w:t>les modifications du Dossier de Consultation des Entreprises (DCE) et informations complémentaires,</w:t>
      </w:r>
    </w:p>
    <w:p w14:paraId="4618329E" w14:textId="77777777" w:rsidR="0000611B" w:rsidRPr="0000611B" w:rsidRDefault="0000611B" w:rsidP="00E0639A">
      <w:pPr>
        <w:pStyle w:val="Paragraphedeliste"/>
        <w:numPr>
          <w:ilvl w:val="0"/>
          <w:numId w:val="14"/>
        </w:numPr>
        <w:tabs>
          <w:tab w:val="clear" w:pos="216"/>
          <w:tab w:val="left" w:pos="720"/>
        </w:tabs>
        <w:ind w:firstLine="414"/>
      </w:pPr>
      <w:r w:rsidRPr="0000611B">
        <w:t>les demandes de complément ou précision de la candidature ou de l’offre,</w:t>
      </w:r>
    </w:p>
    <w:p w14:paraId="295AA09B" w14:textId="77777777" w:rsidR="0000611B" w:rsidRPr="0000611B" w:rsidRDefault="0000611B" w:rsidP="00E0639A">
      <w:pPr>
        <w:pStyle w:val="Paragraphedeliste"/>
        <w:numPr>
          <w:ilvl w:val="0"/>
          <w:numId w:val="14"/>
        </w:numPr>
        <w:tabs>
          <w:tab w:val="clear" w:pos="216"/>
          <w:tab w:val="left" w:pos="720"/>
        </w:tabs>
        <w:ind w:firstLine="414"/>
      </w:pPr>
      <w:r w:rsidRPr="0000611B">
        <w:lastRenderedPageBreak/>
        <w:t>l’information des candidats non retenus, d’une part, des sociétés attributaires, d’autre part,</w:t>
      </w:r>
    </w:p>
    <w:p w14:paraId="14D01F8C" w14:textId="77777777" w:rsidR="0000611B" w:rsidRPr="0000611B" w:rsidRDefault="0000611B" w:rsidP="00E0639A">
      <w:pPr>
        <w:pStyle w:val="Paragraphedeliste"/>
        <w:numPr>
          <w:ilvl w:val="0"/>
          <w:numId w:val="14"/>
        </w:numPr>
        <w:tabs>
          <w:tab w:val="clear" w:pos="216"/>
          <w:tab w:val="left" w:pos="720"/>
        </w:tabs>
        <w:ind w:firstLine="414"/>
      </w:pPr>
      <w:r w:rsidRPr="0000611B">
        <w:t>la notification des marchés publics aux sociétés titulaires.</w:t>
      </w:r>
    </w:p>
    <w:p w14:paraId="0F56EB0B" w14:textId="252D2E0E" w:rsidR="0000611B" w:rsidRPr="0000611B" w:rsidRDefault="0000611B" w:rsidP="003D35BB">
      <w:r w:rsidRPr="0000611B">
        <w:t xml:space="preserve">Ils seront adressés par voie électronique par le biais de la plate-forme </w:t>
      </w:r>
      <w:r w:rsidRPr="00742050">
        <w:t>voir</w:t>
      </w:r>
      <w:r w:rsidRPr="0000611B">
        <w:t xml:space="preserve"> </w:t>
      </w:r>
      <w:r w:rsidRPr="0000611B">
        <w:rPr>
          <w:i/>
          <w:iCs/>
        </w:rPr>
        <w:t>article 3.1</w:t>
      </w:r>
      <w:r w:rsidRPr="0000611B">
        <w:t xml:space="preserve"> du présent document, qui possède une fonction assimilée à la lettre recommandée.</w:t>
      </w:r>
    </w:p>
    <w:p w14:paraId="1483CCC8" w14:textId="77777777" w:rsidR="0000611B" w:rsidRPr="0000611B" w:rsidRDefault="0000611B" w:rsidP="003D35BB">
      <w:r w:rsidRPr="0000611B">
        <w:t>Les sociétés reçoivent un mail de leur donnant habilitation à retirer le document ainsi mis à leur disposition. Elles sont réputées avoir pris connaissance du document à la date et à l’heure du téléchargement.</w:t>
      </w:r>
    </w:p>
    <w:p w14:paraId="1F53C895" w14:textId="24399E29" w:rsidR="0000611B" w:rsidRPr="0000611B" w:rsidRDefault="0000611B" w:rsidP="003D35BB">
      <w:r w:rsidRPr="0000611B">
        <w:t xml:space="preserve">Cette fonction de messagerie sécurisée permet une continuité dans la dématérialisation des échanges entre l’opérateur économique et </w:t>
      </w:r>
      <w:r w:rsidR="001C4FC9">
        <w:t>l’ACHETEUR</w:t>
      </w:r>
      <w:r w:rsidRPr="0000611B">
        <w:t>.</w:t>
      </w:r>
    </w:p>
    <w:p w14:paraId="6C42D13F" w14:textId="77777777" w:rsidR="0000611B" w:rsidRPr="00E0639A" w:rsidRDefault="0000611B" w:rsidP="003D35BB">
      <w:pPr>
        <w:rPr>
          <w:b/>
          <w:bCs/>
        </w:rPr>
      </w:pPr>
      <w:r w:rsidRPr="00E0639A">
        <w:rPr>
          <w:b/>
          <w:bCs/>
        </w:rPr>
        <w:t>Aussi, l’opérateur économique doit utilement s’assurer que :</w:t>
      </w:r>
    </w:p>
    <w:p w14:paraId="5A6244E9" w14:textId="01058B4C" w:rsidR="0000611B" w:rsidRPr="00E0639A" w:rsidRDefault="0000611B" w:rsidP="00E0639A">
      <w:pPr>
        <w:pStyle w:val="Paragraphedeliste"/>
        <w:numPr>
          <w:ilvl w:val="0"/>
          <w:numId w:val="15"/>
        </w:numPr>
        <w:ind w:firstLine="414"/>
        <w:rPr>
          <w:b/>
          <w:bCs/>
        </w:rPr>
      </w:pPr>
      <w:r w:rsidRPr="00E0639A">
        <w:rPr>
          <w:b/>
          <w:bCs/>
        </w:rPr>
        <w:t xml:space="preserve">l’adresse mail enregistrée sur la plate-forme </w:t>
      </w:r>
      <w:r w:rsidRPr="00742050">
        <w:rPr>
          <w:b/>
          <w:bCs/>
        </w:rPr>
        <w:t>voir</w:t>
      </w:r>
      <w:r w:rsidRPr="00E0639A">
        <w:rPr>
          <w:b/>
          <w:bCs/>
        </w:rPr>
        <w:t xml:space="preserve"> </w:t>
      </w:r>
      <w:r w:rsidRPr="00E0639A">
        <w:rPr>
          <w:b/>
          <w:bCs/>
          <w:i/>
          <w:iCs/>
        </w:rPr>
        <w:t>article 3.1</w:t>
      </w:r>
      <w:r w:rsidRPr="00E0639A">
        <w:rPr>
          <w:b/>
          <w:bCs/>
        </w:rPr>
        <w:t xml:space="preserve"> du présent document sera une adresse valide et régulièrement consultée pendant le déroulement de la procédure.</w:t>
      </w:r>
    </w:p>
    <w:p w14:paraId="06FA958F" w14:textId="1F0E68DC" w:rsidR="0000611B" w:rsidRPr="00E0639A" w:rsidRDefault="0000611B" w:rsidP="00E0639A">
      <w:pPr>
        <w:pStyle w:val="Paragraphedeliste"/>
        <w:numPr>
          <w:ilvl w:val="0"/>
          <w:numId w:val="15"/>
        </w:numPr>
        <w:ind w:firstLine="414"/>
        <w:rPr>
          <w:b/>
          <w:bCs/>
          <w:i/>
        </w:rPr>
      </w:pPr>
      <w:r w:rsidRPr="00E0639A">
        <w:rPr>
          <w:b/>
          <w:bCs/>
        </w:rPr>
        <w:t xml:space="preserve">les messages envoyés par la plate-forme </w:t>
      </w:r>
      <w:r w:rsidRPr="00742050">
        <w:rPr>
          <w:b/>
          <w:bCs/>
        </w:rPr>
        <w:t>voir</w:t>
      </w:r>
      <w:r w:rsidRPr="00E0639A">
        <w:rPr>
          <w:b/>
          <w:bCs/>
        </w:rPr>
        <w:t xml:space="preserve"> </w:t>
      </w:r>
      <w:r w:rsidRPr="00E0639A">
        <w:rPr>
          <w:b/>
          <w:bCs/>
          <w:i/>
          <w:iCs/>
        </w:rPr>
        <w:t>article 3.1</w:t>
      </w:r>
      <w:r w:rsidRPr="00E0639A">
        <w:rPr>
          <w:b/>
          <w:bCs/>
        </w:rPr>
        <w:t xml:space="preserve"> du présent document notamment ne seront pas traités comme des courriels indésirables.</w:t>
      </w:r>
    </w:p>
    <w:p w14:paraId="56484C8A" w14:textId="77777777" w:rsidR="0000611B" w:rsidRDefault="0000611B" w:rsidP="003D35BB"/>
    <w:p w14:paraId="037728E6" w14:textId="4773C676" w:rsidR="00742050" w:rsidRDefault="00742050" w:rsidP="00742050">
      <w:pPr>
        <w:spacing w:before="0"/>
        <w:jc w:val="left"/>
      </w:pPr>
      <w:r w:rsidRPr="00ED7E54">
        <w:t>Le tribunal territorialement compétent est le Tribunal Administratif de</w:t>
      </w:r>
      <w:r w:rsidR="00ED7E54" w:rsidRPr="00ED7E54">
        <w:t xml:space="preserve"> Strasbourg</w:t>
      </w:r>
    </w:p>
    <w:p w14:paraId="2EAD2FD0" w14:textId="554CB5F5" w:rsidR="00E0639A" w:rsidRDefault="00E0639A" w:rsidP="00742050">
      <w:pPr>
        <w:spacing w:before="0"/>
        <w:jc w:val="center"/>
      </w:pPr>
      <w:r>
        <w:br w:type="page"/>
      </w:r>
    </w:p>
    <w:p w14:paraId="451004B2" w14:textId="77777777" w:rsidR="00E0639A" w:rsidRDefault="00E0639A" w:rsidP="003D35BB"/>
    <w:p w14:paraId="69D31A24" w14:textId="77777777" w:rsidR="00ED7E54" w:rsidRDefault="00ED7E54" w:rsidP="003D35BB"/>
    <w:p w14:paraId="007110F5" w14:textId="77777777" w:rsidR="00ED7E54" w:rsidRPr="0000611B" w:rsidRDefault="00ED7E54" w:rsidP="003D35BB"/>
    <w:p w14:paraId="1290FB1B" w14:textId="36F453FD" w:rsidR="0000611B" w:rsidRPr="0000611B" w:rsidRDefault="0000611B" w:rsidP="003D35BB"/>
    <w:p w14:paraId="12728C39" w14:textId="77777777" w:rsidR="00841582" w:rsidRPr="0000611B" w:rsidRDefault="00841582" w:rsidP="00841582">
      <w:pPr>
        <w:pStyle w:val="Titre"/>
      </w:pPr>
      <w:r w:rsidRPr="0000611B">
        <w:t>CERTIFICAT DE VISITE</w:t>
      </w:r>
    </w:p>
    <w:p w14:paraId="4F7A2678" w14:textId="77777777" w:rsidR="00841582" w:rsidRPr="003D35BB" w:rsidRDefault="00841582" w:rsidP="00841582">
      <w:pPr>
        <w:pStyle w:val="Sous-titre"/>
      </w:pPr>
      <w:r w:rsidRPr="003D35BB">
        <w:t>A remettre avec l’offre</w:t>
      </w:r>
    </w:p>
    <w:p w14:paraId="1C22B98A" w14:textId="317F6351" w:rsidR="00841582" w:rsidRPr="0000611B" w:rsidRDefault="00841582" w:rsidP="00841582">
      <w:r w:rsidRPr="0000611B">
        <w:t>Je soussigné, Monsieur</w:t>
      </w:r>
      <w:r>
        <w:t> </w:t>
      </w:r>
      <w:r w:rsidR="00E75ED0" w:rsidRPr="00ED7E54">
        <w:t>……………………………………………….</w:t>
      </w:r>
      <w:r w:rsidR="00E75ED0" w:rsidRPr="00E75ED0">
        <w:t xml:space="preserve"> </w:t>
      </w:r>
      <w:r w:rsidR="00ED7E54" w:rsidRPr="0000611B">
        <w:t>D</w:t>
      </w:r>
      <w:r w:rsidR="00ED7E54">
        <w:t>u GCS Blanchisserie Lorraine Nord</w:t>
      </w:r>
      <w:r w:rsidRPr="0000611B">
        <w:t>, agissant en tant que Maitr</w:t>
      </w:r>
      <w:r w:rsidR="00ED7E54">
        <w:t>e</w:t>
      </w:r>
      <w:r w:rsidRPr="0000611B">
        <w:t xml:space="preserve"> d’Ouvrage de l’opération</w:t>
      </w:r>
    </w:p>
    <w:p w14:paraId="7B34A4D7" w14:textId="77777777" w:rsidR="00841582" w:rsidRPr="0000611B" w:rsidRDefault="00841582" w:rsidP="00841582">
      <w:r w:rsidRPr="0000611B">
        <w:t>déclare que l’entreprise</w:t>
      </w:r>
      <w:r>
        <w:t xml:space="preserve"> </w:t>
      </w:r>
      <w:sdt>
        <w:sdtPr>
          <w:id w:val="465636238"/>
          <w:placeholder>
            <w:docPart w:val="BC96BE83A9C846FEAD2A85F1AF4B4BBF"/>
          </w:placeholder>
          <w:text/>
        </w:sdtPr>
        <w:sdtEndPr/>
        <w:sdtContent>
          <w:r>
            <w:t>…………………………………………………………….</w:t>
          </w:r>
        </w:sdtContent>
      </w:sdt>
      <w:r w:rsidRPr="0000611B">
        <w:tab/>
      </w:r>
    </w:p>
    <w:p w14:paraId="2DA4D7C6" w14:textId="77777777" w:rsidR="00841582" w:rsidRPr="0000611B" w:rsidRDefault="00841582" w:rsidP="00841582">
      <w:r w:rsidRPr="0000611B">
        <w:t>représentée par M</w:t>
      </w:r>
      <w:r>
        <w:t xml:space="preserve"> </w:t>
      </w:r>
      <w:sdt>
        <w:sdtPr>
          <w:id w:val="-1540125246"/>
          <w:placeholder>
            <w:docPart w:val="BC96BE83A9C846FEAD2A85F1AF4B4BBF"/>
          </w:placeholder>
          <w:text/>
        </w:sdtPr>
        <w:sdtEndPr/>
        <w:sdtContent>
          <w:r>
            <w:t>……………………………………………………………………..</w:t>
          </w:r>
        </w:sdtContent>
      </w:sdt>
      <w:r w:rsidRPr="0000611B">
        <w:tab/>
      </w:r>
    </w:p>
    <w:p w14:paraId="27F69096" w14:textId="77777777" w:rsidR="00841582" w:rsidRPr="0000611B" w:rsidRDefault="00841582" w:rsidP="00841582">
      <w:r w:rsidRPr="0000611B">
        <w:t xml:space="preserve">a visité le </w:t>
      </w:r>
      <w:sdt>
        <w:sdtPr>
          <w:id w:val="1724794517"/>
          <w:placeholder>
            <w:docPart w:val="822F9FA3EF1647B192E618C388F7CE41"/>
          </w:placeholder>
          <w:date>
            <w:dateFormat w:val="dd/MM/yyyy"/>
            <w:lid w:val="fr-FR"/>
            <w:storeMappedDataAs w:val="dateTime"/>
            <w:calendar w:val="gregorian"/>
          </w:date>
        </w:sdtPr>
        <w:sdtEndPr/>
        <w:sdtContent>
          <w:r>
            <w:t>…………………………………………..</w:t>
          </w:r>
        </w:sdtContent>
      </w:sdt>
      <w:r w:rsidRPr="0000611B">
        <w:t xml:space="preserve"> les sites et les installations objets du marché suivant :</w:t>
      </w:r>
    </w:p>
    <w:p w14:paraId="533CEA2F" w14:textId="77777777" w:rsidR="00ED7E54" w:rsidRDefault="00ED7E54" w:rsidP="00841582">
      <w:pPr>
        <w:jc w:val="center"/>
        <w:rPr>
          <w:b/>
          <w:bCs/>
          <w:sz w:val="28"/>
          <w:szCs w:val="28"/>
          <w:highlight w:val="yellow"/>
        </w:rPr>
      </w:pPr>
      <w:r w:rsidRPr="00ED7E54">
        <w:rPr>
          <w:b/>
          <w:bCs/>
          <w:sz w:val="28"/>
          <w:szCs w:val="28"/>
        </w:rPr>
        <w:t>Marché d’Exploitation des installations thermiques du GCS BLN</w:t>
      </w:r>
      <w:r w:rsidRPr="00ED7E54">
        <w:rPr>
          <w:b/>
          <w:bCs/>
          <w:sz w:val="28"/>
          <w:szCs w:val="28"/>
          <w:highlight w:val="yellow"/>
        </w:rPr>
        <w:t xml:space="preserve"> </w:t>
      </w:r>
    </w:p>
    <w:p w14:paraId="0BBBE02B" w14:textId="06E3DB72" w:rsidR="00841582" w:rsidRPr="0000611B" w:rsidRDefault="00841582" w:rsidP="00841582">
      <w:pPr>
        <w:jc w:val="right"/>
      </w:pPr>
      <w:r w:rsidRPr="0000611B">
        <w:t xml:space="preserve">Fait en </w:t>
      </w:r>
      <w:r w:rsidR="00ED7E54">
        <w:t>1</w:t>
      </w:r>
      <w:r w:rsidRPr="0000611B">
        <w:t xml:space="preserve"> exemplaire à </w:t>
      </w:r>
      <w:sdt>
        <w:sdtPr>
          <w:id w:val="-2075343847"/>
          <w:placeholder>
            <w:docPart w:val="BC96BE83A9C846FEAD2A85F1AF4B4BBF"/>
          </w:placeholder>
          <w:text/>
        </w:sdtPr>
        <w:sdtEndPr/>
        <w:sdtContent>
          <w:r>
            <w:t>…………………………………..</w:t>
          </w:r>
        </w:sdtContent>
      </w:sdt>
      <w:r w:rsidRPr="0000611B">
        <w:t xml:space="preserve">, le </w:t>
      </w:r>
      <w:sdt>
        <w:sdtPr>
          <w:id w:val="-1062861659"/>
          <w:placeholder>
            <w:docPart w:val="822F9FA3EF1647B192E618C388F7CE41"/>
          </w:placeholder>
          <w:date>
            <w:dateFormat w:val="dd/MM/yyyy"/>
            <w:lid w:val="fr-FR"/>
            <w:storeMappedDataAs w:val="dateTime"/>
            <w:calendar w:val="gregorian"/>
          </w:date>
        </w:sdtPr>
        <w:sdtEndPr/>
        <w:sdtContent>
          <w:r>
            <w:t>……………………………………..</w:t>
          </w:r>
        </w:sdtContent>
      </w:sdt>
    </w:p>
    <w:p w14:paraId="41939BA7" w14:textId="77777777" w:rsidR="00841582" w:rsidRDefault="00841582" w:rsidP="00841582"/>
    <w:p w14:paraId="1198670D" w14:textId="77777777" w:rsidR="00ED7E54" w:rsidRDefault="00ED7E54" w:rsidP="00841582"/>
    <w:p w14:paraId="4C7A93B5" w14:textId="77777777" w:rsidR="00ED7E54" w:rsidRDefault="00ED7E54" w:rsidP="00841582"/>
    <w:p w14:paraId="214AB302" w14:textId="77777777" w:rsidR="00ED7E54" w:rsidRDefault="00ED7E54" w:rsidP="00841582"/>
    <w:p w14:paraId="389D2DE2" w14:textId="77777777" w:rsidR="00ED7E54" w:rsidRDefault="00ED7E54" w:rsidP="00841582"/>
    <w:p w14:paraId="7B67BA0C" w14:textId="77777777" w:rsidR="00ED7E54" w:rsidRPr="0000611B" w:rsidRDefault="00ED7E54" w:rsidP="00841582"/>
    <w:p w14:paraId="56C71AD3" w14:textId="77777777" w:rsidR="00841582" w:rsidRPr="00E0639A" w:rsidRDefault="00841582" w:rsidP="00841582">
      <w:pPr>
        <w:jc w:val="left"/>
        <w:rPr>
          <w:b/>
          <w:bCs/>
        </w:rPr>
      </w:pPr>
      <w:r w:rsidRPr="00E0639A">
        <w:rPr>
          <w:b/>
          <w:bCs/>
        </w:rPr>
        <w:t xml:space="preserve">Le candidat reconnait avoir eu accès aux installations qu’il souhaitait visiter pour réaliser ses chiffrages </w:t>
      </w:r>
    </w:p>
    <w:p w14:paraId="2F5D0398" w14:textId="77777777" w:rsidR="00841582" w:rsidRPr="00E0639A" w:rsidRDefault="00841582" w:rsidP="00841582">
      <w:pPr>
        <w:ind w:left="4253"/>
        <w:jc w:val="center"/>
        <w:rPr>
          <w:b/>
          <w:bCs/>
        </w:rPr>
      </w:pPr>
      <w:r w:rsidRPr="00E0639A">
        <w:rPr>
          <w:b/>
          <w:bCs/>
        </w:rPr>
        <w:t>Le candidat</w:t>
      </w:r>
    </w:p>
    <w:p w14:paraId="0D59713D" w14:textId="77777777" w:rsidR="0000611B" w:rsidRPr="0000611B" w:rsidRDefault="0000611B" w:rsidP="003D35BB"/>
    <w:p w14:paraId="3B59E4C9" w14:textId="77777777" w:rsidR="0000611B" w:rsidRPr="0000611B" w:rsidRDefault="0000611B" w:rsidP="003D35BB"/>
    <w:p w14:paraId="02AAD2A2" w14:textId="77777777" w:rsidR="00EC16A9" w:rsidRDefault="00EC16A9" w:rsidP="003D35BB"/>
    <w:sectPr w:rsidR="00EC16A9" w:rsidSect="00110571">
      <w:headerReference w:type="default" r:id="rId14"/>
      <w:footerReference w:type="default" r:id="rId15"/>
      <w:pgSz w:w="11907" w:h="16840" w:code="9"/>
      <w:pgMar w:top="1134" w:right="1418" w:bottom="1134" w:left="1418" w:header="624" w:footer="6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10F4" w14:textId="77777777" w:rsidR="007A492B" w:rsidRDefault="007A492B" w:rsidP="003D35BB">
      <w:r>
        <w:separator/>
      </w:r>
    </w:p>
  </w:endnote>
  <w:endnote w:type="continuationSeparator" w:id="0">
    <w:p w14:paraId="47161745" w14:textId="77777777" w:rsidR="007A492B" w:rsidRDefault="007A492B" w:rsidP="003D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pprplGoth BT">
    <w:altName w:val="Arial"/>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6245" w14:textId="77777777" w:rsidR="006444A7" w:rsidRDefault="006444A7" w:rsidP="003D35BB">
    <w:pPr>
      <w:pStyle w:val="Pieddepage"/>
    </w:pPr>
    <w:r>
      <w:t>_________________________________________________________________________________________</w:t>
    </w:r>
  </w:p>
  <w:p w14:paraId="2FD9C583" w14:textId="77777777" w:rsidR="006444A7" w:rsidRPr="0018742C" w:rsidRDefault="006444A7" w:rsidP="0069079D">
    <w:r w:rsidRPr="0018742C">
      <w:t xml:space="preserve">                                     Règlement de Consultation - RC      </w:t>
    </w:r>
    <w:r w:rsidRPr="0018742C">
      <w:rPr>
        <w:b/>
        <w:color w:val="FF0000"/>
      </w:rPr>
      <w:t xml:space="preserve"> </w:t>
    </w:r>
    <w:r w:rsidRPr="0018742C">
      <w:rPr>
        <w:b/>
        <w:color w:val="FF0000"/>
      </w:rPr>
      <w:tab/>
    </w:r>
    <w:r w:rsidRPr="0018742C">
      <w:t xml:space="preserve">                         page </w:t>
    </w:r>
    <w:r w:rsidRPr="0018742C">
      <w:rPr>
        <w:rStyle w:val="Numrodepage"/>
        <w:rFonts w:ascii="Arial" w:hAnsi="Arial" w:cs="Arial"/>
        <w:color w:val="808080"/>
      </w:rPr>
      <w:fldChar w:fldCharType="begin"/>
    </w:r>
    <w:r w:rsidRPr="0018742C">
      <w:rPr>
        <w:rStyle w:val="Numrodepage"/>
        <w:rFonts w:ascii="Arial" w:hAnsi="Arial" w:cs="Arial"/>
        <w:color w:val="808080"/>
      </w:rPr>
      <w:instrText xml:space="preserve"> PAGE </w:instrText>
    </w:r>
    <w:r w:rsidRPr="0018742C">
      <w:rPr>
        <w:rStyle w:val="Numrodepage"/>
        <w:rFonts w:ascii="Arial" w:hAnsi="Arial" w:cs="Arial"/>
        <w:color w:val="808080"/>
      </w:rPr>
      <w:fldChar w:fldCharType="separate"/>
    </w:r>
    <w:r>
      <w:rPr>
        <w:rStyle w:val="Numrodepage"/>
        <w:rFonts w:ascii="Arial" w:hAnsi="Arial" w:cs="Arial"/>
        <w:noProof/>
        <w:color w:val="808080"/>
      </w:rPr>
      <w:t>14</w:t>
    </w:r>
    <w:r w:rsidRPr="0018742C">
      <w:rPr>
        <w:rStyle w:val="Numrodepage"/>
        <w:rFonts w:ascii="Arial" w:hAnsi="Arial" w:cs="Arial"/>
        <w:color w:val="808080"/>
      </w:rPr>
      <w:fldChar w:fldCharType="end"/>
    </w:r>
    <w:r w:rsidRPr="0018742C">
      <w:rPr>
        <w:rStyle w:val="Numrodepage"/>
        <w:rFonts w:ascii="Arial" w:hAnsi="Arial" w:cs="Arial"/>
        <w:color w:val="808080"/>
      </w:rPr>
      <w:t xml:space="preserve"> / </w:t>
    </w:r>
    <w:r w:rsidRPr="0018742C">
      <w:rPr>
        <w:rStyle w:val="Numrodepage"/>
        <w:rFonts w:ascii="Arial" w:hAnsi="Arial" w:cs="Arial"/>
        <w:color w:val="808080"/>
      </w:rPr>
      <w:fldChar w:fldCharType="begin"/>
    </w:r>
    <w:r w:rsidRPr="0018742C">
      <w:rPr>
        <w:rStyle w:val="Numrodepage"/>
        <w:rFonts w:ascii="Arial" w:hAnsi="Arial" w:cs="Arial"/>
        <w:color w:val="808080"/>
      </w:rPr>
      <w:instrText xml:space="preserve"> NUMPAGES </w:instrText>
    </w:r>
    <w:r w:rsidRPr="0018742C">
      <w:rPr>
        <w:rStyle w:val="Numrodepage"/>
        <w:rFonts w:ascii="Arial" w:hAnsi="Arial" w:cs="Arial"/>
        <w:color w:val="808080"/>
      </w:rPr>
      <w:fldChar w:fldCharType="separate"/>
    </w:r>
    <w:r>
      <w:rPr>
        <w:rStyle w:val="Numrodepage"/>
        <w:rFonts w:ascii="Arial" w:hAnsi="Arial" w:cs="Arial"/>
        <w:noProof/>
        <w:color w:val="808080"/>
      </w:rPr>
      <w:t>14</w:t>
    </w:r>
    <w:r w:rsidRPr="0018742C">
      <w:rPr>
        <w:rStyle w:val="Numrodepage"/>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BB198" w14:textId="77777777" w:rsidR="007A492B" w:rsidRDefault="007A492B" w:rsidP="003D35BB">
      <w:r>
        <w:separator/>
      </w:r>
    </w:p>
  </w:footnote>
  <w:footnote w:type="continuationSeparator" w:id="0">
    <w:p w14:paraId="39CFF707" w14:textId="77777777" w:rsidR="007A492B" w:rsidRDefault="007A492B" w:rsidP="003D3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D612" w14:textId="7DFD3C16" w:rsidR="006444A7" w:rsidRDefault="006444A7" w:rsidP="00145EC4">
    <w:pPr>
      <w:spacing w:before="0" w:after="0"/>
    </w:pPr>
    <w:bookmarkStart w:id="89" w:name="_Hlk500938071"/>
    <w:r>
      <w:tab/>
    </w:r>
    <w:r w:rsidR="00145EC4">
      <w:t xml:space="preserve">                                                  </w:t>
    </w:r>
    <w:bookmarkEnd w:id="89"/>
    <w:r w:rsidR="00DE1FFB" w:rsidRPr="00DE1FFB">
      <w:t>Marché d’Exploitation des installations thermiques du GCS BLN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41004"/>
    <w:multiLevelType w:val="hybridMultilevel"/>
    <w:tmpl w:val="38BAA13E"/>
    <w:lvl w:ilvl="0" w:tplc="12FA64C4">
      <w:numFmt w:val="bullet"/>
      <w:lvlText w:val=""/>
      <w:lvlJc w:val="left"/>
      <w:pPr>
        <w:tabs>
          <w:tab w:val="num" w:pos="1004"/>
        </w:tabs>
        <w:ind w:left="1004" w:hanging="360"/>
      </w:pPr>
      <w:rPr>
        <w:rFonts w:ascii="Wingdings" w:eastAsia="Times New Roman" w:hAnsi="Wingdings" w:cs="Times New Roman"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41942C6"/>
    <w:multiLevelType w:val="hybridMultilevel"/>
    <w:tmpl w:val="CFCC537E"/>
    <w:lvl w:ilvl="0" w:tplc="12FA64C4">
      <w:numFmt w:val="bullet"/>
      <w:lvlText w:val=""/>
      <w:lvlJc w:val="left"/>
      <w:pPr>
        <w:ind w:left="1440" w:hanging="360"/>
      </w:pPr>
      <w:rPr>
        <w:rFonts w:ascii="Wingdings" w:eastAsia="Times New Roman" w:hAnsi="Wingdings"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6AB4492"/>
    <w:multiLevelType w:val="hybridMultilevel"/>
    <w:tmpl w:val="B7A279B0"/>
    <w:lvl w:ilvl="0" w:tplc="CD9A453E">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EB50C7"/>
    <w:multiLevelType w:val="hybridMultilevel"/>
    <w:tmpl w:val="BAEED8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9013CDF"/>
    <w:multiLevelType w:val="hybridMultilevel"/>
    <w:tmpl w:val="0374F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3263E2"/>
    <w:multiLevelType w:val="hybridMultilevel"/>
    <w:tmpl w:val="357C3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224B43"/>
    <w:multiLevelType w:val="multilevel"/>
    <w:tmpl w:val="F842B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721526"/>
    <w:multiLevelType w:val="singleLevel"/>
    <w:tmpl w:val="CFE287C8"/>
    <w:lvl w:ilvl="0">
      <w:numFmt w:val="bullet"/>
      <w:lvlText w:val=""/>
      <w:lvlJc w:val="left"/>
      <w:pPr>
        <w:tabs>
          <w:tab w:val="num" w:pos="930"/>
        </w:tabs>
        <w:ind w:left="930" w:hanging="360"/>
      </w:pPr>
      <w:rPr>
        <w:rFonts w:ascii="Symbol" w:hAnsi="Symbol" w:hint="default"/>
      </w:rPr>
    </w:lvl>
  </w:abstractNum>
  <w:abstractNum w:abstractNumId="8" w15:restartNumberingAfterBreak="0">
    <w:nsid w:val="358625B0"/>
    <w:multiLevelType w:val="hybridMultilevel"/>
    <w:tmpl w:val="0408E11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353"/>
        </w:tabs>
        <w:ind w:left="1353"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F001F8"/>
    <w:multiLevelType w:val="hybridMultilevel"/>
    <w:tmpl w:val="705032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677F3C"/>
    <w:multiLevelType w:val="hybridMultilevel"/>
    <w:tmpl w:val="F4BEAED2"/>
    <w:lvl w:ilvl="0" w:tplc="040C0003">
      <w:start w:val="1"/>
      <w:numFmt w:val="bullet"/>
      <w:lvlText w:val="o"/>
      <w:lvlJc w:val="left"/>
      <w:pPr>
        <w:tabs>
          <w:tab w:val="num" w:pos="1353"/>
        </w:tabs>
        <w:ind w:left="1353"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EC011D"/>
    <w:multiLevelType w:val="hybridMultilevel"/>
    <w:tmpl w:val="32962EC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FD3812F8">
      <w:numFmt w:val="bullet"/>
      <w:lvlText w:val="-"/>
      <w:lvlJc w:val="left"/>
      <w:pPr>
        <w:ind w:left="2160" w:hanging="360"/>
      </w:pPr>
      <w:rPr>
        <w:rFonts w:ascii="Cambria" w:eastAsiaTheme="minorHAnsi" w:hAnsi="Cambria" w:cstheme="minorBidi"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C14DAF"/>
    <w:multiLevelType w:val="hybridMultilevel"/>
    <w:tmpl w:val="24E496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F23EAB"/>
    <w:multiLevelType w:val="multilevel"/>
    <w:tmpl w:val="B7A850AE"/>
    <w:lvl w:ilvl="0">
      <w:numFmt w:val="bullet"/>
      <w:lvlText w:val="·"/>
      <w:lvlJc w:val="left"/>
      <w:pPr>
        <w:tabs>
          <w:tab w:val="left" w:pos="216"/>
        </w:tabs>
      </w:pPr>
      <w:rPr>
        <w:rFonts w:ascii="Symbol" w:eastAsia="Symbol" w:hAnsi="Symbol"/>
        <w:color w:val="000000"/>
        <w:spacing w:val="-1"/>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A501BE"/>
    <w:multiLevelType w:val="multilevel"/>
    <w:tmpl w:val="E4E828B2"/>
    <w:lvl w:ilvl="0">
      <w:numFmt w:val="bullet"/>
      <w:lvlText w:val="·"/>
      <w:lvlJc w:val="left"/>
      <w:pPr>
        <w:tabs>
          <w:tab w:val="left" w:pos="216"/>
        </w:tabs>
      </w:pPr>
      <w:rPr>
        <w:rFonts w:ascii="Symbol" w:eastAsia="Symbol" w:hAnsi="Symbol"/>
        <w:b/>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4701FC"/>
    <w:multiLevelType w:val="hybridMultilevel"/>
    <w:tmpl w:val="8C38DCC4"/>
    <w:lvl w:ilvl="0" w:tplc="12FA64C4">
      <w:numFmt w:val="bullet"/>
      <w:lvlText w:val=""/>
      <w:lvlJc w:val="left"/>
      <w:pPr>
        <w:tabs>
          <w:tab w:val="num" w:pos="1004"/>
        </w:tabs>
        <w:ind w:left="1004" w:hanging="360"/>
      </w:pPr>
      <w:rPr>
        <w:rFonts w:ascii="Wingdings" w:eastAsia="Times New Roman" w:hAnsi="Wingdings" w:cs="Times New Roman"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CD9A453E">
      <w:numFmt w:val="bullet"/>
      <w:lvlText w:val="•"/>
      <w:lvlJc w:val="left"/>
      <w:pPr>
        <w:ind w:left="2794" w:hanging="710"/>
      </w:pPr>
      <w:rPr>
        <w:rFonts w:ascii="Cambria" w:eastAsiaTheme="minorHAnsi" w:hAnsi="Cambria" w:cstheme="minorBidi"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454C460A"/>
    <w:multiLevelType w:val="hybridMultilevel"/>
    <w:tmpl w:val="3D74D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D67715"/>
    <w:multiLevelType w:val="hybridMultilevel"/>
    <w:tmpl w:val="7F0A07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65436A8"/>
    <w:multiLevelType w:val="multilevel"/>
    <w:tmpl w:val="EE84BF5E"/>
    <w:lvl w:ilvl="0">
      <w:numFmt w:val="bullet"/>
      <w:lvlText w:val="o"/>
      <w:lvlJc w:val="left"/>
      <w:pPr>
        <w:tabs>
          <w:tab w:val="left" w:pos="360"/>
        </w:tabs>
      </w:pPr>
      <w:rPr>
        <w:rFonts w:ascii="Courier New" w:eastAsia="Courier New" w:hAnsi="Courier New"/>
        <w:color w:val="000000"/>
        <w:spacing w:val="0"/>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0A6CA3"/>
    <w:multiLevelType w:val="hybridMultilevel"/>
    <w:tmpl w:val="E2A8DE06"/>
    <w:lvl w:ilvl="0" w:tplc="12FA64C4">
      <w:numFmt w:val="bullet"/>
      <w:lvlText w:val=""/>
      <w:lvlJc w:val="left"/>
      <w:pPr>
        <w:tabs>
          <w:tab w:val="num" w:pos="1004"/>
        </w:tabs>
        <w:ind w:left="1004" w:hanging="360"/>
      </w:pPr>
      <w:rPr>
        <w:rFonts w:ascii="Wingdings" w:eastAsia="Times New Roman" w:hAnsi="Wingdings" w:cs="Times New Roman"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75A5A1A"/>
    <w:multiLevelType w:val="hybridMultilevel"/>
    <w:tmpl w:val="D4D22132"/>
    <w:lvl w:ilvl="0" w:tplc="12FA64C4">
      <w:numFmt w:val="bullet"/>
      <w:lvlText w:val=""/>
      <w:lvlJc w:val="left"/>
      <w:pPr>
        <w:ind w:left="1728" w:hanging="360"/>
      </w:pPr>
      <w:rPr>
        <w:rFonts w:ascii="Wingdings" w:eastAsia="Times New Roman" w:hAnsi="Wingdings" w:cs="Times New Roman" w:hint="default"/>
      </w:rPr>
    </w:lvl>
    <w:lvl w:ilvl="1" w:tplc="040C0003" w:tentative="1">
      <w:start w:val="1"/>
      <w:numFmt w:val="bullet"/>
      <w:lvlText w:val="o"/>
      <w:lvlJc w:val="left"/>
      <w:pPr>
        <w:ind w:left="2448" w:hanging="360"/>
      </w:pPr>
      <w:rPr>
        <w:rFonts w:ascii="Courier New" w:hAnsi="Courier New" w:cs="Courier New" w:hint="default"/>
      </w:rPr>
    </w:lvl>
    <w:lvl w:ilvl="2" w:tplc="040C0005" w:tentative="1">
      <w:start w:val="1"/>
      <w:numFmt w:val="bullet"/>
      <w:lvlText w:val=""/>
      <w:lvlJc w:val="left"/>
      <w:pPr>
        <w:ind w:left="3168" w:hanging="360"/>
      </w:pPr>
      <w:rPr>
        <w:rFonts w:ascii="Wingdings" w:hAnsi="Wingdings" w:hint="default"/>
      </w:rPr>
    </w:lvl>
    <w:lvl w:ilvl="3" w:tplc="040C0001" w:tentative="1">
      <w:start w:val="1"/>
      <w:numFmt w:val="bullet"/>
      <w:lvlText w:val=""/>
      <w:lvlJc w:val="left"/>
      <w:pPr>
        <w:ind w:left="3888" w:hanging="360"/>
      </w:pPr>
      <w:rPr>
        <w:rFonts w:ascii="Symbol" w:hAnsi="Symbol" w:hint="default"/>
      </w:rPr>
    </w:lvl>
    <w:lvl w:ilvl="4" w:tplc="040C0003" w:tentative="1">
      <w:start w:val="1"/>
      <w:numFmt w:val="bullet"/>
      <w:lvlText w:val="o"/>
      <w:lvlJc w:val="left"/>
      <w:pPr>
        <w:ind w:left="4608" w:hanging="360"/>
      </w:pPr>
      <w:rPr>
        <w:rFonts w:ascii="Courier New" w:hAnsi="Courier New" w:cs="Courier New" w:hint="default"/>
      </w:rPr>
    </w:lvl>
    <w:lvl w:ilvl="5" w:tplc="040C0005" w:tentative="1">
      <w:start w:val="1"/>
      <w:numFmt w:val="bullet"/>
      <w:lvlText w:val=""/>
      <w:lvlJc w:val="left"/>
      <w:pPr>
        <w:ind w:left="5328" w:hanging="360"/>
      </w:pPr>
      <w:rPr>
        <w:rFonts w:ascii="Wingdings" w:hAnsi="Wingdings" w:hint="default"/>
      </w:rPr>
    </w:lvl>
    <w:lvl w:ilvl="6" w:tplc="040C0001" w:tentative="1">
      <w:start w:val="1"/>
      <w:numFmt w:val="bullet"/>
      <w:lvlText w:val=""/>
      <w:lvlJc w:val="left"/>
      <w:pPr>
        <w:ind w:left="6048" w:hanging="360"/>
      </w:pPr>
      <w:rPr>
        <w:rFonts w:ascii="Symbol" w:hAnsi="Symbol" w:hint="default"/>
      </w:rPr>
    </w:lvl>
    <w:lvl w:ilvl="7" w:tplc="040C0003" w:tentative="1">
      <w:start w:val="1"/>
      <w:numFmt w:val="bullet"/>
      <w:lvlText w:val="o"/>
      <w:lvlJc w:val="left"/>
      <w:pPr>
        <w:ind w:left="6768" w:hanging="360"/>
      </w:pPr>
      <w:rPr>
        <w:rFonts w:ascii="Courier New" w:hAnsi="Courier New" w:cs="Courier New" w:hint="default"/>
      </w:rPr>
    </w:lvl>
    <w:lvl w:ilvl="8" w:tplc="040C0005" w:tentative="1">
      <w:start w:val="1"/>
      <w:numFmt w:val="bullet"/>
      <w:lvlText w:val=""/>
      <w:lvlJc w:val="left"/>
      <w:pPr>
        <w:ind w:left="7488" w:hanging="360"/>
      </w:pPr>
      <w:rPr>
        <w:rFonts w:ascii="Wingdings" w:hAnsi="Wingdings" w:hint="default"/>
      </w:rPr>
    </w:lvl>
  </w:abstractNum>
  <w:abstractNum w:abstractNumId="21" w15:restartNumberingAfterBreak="0">
    <w:nsid w:val="57B91430"/>
    <w:multiLevelType w:val="hybridMultilevel"/>
    <w:tmpl w:val="56E4CC36"/>
    <w:lvl w:ilvl="0" w:tplc="CD9A453E">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D5476E"/>
    <w:multiLevelType w:val="hybridMultilevel"/>
    <w:tmpl w:val="7D2223A0"/>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2E06746"/>
    <w:multiLevelType w:val="hybridMultilevel"/>
    <w:tmpl w:val="88164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3B2AB3"/>
    <w:multiLevelType w:val="hybridMultilevel"/>
    <w:tmpl w:val="AAF89084"/>
    <w:lvl w:ilvl="0" w:tplc="12FA64C4">
      <w:numFmt w:val="bullet"/>
      <w:lvlText w:val=""/>
      <w:lvlJc w:val="left"/>
      <w:pPr>
        <w:ind w:left="1152" w:hanging="360"/>
      </w:pPr>
      <w:rPr>
        <w:rFonts w:ascii="Wingdings" w:eastAsia="Times New Roman" w:hAnsi="Wingdings" w:cs="Times New Roman"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5" w15:restartNumberingAfterBreak="0">
    <w:nsid w:val="68F30791"/>
    <w:multiLevelType w:val="hybridMultilevel"/>
    <w:tmpl w:val="F5EC2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3A74C8"/>
    <w:multiLevelType w:val="hybridMultilevel"/>
    <w:tmpl w:val="B81ED380"/>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7" w15:restartNumberingAfterBreak="0">
    <w:nsid w:val="7304239A"/>
    <w:multiLevelType w:val="hybridMultilevel"/>
    <w:tmpl w:val="2C32DED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77ED1FC4"/>
    <w:multiLevelType w:val="multilevel"/>
    <w:tmpl w:val="C554D998"/>
    <w:lvl w:ilvl="0">
      <w:numFmt w:val="bullet"/>
      <w:lvlText w:val="o"/>
      <w:lvlJc w:val="left"/>
      <w:pPr>
        <w:tabs>
          <w:tab w:val="left" w:pos="216"/>
        </w:tabs>
      </w:pPr>
      <w:rPr>
        <w:rFonts w:ascii="Courier New" w:eastAsia="Courier New" w:hAnsi="Courier New"/>
        <w:color w:val="000000"/>
        <w:spacing w:val="0"/>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3A7BAA"/>
    <w:multiLevelType w:val="hybridMultilevel"/>
    <w:tmpl w:val="E5A8FD7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8"/>
  </w:num>
  <w:num w:numId="4">
    <w:abstractNumId w:val="16"/>
  </w:num>
  <w:num w:numId="5">
    <w:abstractNumId w:val="11"/>
  </w:num>
  <w:num w:numId="6">
    <w:abstractNumId w:val="5"/>
  </w:num>
  <w:num w:numId="7">
    <w:abstractNumId w:val="4"/>
  </w:num>
  <w:num w:numId="8">
    <w:abstractNumId w:val="18"/>
  </w:num>
  <w:num w:numId="9">
    <w:abstractNumId w:val="28"/>
  </w:num>
  <w:num w:numId="10">
    <w:abstractNumId w:val="9"/>
  </w:num>
  <w:num w:numId="11">
    <w:abstractNumId w:val="19"/>
  </w:num>
  <w:num w:numId="12">
    <w:abstractNumId w:val="0"/>
  </w:num>
  <w:num w:numId="13">
    <w:abstractNumId w:val="15"/>
  </w:num>
  <w:num w:numId="14">
    <w:abstractNumId w:val="13"/>
  </w:num>
  <w:num w:numId="15">
    <w:abstractNumId w:val="14"/>
  </w:num>
  <w:num w:numId="16">
    <w:abstractNumId w:val="20"/>
  </w:num>
  <w:num w:numId="17">
    <w:abstractNumId w:val="1"/>
  </w:num>
  <w:num w:numId="18">
    <w:abstractNumId w:val="24"/>
  </w:num>
  <w:num w:numId="19">
    <w:abstractNumId w:val="26"/>
  </w:num>
  <w:num w:numId="20">
    <w:abstractNumId w:val="17"/>
  </w:num>
  <w:num w:numId="21">
    <w:abstractNumId w:val="10"/>
  </w:num>
  <w:num w:numId="22">
    <w:abstractNumId w:val="29"/>
  </w:num>
  <w:num w:numId="23">
    <w:abstractNumId w:val="27"/>
  </w:num>
  <w:num w:numId="24">
    <w:abstractNumId w:val="3"/>
  </w:num>
  <w:num w:numId="25">
    <w:abstractNumId w:val="21"/>
  </w:num>
  <w:num w:numId="26">
    <w:abstractNumId w:val="2"/>
  </w:num>
  <w:num w:numId="27">
    <w:abstractNumId w:val="12"/>
  </w:num>
  <w:num w:numId="28">
    <w:abstractNumId w:val="25"/>
  </w:num>
  <w:num w:numId="29">
    <w:abstractNumId w:val="2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11B"/>
    <w:rsid w:val="0000611B"/>
    <w:rsid w:val="00014487"/>
    <w:rsid w:val="000A2352"/>
    <w:rsid w:val="00103CA8"/>
    <w:rsid w:val="00110571"/>
    <w:rsid w:val="00113754"/>
    <w:rsid w:val="001302FB"/>
    <w:rsid w:val="00145EC4"/>
    <w:rsid w:val="00170B3C"/>
    <w:rsid w:val="001A33CC"/>
    <w:rsid w:val="001C4FC9"/>
    <w:rsid w:val="00213479"/>
    <w:rsid w:val="002E5EA8"/>
    <w:rsid w:val="00301318"/>
    <w:rsid w:val="003104D9"/>
    <w:rsid w:val="00336939"/>
    <w:rsid w:val="0034254E"/>
    <w:rsid w:val="00356D26"/>
    <w:rsid w:val="00362FA1"/>
    <w:rsid w:val="003807FD"/>
    <w:rsid w:val="003B1022"/>
    <w:rsid w:val="003B6716"/>
    <w:rsid w:val="003D35BB"/>
    <w:rsid w:val="003D7E05"/>
    <w:rsid w:val="003F6C18"/>
    <w:rsid w:val="00442CB1"/>
    <w:rsid w:val="00467959"/>
    <w:rsid w:val="00483313"/>
    <w:rsid w:val="00483D66"/>
    <w:rsid w:val="00540131"/>
    <w:rsid w:val="005447E5"/>
    <w:rsid w:val="00587683"/>
    <w:rsid w:val="005C0E6C"/>
    <w:rsid w:val="005C40DE"/>
    <w:rsid w:val="005F3DBA"/>
    <w:rsid w:val="005F6707"/>
    <w:rsid w:val="00632FD8"/>
    <w:rsid w:val="006444A7"/>
    <w:rsid w:val="00657CE1"/>
    <w:rsid w:val="0069079D"/>
    <w:rsid w:val="00707470"/>
    <w:rsid w:val="007224BF"/>
    <w:rsid w:val="00742050"/>
    <w:rsid w:val="00766847"/>
    <w:rsid w:val="007726ED"/>
    <w:rsid w:val="007A492B"/>
    <w:rsid w:val="00841582"/>
    <w:rsid w:val="008600F3"/>
    <w:rsid w:val="008B4AF1"/>
    <w:rsid w:val="008F344C"/>
    <w:rsid w:val="00A509DF"/>
    <w:rsid w:val="00A94F8E"/>
    <w:rsid w:val="00AA121F"/>
    <w:rsid w:val="00AA591B"/>
    <w:rsid w:val="00B5269B"/>
    <w:rsid w:val="00B6444D"/>
    <w:rsid w:val="00C34A03"/>
    <w:rsid w:val="00C3676F"/>
    <w:rsid w:val="00C55800"/>
    <w:rsid w:val="00C86610"/>
    <w:rsid w:val="00CD2EEF"/>
    <w:rsid w:val="00D330BF"/>
    <w:rsid w:val="00D57DAB"/>
    <w:rsid w:val="00DB3946"/>
    <w:rsid w:val="00DE1FFB"/>
    <w:rsid w:val="00DF3CFC"/>
    <w:rsid w:val="00E0639A"/>
    <w:rsid w:val="00E4267D"/>
    <w:rsid w:val="00E50D97"/>
    <w:rsid w:val="00E75ED0"/>
    <w:rsid w:val="00EB111F"/>
    <w:rsid w:val="00EC16A9"/>
    <w:rsid w:val="00ED0316"/>
    <w:rsid w:val="00ED7E54"/>
    <w:rsid w:val="00F91DF2"/>
    <w:rsid w:val="00FB067A"/>
    <w:rsid w:val="00FC4BE6"/>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C02C7F8"/>
  <w15:chartTrackingRefBased/>
  <w15:docId w15:val="{6E3057E2-36D8-4644-8214-838966908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5BB"/>
    <w:pPr>
      <w:spacing w:before="240"/>
      <w:jc w:val="both"/>
    </w:pPr>
  </w:style>
  <w:style w:type="paragraph" w:styleId="Titre1">
    <w:name w:val="heading 1"/>
    <w:basedOn w:val="Normal"/>
    <w:next w:val="Normal"/>
    <w:link w:val="Titre1Car"/>
    <w:uiPriority w:val="9"/>
    <w:qFormat/>
    <w:rsid w:val="0000611B"/>
    <w:pPr>
      <w:keepNext/>
      <w:keepLines/>
      <w:spacing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061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F91D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F91DF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0611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00611B"/>
    <w:rPr>
      <w:rFonts w:ascii="Times New Roman" w:eastAsia="Times New Roman" w:hAnsi="Times New Roman" w:cs="Times New Roman"/>
      <w:sz w:val="20"/>
      <w:szCs w:val="20"/>
      <w:lang w:eastAsia="fr-FR"/>
    </w:rPr>
  </w:style>
  <w:style w:type="paragraph" w:styleId="Pieddepage">
    <w:name w:val="footer"/>
    <w:basedOn w:val="Normal"/>
    <w:link w:val="PieddepageCar"/>
    <w:rsid w:val="0000611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00611B"/>
    <w:rPr>
      <w:rFonts w:ascii="Times New Roman" w:eastAsia="Times New Roman" w:hAnsi="Times New Roman" w:cs="Times New Roman"/>
      <w:sz w:val="20"/>
      <w:szCs w:val="20"/>
      <w:lang w:eastAsia="fr-FR"/>
    </w:rPr>
  </w:style>
  <w:style w:type="character" w:styleId="Numrodepage">
    <w:name w:val="page number"/>
    <w:basedOn w:val="Policepardfaut"/>
    <w:rsid w:val="0000611B"/>
  </w:style>
  <w:style w:type="character" w:styleId="Lienhypertexte">
    <w:name w:val="Hyperlink"/>
    <w:basedOn w:val="Policepardfaut"/>
    <w:uiPriority w:val="99"/>
    <w:unhideWhenUsed/>
    <w:rsid w:val="0000611B"/>
    <w:rPr>
      <w:color w:val="0563C1" w:themeColor="hyperlink"/>
      <w:u w:val="single"/>
    </w:rPr>
  </w:style>
  <w:style w:type="character" w:styleId="Mentionnonrsolue">
    <w:name w:val="Unresolved Mention"/>
    <w:basedOn w:val="Policepardfaut"/>
    <w:uiPriority w:val="99"/>
    <w:semiHidden/>
    <w:unhideWhenUsed/>
    <w:rsid w:val="0000611B"/>
    <w:rPr>
      <w:color w:val="605E5C"/>
      <w:shd w:val="clear" w:color="auto" w:fill="E1DFDD"/>
    </w:rPr>
  </w:style>
  <w:style w:type="paragraph" w:styleId="Titre">
    <w:name w:val="Title"/>
    <w:basedOn w:val="Normal"/>
    <w:next w:val="Normal"/>
    <w:link w:val="TitreCar"/>
    <w:uiPriority w:val="10"/>
    <w:qFormat/>
    <w:rsid w:val="0000611B"/>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611B"/>
    <w:rPr>
      <w:rFonts w:asciiTheme="majorHAnsi" w:eastAsiaTheme="majorEastAsia" w:hAnsiTheme="majorHAnsi" w:cstheme="majorBidi"/>
      <w:spacing w:val="-10"/>
      <w:kern w:val="28"/>
      <w:sz w:val="56"/>
      <w:szCs w:val="56"/>
    </w:rPr>
  </w:style>
  <w:style w:type="paragraph" w:styleId="Paragraphedeliste">
    <w:name w:val="List Paragraph"/>
    <w:aliases w:val="Para T3,Bullet 1,texte de base,liste,LISTE BDF,Puce (niveau2),Paragraphe TS,Puce focus,Contact,calia titre 3,Tab n1,Legende,List Paragraph,6 pt paragraphe carré,TITRE 1 D2X,Style 2 paires,Titre 1 Vert foncé,Paragraphe de liste 1,R1"/>
    <w:basedOn w:val="Normal"/>
    <w:link w:val="ParagraphedelisteCar"/>
    <w:uiPriority w:val="34"/>
    <w:qFormat/>
    <w:rsid w:val="0000611B"/>
    <w:pPr>
      <w:ind w:left="720"/>
      <w:contextualSpacing/>
    </w:pPr>
  </w:style>
  <w:style w:type="character" w:customStyle="1" w:styleId="Titre1Car">
    <w:name w:val="Titre 1 Car"/>
    <w:basedOn w:val="Policepardfaut"/>
    <w:link w:val="Titre1"/>
    <w:uiPriority w:val="9"/>
    <w:rsid w:val="0000611B"/>
    <w:rPr>
      <w:rFonts w:asciiTheme="majorHAnsi" w:eastAsiaTheme="majorEastAsia" w:hAnsiTheme="majorHAnsi" w:cstheme="majorBidi"/>
      <w:color w:val="2F5496" w:themeColor="accent1" w:themeShade="BF"/>
      <w:sz w:val="32"/>
      <w:szCs w:val="32"/>
    </w:rPr>
  </w:style>
  <w:style w:type="character" w:styleId="Textedelespacerserv">
    <w:name w:val="Placeholder Text"/>
    <w:basedOn w:val="Policepardfaut"/>
    <w:uiPriority w:val="99"/>
    <w:semiHidden/>
    <w:rsid w:val="0000611B"/>
    <w:rPr>
      <w:color w:val="808080"/>
    </w:rPr>
  </w:style>
  <w:style w:type="character" w:customStyle="1" w:styleId="Titre2Car">
    <w:name w:val="Titre 2 Car"/>
    <w:basedOn w:val="Policepardfaut"/>
    <w:link w:val="Titre2"/>
    <w:uiPriority w:val="9"/>
    <w:rsid w:val="0000611B"/>
    <w:rPr>
      <w:rFonts w:asciiTheme="majorHAnsi" w:eastAsiaTheme="majorEastAsia" w:hAnsiTheme="majorHAnsi" w:cstheme="majorBidi"/>
      <w:color w:val="2F5496" w:themeColor="accent1" w:themeShade="BF"/>
      <w:sz w:val="26"/>
      <w:szCs w:val="26"/>
    </w:rPr>
  </w:style>
  <w:style w:type="paragraph" w:styleId="Sous-titre">
    <w:name w:val="Subtitle"/>
    <w:basedOn w:val="Normal"/>
    <w:next w:val="Normal"/>
    <w:link w:val="Sous-titreCar"/>
    <w:uiPriority w:val="11"/>
    <w:qFormat/>
    <w:rsid w:val="003D35BB"/>
    <w:pPr>
      <w:numPr>
        <w:ilvl w:val="1"/>
      </w:numPr>
      <w:jc w:val="cente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3D35BB"/>
    <w:rPr>
      <w:rFonts w:eastAsiaTheme="minorEastAsia"/>
      <w:color w:val="5A5A5A" w:themeColor="text1" w:themeTint="A5"/>
      <w:spacing w:val="15"/>
    </w:rPr>
  </w:style>
  <w:style w:type="table" w:styleId="TableauGrille1Clair-Accentuation3">
    <w:name w:val="Grid Table 1 Light Accent 3"/>
    <w:basedOn w:val="TableauNormal"/>
    <w:uiPriority w:val="46"/>
    <w:rsid w:val="003D35B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Sansinterligne">
    <w:name w:val="No Spacing"/>
    <w:uiPriority w:val="1"/>
    <w:qFormat/>
    <w:rsid w:val="003D35BB"/>
    <w:pPr>
      <w:spacing w:after="0" w:line="240" w:lineRule="auto"/>
    </w:pPr>
  </w:style>
  <w:style w:type="paragraph" w:styleId="En-ttedetabledesmatires">
    <w:name w:val="TOC Heading"/>
    <w:basedOn w:val="Titre1"/>
    <w:next w:val="Normal"/>
    <w:uiPriority w:val="39"/>
    <w:unhideWhenUsed/>
    <w:qFormat/>
    <w:rsid w:val="0069079D"/>
    <w:pPr>
      <w:jc w:val="left"/>
      <w:outlineLvl w:val="9"/>
    </w:pPr>
    <w:rPr>
      <w:lang w:eastAsia="fr-FR"/>
    </w:rPr>
  </w:style>
  <w:style w:type="paragraph" w:styleId="TM1">
    <w:name w:val="toc 1"/>
    <w:basedOn w:val="Normal"/>
    <w:next w:val="Normal"/>
    <w:autoRedefine/>
    <w:uiPriority w:val="39"/>
    <w:unhideWhenUsed/>
    <w:rsid w:val="0069079D"/>
    <w:pPr>
      <w:spacing w:after="100"/>
    </w:pPr>
  </w:style>
  <w:style w:type="paragraph" w:styleId="TM2">
    <w:name w:val="toc 2"/>
    <w:basedOn w:val="Normal"/>
    <w:next w:val="Normal"/>
    <w:autoRedefine/>
    <w:uiPriority w:val="39"/>
    <w:unhideWhenUsed/>
    <w:rsid w:val="0069079D"/>
    <w:pPr>
      <w:spacing w:after="100"/>
      <w:ind w:left="220"/>
    </w:pPr>
  </w:style>
  <w:style w:type="character" w:customStyle="1" w:styleId="Titre3Car">
    <w:name w:val="Titre 3 Car"/>
    <w:basedOn w:val="Policepardfaut"/>
    <w:link w:val="Titre3"/>
    <w:uiPriority w:val="9"/>
    <w:rsid w:val="00F91DF2"/>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F91DF2"/>
    <w:rPr>
      <w:rFonts w:asciiTheme="majorHAnsi" w:eastAsiaTheme="majorEastAsia" w:hAnsiTheme="majorHAnsi" w:cstheme="majorBidi"/>
      <w:i/>
      <w:iCs/>
      <w:color w:val="2F5496" w:themeColor="accent1" w:themeShade="BF"/>
    </w:rPr>
  </w:style>
  <w:style w:type="paragraph" w:styleId="TM3">
    <w:name w:val="toc 3"/>
    <w:basedOn w:val="Normal"/>
    <w:next w:val="Normal"/>
    <w:autoRedefine/>
    <w:uiPriority w:val="39"/>
    <w:unhideWhenUsed/>
    <w:rsid w:val="00E0639A"/>
    <w:pPr>
      <w:spacing w:after="100"/>
      <w:ind w:left="440"/>
    </w:pPr>
  </w:style>
  <w:style w:type="character" w:customStyle="1" w:styleId="ParagraphedelisteCar">
    <w:name w:val="Paragraphe de liste Car"/>
    <w:aliases w:val="Para T3 Car,Bullet 1 Car,texte de base Car,liste Car,LISTE BDF Car,Puce (niveau2) Car,Paragraphe TS Car,Puce focus Car,Contact Car,calia titre 3 Car,Tab n1 Car,Legende Car,List Paragraph Car,6 pt paragraphe carré Car,R1 Car"/>
    <w:link w:val="Paragraphedeliste"/>
    <w:uiPriority w:val="34"/>
    <w:locked/>
    <w:rsid w:val="005447E5"/>
  </w:style>
  <w:style w:type="paragraph" w:customStyle="1" w:styleId="RedaliaNormal">
    <w:name w:val="Redalia : Normal"/>
    <w:basedOn w:val="Normal"/>
    <w:link w:val="RedaliaNormalCar"/>
    <w:rsid w:val="00ED7E54"/>
    <w:pPr>
      <w:keepNext/>
      <w:keepLines/>
      <w:spacing w:before="40" w:after="0" w:line="240" w:lineRule="auto"/>
    </w:pPr>
    <w:rPr>
      <w:rFonts w:ascii="Verdana" w:eastAsia="Times New Roman" w:hAnsi="Verdana" w:cs="Times New Roman"/>
      <w:szCs w:val="20"/>
      <w:lang w:eastAsia="fr-FR"/>
    </w:rPr>
  </w:style>
  <w:style w:type="character" w:customStyle="1" w:styleId="RedaliaNormalCar">
    <w:name w:val="Redalia : Normal Car"/>
    <w:link w:val="RedaliaNormal"/>
    <w:rsid w:val="00ED7E54"/>
    <w:rPr>
      <w:rFonts w:ascii="Verdana" w:eastAsia="Times New Roman" w:hAnsi="Verdana"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35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cretariat@blanchisserie-lorraine-nord.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conomie.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C10C0B3067C4920A4548F46051669A5"/>
        <w:category>
          <w:name w:val="Général"/>
          <w:gallery w:val="placeholder"/>
        </w:category>
        <w:types>
          <w:type w:val="bbPlcHdr"/>
        </w:types>
        <w:behaviors>
          <w:behavior w:val="content"/>
        </w:behaviors>
        <w:guid w:val="{623376D9-D57F-4A47-9DCD-4D0B16D23D66}"/>
      </w:docPartPr>
      <w:docPartBody>
        <w:p w:rsidR="005614F4" w:rsidRDefault="005614F4" w:rsidP="005614F4">
          <w:pPr>
            <w:pStyle w:val="BC10C0B3067C4920A4548F46051669A5"/>
          </w:pPr>
          <w:r w:rsidRPr="00685807">
            <w:rPr>
              <w:rStyle w:val="Textedelespacerserv"/>
            </w:rPr>
            <w:t>Cliquez ou appuyez ici pour entrer du texte.</w:t>
          </w:r>
        </w:p>
      </w:docPartBody>
    </w:docPart>
    <w:docPart>
      <w:docPartPr>
        <w:name w:val="BC96BE83A9C846FEAD2A85F1AF4B4BBF"/>
        <w:category>
          <w:name w:val="Général"/>
          <w:gallery w:val="placeholder"/>
        </w:category>
        <w:types>
          <w:type w:val="bbPlcHdr"/>
        </w:types>
        <w:behaviors>
          <w:behavior w:val="content"/>
        </w:behaviors>
        <w:guid w:val="{D0DA30A2-FA97-4753-A590-D9A3EC7F7CA4}"/>
      </w:docPartPr>
      <w:docPartBody>
        <w:p w:rsidR="0088665C" w:rsidRDefault="00090F6F" w:rsidP="00090F6F">
          <w:pPr>
            <w:pStyle w:val="BC96BE83A9C846FEAD2A85F1AF4B4BBF"/>
          </w:pPr>
          <w:r w:rsidRPr="00685807">
            <w:rPr>
              <w:rStyle w:val="Textedelespacerserv"/>
            </w:rPr>
            <w:t>Cliquez ou appuyez ici pour entrer du texte.</w:t>
          </w:r>
        </w:p>
      </w:docPartBody>
    </w:docPart>
    <w:docPart>
      <w:docPartPr>
        <w:name w:val="822F9FA3EF1647B192E618C388F7CE41"/>
        <w:category>
          <w:name w:val="Général"/>
          <w:gallery w:val="placeholder"/>
        </w:category>
        <w:types>
          <w:type w:val="bbPlcHdr"/>
        </w:types>
        <w:behaviors>
          <w:behavior w:val="content"/>
        </w:behaviors>
        <w:guid w:val="{D8D01EF2-BF80-4BE2-A8AD-5D444DC34DAF}"/>
      </w:docPartPr>
      <w:docPartBody>
        <w:p w:rsidR="0088665C" w:rsidRDefault="00090F6F" w:rsidP="00090F6F">
          <w:pPr>
            <w:pStyle w:val="822F9FA3EF1647B192E618C388F7CE41"/>
          </w:pPr>
          <w:r w:rsidRPr="00685807">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pprplGoth BT">
    <w:altName w:val="Arial"/>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F4"/>
    <w:rsid w:val="00090F6F"/>
    <w:rsid w:val="00093021"/>
    <w:rsid w:val="00095BDB"/>
    <w:rsid w:val="001302FB"/>
    <w:rsid w:val="00195E5C"/>
    <w:rsid w:val="001D6067"/>
    <w:rsid w:val="001E120B"/>
    <w:rsid w:val="002C1EC8"/>
    <w:rsid w:val="002D6919"/>
    <w:rsid w:val="00325747"/>
    <w:rsid w:val="0051546B"/>
    <w:rsid w:val="005614F4"/>
    <w:rsid w:val="006538CD"/>
    <w:rsid w:val="00676BE9"/>
    <w:rsid w:val="00697D8C"/>
    <w:rsid w:val="006B4B42"/>
    <w:rsid w:val="006E5603"/>
    <w:rsid w:val="007A5842"/>
    <w:rsid w:val="008163BA"/>
    <w:rsid w:val="0088665C"/>
    <w:rsid w:val="00896E12"/>
    <w:rsid w:val="008B76A5"/>
    <w:rsid w:val="0098007C"/>
    <w:rsid w:val="009A5C1B"/>
    <w:rsid w:val="00AB1CB7"/>
    <w:rsid w:val="00B50B5A"/>
    <w:rsid w:val="00B616DC"/>
    <w:rsid w:val="00B6444D"/>
    <w:rsid w:val="00C64A9A"/>
    <w:rsid w:val="00CA564E"/>
    <w:rsid w:val="00D340DB"/>
    <w:rsid w:val="00D3745E"/>
    <w:rsid w:val="00D65BB9"/>
    <w:rsid w:val="00E21681"/>
    <w:rsid w:val="00EE2752"/>
    <w:rsid w:val="00EE5AE9"/>
    <w:rsid w:val="00F13D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C1EC8"/>
    <w:rPr>
      <w:color w:val="808080"/>
    </w:rPr>
  </w:style>
  <w:style w:type="paragraph" w:customStyle="1" w:styleId="BC10C0B3067C4920A4548F46051669A5">
    <w:name w:val="BC10C0B3067C4920A4548F46051669A5"/>
    <w:rsid w:val="005614F4"/>
    <w:rPr>
      <w:rFonts w:eastAsiaTheme="minorHAnsi"/>
      <w:lang w:eastAsia="en-US"/>
    </w:rPr>
  </w:style>
  <w:style w:type="paragraph" w:customStyle="1" w:styleId="BC96BE83A9C846FEAD2A85F1AF4B4BBF">
    <w:name w:val="BC96BE83A9C846FEAD2A85F1AF4B4BBF"/>
    <w:rsid w:val="00090F6F"/>
  </w:style>
  <w:style w:type="paragraph" w:customStyle="1" w:styleId="822F9FA3EF1647B192E618C388F7CE41">
    <w:name w:val="822F9FA3EF1647B192E618C388F7CE41"/>
    <w:rsid w:val="00090F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pure Ingenierie">
  <a:themeElements>
    <a:clrScheme name="Personnalis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B56CB-3CFF-4EE2-9118-A21E2EE0C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4533</Words>
  <Characters>24935</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Colin</dc:creator>
  <cp:keywords/>
  <dc:description/>
  <cp:lastModifiedBy>MARIN Elodie</cp:lastModifiedBy>
  <cp:revision>8</cp:revision>
  <cp:lastPrinted>2025-03-12T13:53:00Z</cp:lastPrinted>
  <dcterms:created xsi:type="dcterms:W3CDTF">2025-02-26T07:13:00Z</dcterms:created>
  <dcterms:modified xsi:type="dcterms:W3CDTF">2025-03-12T13:53:00Z</dcterms:modified>
</cp:coreProperties>
</file>