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C564E8" w14:textId="77777777" w:rsidR="00407C97" w:rsidRDefault="00B533AE" w:rsidP="00951B11">
      <w:pPr>
        <w:spacing w:after="0" w:line="240" w:lineRule="auto"/>
        <w:jc w:val="both"/>
      </w:pPr>
      <w:r>
        <w:rPr>
          <w:noProof/>
          <w:lang w:eastAsia="fr-FR"/>
        </w:rPr>
        <w:drawing>
          <wp:anchor distT="0" distB="0" distL="114300" distR="114300" simplePos="0" relativeHeight="251658240" behindDoc="0" locked="0" layoutInCell="1" allowOverlap="1" wp14:anchorId="41DD4578" wp14:editId="60BEF1D2">
            <wp:simplePos x="0" y="0"/>
            <wp:positionH relativeFrom="column">
              <wp:posOffset>-300942</wp:posOffset>
            </wp:positionH>
            <wp:positionV relativeFrom="paragraph">
              <wp:posOffset>-451413</wp:posOffset>
            </wp:positionV>
            <wp:extent cx="1394460" cy="403860"/>
            <wp:effectExtent l="0" t="0" r="0" b="0"/>
            <wp:wrapNone/>
            <wp:docPr id="3" name="Image 3" descr="cid:image003.png@01D832E4.21E92750"/>
            <wp:cNvGraphicFramePr/>
            <a:graphic xmlns:a="http://schemas.openxmlformats.org/drawingml/2006/main">
              <a:graphicData uri="http://schemas.openxmlformats.org/drawingml/2006/picture">
                <pic:pic xmlns:pic="http://schemas.openxmlformats.org/drawingml/2006/picture">
                  <pic:nvPicPr>
                    <pic:cNvPr id="1" name="Image 5" descr="cid:image003.png@01D832E4.21E92750"/>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4460" cy="403860"/>
                    </a:xfrm>
                    <a:prstGeom prst="rect">
                      <a:avLst/>
                    </a:prstGeom>
                    <a:noFill/>
                    <a:ln>
                      <a:noFill/>
                    </a:ln>
                  </pic:spPr>
                </pic:pic>
              </a:graphicData>
            </a:graphic>
          </wp:anchor>
        </w:drawing>
      </w:r>
    </w:p>
    <w:p w14:paraId="0DBD22AD" w14:textId="77777777" w:rsidR="00951B11" w:rsidRDefault="00951B11" w:rsidP="00951B11">
      <w:pPr>
        <w:spacing w:after="0" w:line="240" w:lineRule="auto"/>
        <w:jc w:val="both"/>
      </w:pPr>
    </w:p>
    <w:p w14:paraId="03049B7E" w14:textId="77777777" w:rsidR="00090BBB" w:rsidRPr="00A9607C" w:rsidRDefault="00090BBB" w:rsidP="00090BBB">
      <w:pPr>
        <w:pBdr>
          <w:top w:val="single" w:sz="4" w:space="1" w:color="auto"/>
          <w:left w:val="single" w:sz="4" w:space="4" w:color="auto"/>
          <w:bottom w:val="single" w:sz="4" w:space="1" w:color="auto"/>
          <w:right w:val="single" w:sz="4" w:space="4" w:color="auto"/>
        </w:pBdr>
        <w:jc w:val="center"/>
        <w:rPr>
          <w:b/>
          <w:bCs/>
          <w:sz w:val="40"/>
          <w:szCs w:val="40"/>
        </w:rPr>
      </w:pPr>
      <w:r>
        <w:rPr>
          <w:b/>
          <w:bCs/>
          <w:sz w:val="40"/>
          <w:szCs w:val="40"/>
        </w:rPr>
        <w:t>MEMOIRE TECHNIQUE</w:t>
      </w:r>
    </w:p>
    <w:p w14:paraId="62CDEA51" w14:textId="77777777" w:rsidR="00090BBB" w:rsidRPr="00A9607C" w:rsidRDefault="00090BBB" w:rsidP="00090BBB">
      <w:pPr>
        <w:pBdr>
          <w:top w:val="single" w:sz="4" w:space="1" w:color="auto"/>
          <w:left w:val="single" w:sz="4" w:space="4" w:color="auto"/>
          <w:bottom w:val="single" w:sz="4" w:space="1" w:color="auto"/>
          <w:right w:val="single" w:sz="4" w:space="4" w:color="auto"/>
        </w:pBdr>
        <w:jc w:val="center"/>
        <w:rPr>
          <w:b/>
          <w:bCs/>
          <w:sz w:val="40"/>
          <w:szCs w:val="40"/>
        </w:rPr>
      </w:pPr>
      <w:r w:rsidRPr="00A9607C">
        <w:rPr>
          <w:b/>
          <w:bCs/>
          <w:sz w:val="40"/>
          <w:szCs w:val="40"/>
        </w:rPr>
        <w:t>(</w:t>
      </w:r>
      <w:r>
        <w:rPr>
          <w:b/>
          <w:bCs/>
          <w:sz w:val="40"/>
          <w:szCs w:val="40"/>
        </w:rPr>
        <w:t>Cadre de Réponse Technique</w:t>
      </w:r>
      <w:r w:rsidRPr="00A9607C">
        <w:rPr>
          <w:b/>
          <w:bCs/>
          <w:sz w:val="40"/>
          <w:szCs w:val="40"/>
        </w:rPr>
        <w:t>)</w:t>
      </w:r>
    </w:p>
    <w:p w14:paraId="5D2EF86C" w14:textId="7A8EFB86" w:rsidR="00090BBB" w:rsidRPr="00A9607C" w:rsidRDefault="00090BBB" w:rsidP="00090BBB">
      <w:pPr>
        <w:jc w:val="both"/>
      </w:pPr>
    </w:p>
    <w:p w14:paraId="6DFD22CB" w14:textId="77777777" w:rsidR="00090BBB" w:rsidRPr="00A9607C" w:rsidRDefault="00090BBB" w:rsidP="00090BBB">
      <w:pPr>
        <w:jc w:val="both"/>
        <w:rPr>
          <w:color w:val="FF0000"/>
        </w:rPr>
      </w:pPr>
      <w:r w:rsidRPr="00A9607C">
        <w:rPr>
          <w:u w:val="single"/>
        </w:rPr>
        <w:t xml:space="preserve">Intitulé de la </w:t>
      </w:r>
      <w:r w:rsidRPr="00B16297">
        <w:rPr>
          <w:u w:val="single"/>
        </w:rPr>
        <w:t>consultation</w:t>
      </w:r>
      <w:r w:rsidRPr="00B16297">
        <w:t xml:space="preserve"> : </w:t>
      </w:r>
      <w:r w:rsidR="009A50A1" w:rsidRPr="00B16297">
        <w:rPr>
          <w:b/>
        </w:rPr>
        <w:t>Recyclage de l’hélium</w:t>
      </w:r>
    </w:p>
    <w:p w14:paraId="232CC49A" w14:textId="77777777" w:rsidR="00090BBB" w:rsidRPr="00A9607C" w:rsidRDefault="00090BBB" w:rsidP="00090BBB">
      <w:pPr>
        <w:jc w:val="both"/>
      </w:pPr>
      <w:r w:rsidRPr="00B7189C">
        <w:rPr>
          <w:u w:val="single"/>
        </w:rPr>
        <w:t>Procédure de passation</w:t>
      </w:r>
      <w:r w:rsidRPr="00B7189C">
        <w:t xml:space="preserve"> : </w:t>
      </w:r>
      <w:r w:rsidRPr="00B34FD0">
        <w:t>Appel d’offre ouvert (AOO) en application des articles L2124-2 ; R2124-1 à R2124-2 ; R2131-16 à R2131-17 ; R2131-18 du Code de la commande publique</w:t>
      </w:r>
    </w:p>
    <w:p w14:paraId="077F0F5B" w14:textId="0A92CC01" w:rsidR="00090BBB" w:rsidRPr="00A9607C" w:rsidRDefault="00090BBB" w:rsidP="00090BBB">
      <w:pPr>
        <w:jc w:val="both"/>
      </w:pPr>
      <w:r w:rsidRPr="00A9607C">
        <w:rPr>
          <w:u w:val="single"/>
        </w:rPr>
        <w:t xml:space="preserve">N° de la </w:t>
      </w:r>
      <w:r w:rsidRPr="00F37409">
        <w:rPr>
          <w:u w:val="single"/>
        </w:rPr>
        <w:t>consultation</w:t>
      </w:r>
      <w:r w:rsidRPr="00F37409">
        <w:t xml:space="preserve"> : </w:t>
      </w:r>
      <w:r w:rsidR="00D11263" w:rsidRPr="00C703F8">
        <w:rPr>
          <w:b/>
        </w:rPr>
        <w:t>2025022SCIREFO</w:t>
      </w:r>
    </w:p>
    <w:p w14:paraId="307CCD82" w14:textId="77777777" w:rsidR="009A50A1" w:rsidRDefault="000454E7" w:rsidP="00951B11">
      <w:pPr>
        <w:spacing w:after="0" w:line="240" w:lineRule="auto"/>
        <w:jc w:val="both"/>
      </w:pPr>
      <w:r w:rsidRPr="00C703F8">
        <w:rPr>
          <w:b/>
        </w:rPr>
        <w:t>Lot 3 :</w:t>
      </w:r>
      <w:r w:rsidRPr="000454E7">
        <w:t xml:space="preserve"> Acquisition et installation d’un système de stockage de l’hélium gaz sous pression</w:t>
      </w:r>
    </w:p>
    <w:p w14:paraId="3EE4B796" w14:textId="77777777" w:rsidR="009A50A1" w:rsidRDefault="009A50A1" w:rsidP="00951B11">
      <w:pPr>
        <w:spacing w:after="0" w:line="240" w:lineRule="auto"/>
        <w:jc w:val="both"/>
      </w:pPr>
    </w:p>
    <w:p w14:paraId="6763DAA5" w14:textId="77777777" w:rsidR="009A50A1" w:rsidRDefault="009A50A1" w:rsidP="00951B11">
      <w:pPr>
        <w:spacing w:after="0" w:line="240" w:lineRule="auto"/>
        <w:jc w:val="both"/>
      </w:pPr>
    </w:p>
    <w:p w14:paraId="7CC7CE05" w14:textId="77777777" w:rsidR="00401F61" w:rsidRPr="00035AB5" w:rsidRDefault="00EF2AEB" w:rsidP="00951B11">
      <w:pPr>
        <w:spacing w:after="0" w:line="240" w:lineRule="auto"/>
        <w:jc w:val="both"/>
        <w:rPr>
          <w:i/>
        </w:rPr>
      </w:pPr>
      <w:r>
        <w:rPr>
          <w:i/>
        </w:rPr>
        <w:t>PREAMBULE</w:t>
      </w:r>
    </w:p>
    <w:p w14:paraId="18378D1B" w14:textId="77777777" w:rsidR="00090BBB" w:rsidRPr="00035AB5" w:rsidRDefault="00090BBB" w:rsidP="00951B11">
      <w:pPr>
        <w:spacing w:after="0" w:line="240" w:lineRule="auto"/>
        <w:jc w:val="both"/>
      </w:pPr>
    </w:p>
    <w:p w14:paraId="262CFEE1" w14:textId="77777777" w:rsidR="00090BBB" w:rsidRPr="00035AB5" w:rsidRDefault="00090BBB" w:rsidP="00EF2AEB">
      <w:pPr>
        <w:spacing w:after="0" w:line="240" w:lineRule="auto"/>
        <w:jc w:val="both"/>
      </w:pPr>
      <w:r w:rsidRPr="00035AB5">
        <w:t>Le présent document constitue le mémoire technique dont la trame est imposée par l’UPC, dans le cadre du marché</w:t>
      </w:r>
      <w:r w:rsidR="00765B85" w:rsidRPr="00035AB5">
        <w:t>, comme stipulé dans le Règlement de Consultation</w:t>
      </w:r>
      <w:r w:rsidRPr="00035AB5">
        <w:t>.</w:t>
      </w:r>
    </w:p>
    <w:p w14:paraId="273ACED0" w14:textId="77777777" w:rsidR="00090BBB" w:rsidRPr="00035AB5" w:rsidRDefault="00090BBB" w:rsidP="00EF2AEB">
      <w:pPr>
        <w:spacing w:after="0" w:line="240" w:lineRule="auto"/>
        <w:jc w:val="both"/>
      </w:pPr>
      <w:bookmarkStart w:id="0" w:name="_GoBack"/>
      <w:bookmarkEnd w:id="0"/>
    </w:p>
    <w:p w14:paraId="161CC992" w14:textId="77777777" w:rsidR="00C20EC4" w:rsidRDefault="00876385" w:rsidP="00EF2AEB">
      <w:pPr>
        <w:spacing w:after="0" w:line="240" w:lineRule="auto"/>
        <w:jc w:val="both"/>
      </w:pPr>
      <w:r w:rsidRPr="00035AB5">
        <w:t xml:space="preserve">Le format du support utilisé par le </w:t>
      </w:r>
      <w:r w:rsidR="003B0BB0" w:rsidRPr="00035AB5">
        <w:t xml:space="preserve">soumissionnaire est libre, dès lors qu’il respecte les contraintes listées à ce propos dans le RC du marché (format </w:t>
      </w:r>
      <w:proofErr w:type="spellStart"/>
      <w:r w:rsidR="003B0BB0" w:rsidRPr="00035AB5">
        <w:t>word</w:t>
      </w:r>
      <w:proofErr w:type="spellEnd"/>
      <w:r w:rsidR="003B0BB0" w:rsidRPr="00035AB5">
        <w:t xml:space="preserve">, </w:t>
      </w:r>
      <w:proofErr w:type="spellStart"/>
      <w:r w:rsidR="003B0BB0" w:rsidRPr="00035AB5">
        <w:t>ppt</w:t>
      </w:r>
      <w:proofErr w:type="spellEnd"/>
      <w:r w:rsidR="003B0BB0" w:rsidRPr="00035AB5">
        <w:t xml:space="preserve"> ou </w:t>
      </w:r>
      <w:r w:rsidR="00E3036D" w:rsidRPr="00035AB5">
        <w:t xml:space="preserve">encore </w:t>
      </w:r>
      <w:proofErr w:type="spellStart"/>
      <w:r w:rsidR="003B0BB0" w:rsidRPr="00035AB5">
        <w:t>excel</w:t>
      </w:r>
      <w:proofErr w:type="spellEnd"/>
      <w:r w:rsidR="003B0BB0" w:rsidRPr="00035AB5">
        <w:t>).</w:t>
      </w:r>
    </w:p>
    <w:p w14:paraId="696DAEDE" w14:textId="77777777" w:rsidR="00F95505" w:rsidRPr="00035AB5" w:rsidRDefault="00F95505" w:rsidP="00EF2AEB">
      <w:pPr>
        <w:spacing w:after="0" w:line="240" w:lineRule="auto"/>
        <w:jc w:val="both"/>
      </w:pPr>
    </w:p>
    <w:p w14:paraId="2FDA69C5" w14:textId="77777777" w:rsidR="00F95505" w:rsidRDefault="00F95505" w:rsidP="00F95505">
      <w:pPr>
        <w:spacing w:after="0" w:line="240" w:lineRule="auto"/>
        <w:jc w:val="both"/>
      </w:pPr>
      <w:r w:rsidRPr="0073512D">
        <w:t>En cas de production d’annexes en réponses aux questions posées dans le présent cadre, celles-ci devront être explicitement référencées dans le cadre de réponse. La référence doit comprendre au minimum le nom de l’annexe et la page. Tout élément de l’offre non référencé dans le présent cadre pourra ne pas être pris en compte dans l’évaluation de l’offre.  En cas de contradiction entre les réponses au cadre de réponse et les documents annexes, les réponses au cadre de réponse prévalent.</w:t>
      </w:r>
    </w:p>
    <w:p w14:paraId="69186C5A" w14:textId="77777777" w:rsidR="00F95505" w:rsidRPr="00035AB5" w:rsidRDefault="00F95505" w:rsidP="00EF2AEB">
      <w:pPr>
        <w:spacing w:after="0" w:line="240" w:lineRule="auto"/>
        <w:jc w:val="both"/>
      </w:pPr>
    </w:p>
    <w:p w14:paraId="6901A4F7" w14:textId="77777777" w:rsidR="00C20EC4" w:rsidRPr="00035AB5" w:rsidRDefault="00B946E0" w:rsidP="00EF2AEB">
      <w:pPr>
        <w:spacing w:after="0" w:line="240" w:lineRule="auto"/>
        <w:jc w:val="both"/>
      </w:pPr>
      <w:r>
        <w:t xml:space="preserve">Le plan du présent cadre de réponse technique est directement utilisé pour l’évaluation de l’offre du soumissionnaire au présent marché : nous invitons le lecteur à se référer au Règlement de Consultation et bien s’assurer que les réponses apportées </w:t>
      </w:r>
      <w:r w:rsidR="00083A2E">
        <w:t>sont correctement positionnées au regard du plan imposé</w:t>
      </w:r>
      <w:r w:rsidR="003B3BAB">
        <w:t xml:space="preserve"> et de la grille d’évaluation qui y est associée</w:t>
      </w:r>
      <w:r w:rsidR="00083A2E">
        <w:t>.</w:t>
      </w:r>
    </w:p>
    <w:p w14:paraId="7F2283A0" w14:textId="77777777" w:rsidR="00DA6E62" w:rsidRDefault="00DA6E62" w:rsidP="00000C66">
      <w:pPr>
        <w:spacing w:after="0" w:line="240" w:lineRule="auto"/>
        <w:jc w:val="both"/>
      </w:pPr>
    </w:p>
    <w:p w14:paraId="6A20808B" w14:textId="7525D6D1" w:rsidR="00DA6E62" w:rsidRPr="00000C66" w:rsidRDefault="00456508" w:rsidP="00000C66">
      <w:pPr>
        <w:spacing w:after="0" w:line="240" w:lineRule="auto"/>
        <w:jc w:val="both"/>
      </w:pPr>
      <w:r>
        <w:t>Enfin, n</w:t>
      </w:r>
      <w:r w:rsidR="00DA6E62" w:rsidRPr="00000C66">
        <w:t xml:space="preserve">ous invitons le soumissionnaire à jauger la pertinence du niveau de détail à fournir afin d’étayer la présentation de son savoir-faire et de ses compétences au regard des attentes décrites </w:t>
      </w:r>
      <w:r w:rsidR="00DA6E62" w:rsidRPr="00D11263">
        <w:t xml:space="preserve">dans le </w:t>
      </w:r>
      <w:r w:rsidR="00D11263" w:rsidRPr="00D11263">
        <w:t>CCTP</w:t>
      </w:r>
      <w:r w:rsidR="00DA6E62" w:rsidRPr="00D11263">
        <w:t>.</w:t>
      </w:r>
    </w:p>
    <w:p w14:paraId="7BF0323A" w14:textId="70851334" w:rsidR="00090BBB" w:rsidRDefault="00090BBB" w:rsidP="001A567E"/>
    <w:p w14:paraId="61454862" w14:textId="77777777" w:rsidR="00B16297" w:rsidRPr="00385B58" w:rsidRDefault="00B16297" w:rsidP="00B16297">
      <w:pPr>
        <w:spacing w:after="0" w:line="240" w:lineRule="auto"/>
        <w:jc w:val="both"/>
        <w:rPr>
          <w:b/>
        </w:rPr>
      </w:pPr>
      <w:r w:rsidRPr="00385B58">
        <w:rPr>
          <w:b/>
        </w:rPr>
        <w:t>L’ensemble des réponses apportées dans le CRT doit être conforme aux exigences formulées dans le CCTP. Toute réponse non conforme aux exigences minimales formulées dans le CCTP est susceptible d’entraîner l’irrégularité de l’offre.</w:t>
      </w:r>
    </w:p>
    <w:p w14:paraId="39F6CB71" w14:textId="77777777" w:rsidR="00B16297" w:rsidRDefault="00B16297" w:rsidP="00B16297"/>
    <w:p w14:paraId="4BE780D9" w14:textId="25341FDD" w:rsidR="00B16297" w:rsidRPr="008F6C0F" w:rsidRDefault="00B16297" w:rsidP="00B16297">
      <w:pPr>
        <w:spacing w:after="0" w:line="240" w:lineRule="auto"/>
        <w:jc w:val="both"/>
        <w:rPr>
          <w:b/>
          <w:color w:val="FF0000"/>
        </w:rPr>
      </w:pPr>
      <w:r w:rsidRPr="008F6C0F">
        <w:rPr>
          <w:b/>
          <w:color w:val="FF0000"/>
        </w:rPr>
        <w:t>Les éléments de conformité sont à compléter dans l’annexe au présent CRT : Annexe CRT -</w:t>
      </w:r>
      <w:r w:rsidR="00D119D2">
        <w:rPr>
          <w:b/>
          <w:color w:val="FF0000"/>
        </w:rPr>
        <w:t xml:space="preserve"> Lot 3</w:t>
      </w:r>
      <w:r w:rsidRPr="008F6C0F">
        <w:rPr>
          <w:b/>
          <w:color w:val="FF0000"/>
        </w:rPr>
        <w:t> -Eléments de conformité.</w:t>
      </w:r>
    </w:p>
    <w:p w14:paraId="3C3EAF66" w14:textId="77777777" w:rsidR="00B16297" w:rsidRDefault="00B16297" w:rsidP="001A567E"/>
    <w:p w14:paraId="4A795D91" w14:textId="6E9AECB3" w:rsidR="00E3036D" w:rsidRDefault="009A50A1" w:rsidP="00B16297">
      <w:pPr>
        <w:tabs>
          <w:tab w:val="left" w:pos="3009"/>
        </w:tabs>
      </w:pPr>
      <w:r>
        <w:tab/>
      </w:r>
    </w:p>
    <w:p w14:paraId="2D074FE1" w14:textId="77777777" w:rsidR="00CC20F6" w:rsidRDefault="00CC20F6" w:rsidP="00951B11">
      <w:pPr>
        <w:spacing w:after="0" w:line="240" w:lineRule="auto"/>
        <w:jc w:val="both"/>
      </w:pPr>
    </w:p>
    <w:sdt>
      <w:sdtPr>
        <w:rPr>
          <w:rFonts w:asciiTheme="minorHAnsi" w:eastAsiaTheme="minorHAnsi" w:hAnsiTheme="minorHAnsi" w:cstheme="minorBidi"/>
          <w:color w:val="auto"/>
          <w:sz w:val="22"/>
          <w:szCs w:val="22"/>
          <w:lang w:eastAsia="en-US"/>
        </w:rPr>
        <w:id w:val="2138827170"/>
        <w:docPartObj>
          <w:docPartGallery w:val="Table of Contents"/>
          <w:docPartUnique/>
        </w:docPartObj>
      </w:sdtPr>
      <w:sdtEndPr>
        <w:rPr>
          <w:b/>
          <w:bCs/>
        </w:rPr>
      </w:sdtEndPr>
      <w:sdtContent>
        <w:p w14:paraId="0C903A2A" w14:textId="77777777" w:rsidR="00837072" w:rsidRDefault="00837072">
          <w:pPr>
            <w:pStyle w:val="En-ttedetabledesmatires"/>
          </w:pPr>
          <w:r>
            <w:t>Table des matières</w:t>
          </w:r>
        </w:p>
        <w:p w14:paraId="1414256B" w14:textId="77777777" w:rsidR="00382EB4" w:rsidRDefault="00382EB4">
          <w:pPr>
            <w:pStyle w:val="TM1"/>
            <w:tabs>
              <w:tab w:val="left" w:pos="440"/>
              <w:tab w:val="right" w:leader="dot" w:pos="9016"/>
            </w:tabs>
          </w:pPr>
        </w:p>
        <w:p w14:paraId="6228DB94" w14:textId="79AF280F" w:rsidR="00C53EB7" w:rsidRDefault="00837072">
          <w:pPr>
            <w:pStyle w:val="TM1"/>
            <w:tabs>
              <w:tab w:val="left" w:pos="440"/>
              <w:tab w:val="right" w:leader="dot" w:pos="9016"/>
            </w:tabs>
            <w:rPr>
              <w:rFonts w:eastAsiaTheme="minorEastAsia"/>
              <w:noProof/>
              <w:lang w:eastAsia="fr-FR"/>
            </w:rPr>
          </w:pPr>
          <w:r>
            <w:fldChar w:fldCharType="begin"/>
          </w:r>
          <w:r>
            <w:instrText xml:space="preserve"> TOC \o "1-3" \h \z \u </w:instrText>
          </w:r>
          <w:r>
            <w:fldChar w:fldCharType="separate"/>
          </w:r>
          <w:hyperlink w:anchor="_Toc192665345" w:history="1">
            <w:r w:rsidR="00C53EB7" w:rsidRPr="00CE58BF">
              <w:rPr>
                <w:rStyle w:val="Lienhypertexte"/>
                <w:noProof/>
              </w:rPr>
              <w:t>1.</w:t>
            </w:r>
            <w:r w:rsidR="00C53EB7">
              <w:rPr>
                <w:rFonts w:eastAsiaTheme="minorEastAsia"/>
                <w:noProof/>
                <w:lang w:eastAsia="fr-FR"/>
              </w:rPr>
              <w:tab/>
            </w:r>
            <w:r w:rsidR="00C53EB7" w:rsidRPr="00CE58BF">
              <w:rPr>
                <w:rStyle w:val="Lienhypertexte"/>
                <w:noProof/>
              </w:rPr>
              <w:t>Description des équipements (modèles, poids, taille, durée d’épreuve des bouteilles, certificat de transport TPED (Transportable Pressure Equipment Directive) des bouteilles et cadres à haute pression.</w:t>
            </w:r>
            <w:r w:rsidR="00C53EB7">
              <w:rPr>
                <w:noProof/>
                <w:webHidden/>
              </w:rPr>
              <w:tab/>
            </w:r>
            <w:r w:rsidR="00C53EB7">
              <w:rPr>
                <w:noProof/>
                <w:webHidden/>
              </w:rPr>
              <w:fldChar w:fldCharType="begin"/>
            </w:r>
            <w:r w:rsidR="00C53EB7">
              <w:rPr>
                <w:noProof/>
                <w:webHidden/>
              </w:rPr>
              <w:instrText xml:space="preserve"> PAGEREF _Toc192665345 \h </w:instrText>
            </w:r>
            <w:r w:rsidR="00C53EB7">
              <w:rPr>
                <w:noProof/>
                <w:webHidden/>
              </w:rPr>
            </w:r>
            <w:r w:rsidR="00C53EB7">
              <w:rPr>
                <w:noProof/>
                <w:webHidden/>
              </w:rPr>
              <w:fldChar w:fldCharType="separate"/>
            </w:r>
            <w:r w:rsidR="00C53EB7">
              <w:rPr>
                <w:noProof/>
                <w:webHidden/>
              </w:rPr>
              <w:t>2</w:t>
            </w:r>
            <w:r w:rsidR="00C53EB7">
              <w:rPr>
                <w:noProof/>
                <w:webHidden/>
              </w:rPr>
              <w:fldChar w:fldCharType="end"/>
            </w:r>
          </w:hyperlink>
        </w:p>
        <w:p w14:paraId="547C99AD" w14:textId="502A417A" w:rsidR="00C53EB7" w:rsidRDefault="00C53EB7">
          <w:pPr>
            <w:pStyle w:val="TM1"/>
            <w:tabs>
              <w:tab w:val="left" w:pos="440"/>
              <w:tab w:val="right" w:leader="dot" w:pos="9016"/>
            </w:tabs>
            <w:rPr>
              <w:rFonts w:eastAsiaTheme="minorEastAsia"/>
              <w:noProof/>
              <w:lang w:eastAsia="fr-FR"/>
            </w:rPr>
          </w:pPr>
          <w:hyperlink w:anchor="_Toc192665346" w:history="1">
            <w:r w:rsidRPr="00CE58BF">
              <w:rPr>
                <w:rStyle w:val="Lienhypertexte"/>
                <w:noProof/>
              </w:rPr>
              <w:t>2.</w:t>
            </w:r>
            <w:r>
              <w:rPr>
                <w:rFonts w:eastAsiaTheme="minorEastAsia"/>
                <w:noProof/>
                <w:lang w:eastAsia="fr-FR"/>
              </w:rPr>
              <w:tab/>
            </w:r>
            <w:r w:rsidRPr="00CE58BF">
              <w:rPr>
                <w:rStyle w:val="Lienhypertexte"/>
                <w:noProof/>
              </w:rPr>
              <w:t>Délais de livraison (Critère 2 – 10 points)</w:t>
            </w:r>
            <w:r>
              <w:rPr>
                <w:noProof/>
                <w:webHidden/>
              </w:rPr>
              <w:tab/>
            </w:r>
            <w:r>
              <w:rPr>
                <w:noProof/>
                <w:webHidden/>
              </w:rPr>
              <w:fldChar w:fldCharType="begin"/>
            </w:r>
            <w:r>
              <w:rPr>
                <w:noProof/>
                <w:webHidden/>
              </w:rPr>
              <w:instrText xml:space="preserve"> PAGEREF _Toc192665346 \h </w:instrText>
            </w:r>
            <w:r>
              <w:rPr>
                <w:noProof/>
                <w:webHidden/>
              </w:rPr>
            </w:r>
            <w:r>
              <w:rPr>
                <w:noProof/>
                <w:webHidden/>
              </w:rPr>
              <w:fldChar w:fldCharType="separate"/>
            </w:r>
            <w:r>
              <w:rPr>
                <w:noProof/>
                <w:webHidden/>
              </w:rPr>
              <w:t>2</w:t>
            </w:r>
            <w:r>
              <w:rPr>
                <w:noProof/>
                <w:webHidden/>
              </w:rPr>
              <w:fldChar w:fldCharType="end"/>
            </w:r>
          </w:hyperlink>
        </w:p>
        <w:p w14:paraId="4B2064AD" w14:textId="23A74FAF" w:rsidR="00C53EB7" w:rsidRDefault="00C53EB7">
          <w:pPr>
            <w:pStyle w:val="TM1"/>
            <w:tabs>
              <w:tab w:val="left" w:pos="440"/>
              <w:tab w:val="right" w:leader="dot" w:pos="9016"/>
            </w:tabs>
            <w:rPr>
              <w:rFonts w:eastAsiaTheme="minorEastAsia"/>
              <w:noProof/>
              <w:lang w:eastAsia="fr-FR"/>
            </w:rPr>
          </w:pPr>
          <w:hyperlink w:anchor="_Toc192665347" w:history="1">
            <w:r w:rsidRPr="00CE58BF">
              <w:rPr>
                <w:rStyle w:val="Lienhypertexte"/>
                <w:noProof/>
              </w:rPr>
              <w:t>3.</w:t>
            </w:r>
            <w:r>
              <w:rPr>
                <w:rFonts w:eastAsiaTheme="minorEastAsia"/>
                <w:noProof/>
                <w:lang w:eastAsia="fr-FR"/>
              </w:rPr>
              <w:tab/>
            </w:r>
            <w:r w:rsidRPr="00CE58BF">
              <w:rPr>
                <w:rStyle w:val="Lienhypertexte"/>
                <w:noProof/>
              </w:rPr>
              <w:t>Démarche environnementale (Critère 3 – 10 points)</w:t>
            </w:r>
            <w:r>
              <w:rPr>
                <w:noProof/>
                <w:webHidden/>
              </w:rPr>
              <w:tab/>
            </w:r>
            <w:r>
              <w:rPr>
                <w:noProof/>
                <w:webHidden/>
              </w:rPr>
              <w:fldChar w:fldCharType="begin"/>
            </w:r>
            <w:r>
              <w:rPr>
                <w:noProof/>
                <w:webHidden/>
              </w:rPr>
              <w:instrText xml:space="preserve"> PAGEREF _Toc192665347 \h </w:instrText>
            </w:r>
            <w:r>
              <w:rPr>
                <w:noProof/>
                <w:webHidden/>
              </w:rPr>
            </w:r>
            <w:r>
              <w:rPr>
                <w:noProof/>
                <w:webHidden/>
              </w:rPr>
              <w:fldChar w:fldCharType="separate"/>
            </w:r>
            <w:r>
              <w:rPr>
                <w:noProof/>
                <w:webHidden/>
              </w:rPr>
              <w:t>2</w:t>
            </w:r>
            <w:r>
              <w:rPr>
                <w:noProof/>
                <w:webHidden/>
              </w:rPr>
              <w:fldChar w:fldCharType="end"/>
            </w:r>
          </w:hyperlink>
        </w:p>
        <w:p w14:paraId="34C33117" w14:textId="27515A6F" w:rsidR="00C53EB7" w:rsidRDefault="00C53EB7">
          <w:pPr>
            <w:pStyle w:val="TM2"/>
            <w:tabs>
              <w:tab w:val="left" w:pos="880"/>
              <w:tab w:val="right" w:leader="dot" w:pos="9016"/>
            </w:tabs>
            <w:rPr>
              <w:rFonts w:eastAsiaTheme="minorEastAsia"/>
              <w:noProof/>
              <w:lang w:eastAsia="fr-FR"/>
            </w:rPr>
          </w:pPr>
          <w:hyperlink w:anchor="_Toc192665348" w:history="1">
            <w:r w:rsidRPr="00CE58BF">
              <w:rPr>
                <w:rStyle w:val="Lienhypertexte"/>
                <w:noProof/>
              </w:rPr>
              <w:t>3.1.</w:t>
            </w:r>
            <w:r>
              <w:rPr>
                <w:rFonts w:eastAsiaTheme="minorEastAsia"/>
                <w:noProof/>
                <w:lang w:eastAsia="fr-FR"/>
              </w:rPr>
              <w:tab/>
            </w:r>
            <w:r w:rsidRPr="00CE58BF">
              <w:rPr>
                <w:rStyle w:val="Lienhypertexte"/>
                <w:noProof/>
              </w:rPr>
              <w:t>Modalités de reprise des bouteilles endommagées et recyclage des bouteilles (Sous-critère 3-1 – 6 points)</w:t>
            </w:r>
            <w:r>
              <w:rPr>
                <w:noProof/>
                <w:webHidden/>
              </w:rPr>
              <w:tab/>
            </w:r>
            <w:r>
              <w:rPr>
                <w:noProof/>
                <w:webHidden/>
              </w:rPr>
              <w:fldChar w:fldCharType="begin"/>
            </w:r>
            <w:r>
              <w:rPr>
                <w:noProof/>
                <w:webHidden/>
              </w:rPr>
              <w:instrText xml:space="preserve"> PAGEREF _Toc192665348 \h </w:instrText>
            </w:r>
            <w:r>
              <w:rPr>
                <w:noProof/>
                <w:webHidden/>
              </w:rPr>
            </w:r>
            <w:r>
              <w:rPr>
                <w:noProof/>
                <w:webHidden/>
              </w:rPr>
              <w:fldChar w:fldCharType="separate"/>
            </w:r>
            <w:r>
              <w:rPr>
                <w:noProof/>
                <w:webHidden/>
              </w:rPr>
              <w:t>2</w:t>
            </w:r>
            <w:r>
              <w:rPr>
                <w:noProof/>
                <w:webHidden/>
              </w:rPr>
              <w:fldChar w:fldCharType="end"/>
            </w:r>
          </w:hyperlink>
        </w:p>
        <w:p w14:paraId="3F3F1CF1" w14:textId="2911E92E" w:rsidR="00C53EB7" w:rsidRDefault="00C53EB7">
          <w:pPr>
            <w:pStyle w:val="TM2"/>
            <w:tabs>
              <w:tab w:val="left" w:pos="880"/>
              <w:tab w:val="right" w:leader="dot" w:pos="9016"/>
            </w:tabs>
            <w:rPr>
              <w:rFonts w:eastAsiaTheme="minorEastAsia"/>
              <w:noProof/>
              <w:lang w:eastAsia="fr-FR"/>
            </w:rPr>
          </w:pPr>
          <w:hyperlink w:anchor="_Toc192665349" w:history="1">
            <w:r w:rsidRPr="00CE58BF">
              <w:rPr>
                <w:rStyle w:val="Lienhypertexte"/>
                <w:noProof/>
              </w:rPr>
              <w:t>3.2.</w:t>
            </w:r>
            <w:r>
              <w:rPr>
                <w:rFonts w:eastAsiaTheme="minorEastAsia"/>
                <w:noProof/>
                <w:lang w:eastAsia="fr-FR"/>
              </w:rPr>
              <w:tab/>
            </w:r>
            <w:r w:rsidRPr="00CE58BF">
              <w:rPr>
                <w:rStyle w:val="Lienhypertexte"/>
                <w:noProof/>
              </w:rPr>
              <w:t>Impact environnemental de la fabrication des bouteilles et des racks (Sous-critère - 2 points)</w:t>
            </w:r>
            <w:r>
              <w:rPr>
                <w:noProof/>
                <w:webHidden/>
              </w:rPr>
              <w:tab/>
            </w:r>
            <w:r>
              <w:rPr>
                <w:noProof/>
                <w:webHidden/>
              </w:rPr>
              <w:fldChar w:fldCharType="begin"/>
            </w:r>
            <w:r>
              <w:rPr>
                <w:noProof/>
                <w:webHidden/>
              </w:rPr>
              <w:instrText xml:space="preserve"> PAGEREF _Toc192665349 \h </w:instrText>
            </w:r>
            <w:r>
              <w:rPr>
                <w:noProof/>
                <w:webHidden/>
              </w:rPr>
            </w:r>
            <w:r>
              <w:rPr>
                <w:noProof/>
                <w:webHidden/>
              </w:rPr>
              <w:fldChar w:fldCharType="separate"/>
            </w:r>
            <w:r>
              <w:rPr>
                <w:noProof/>
                <w:webHidden/>
              </w:rPr>
              <w:t>2</w:t>
            </w:r>
            <w:r>
              <w:rPr>
                <w:noProof/>
                <w:webHidden/>
              </w:rPr>
              <w:fldChar w:fldCharType="end"/>
            </w:r>
          </w:hyperlink>
        </w:p>
        <w:p w14:paraId="73461E5E" w14:textId="40805265" w:rsidR="00C53EB7" w:rsidRDefault="00C53EB7">
          <w:pPr>
            <w:pStyle w:val="TM2"/>
            <w:tabs>
              <w:tab w:val="left" w:pos="880"/>
              <w:tab w:val="right" w:leader="dot" w:pos="9016"/>
            </w:tabs>
            <w:rPr>
              <w:rFonts w:eastAsiaTheme="minorEastAsia"/>
              <w:noProof/>
              <w:lang w:eastAsia="fr-FR"/>
            </w:rPr>
          </w:pPr>
          <w:hyperlink w:anchor="_Toc192665350" w:history="1">
            <w:r w:rsidRPr="00CE58BF">
              <w:rPr>
                <w:rStyle w:val="Lienhypertexte"/>
                <w:noProof/>
              </w:rPr>
              <w:t>3.3.</w:t>
            </w:r>
            <w:r>
              <w:rPr>
                <w:rFonts w:eastAsiaTheme="minorEastAsia"/>
                <w:noProof/>
                <w:lang w:eastAsia="fr-FR"/>
              </w:rPr>
              <w:tab/>
            </w:r>
            <w:r w:rsidRPr="00CE58BF">
              <w:rPr>
                <w:rStyle w:val="Lienhypertexte"/>
                <w:noProof/>
              </w:rPr>
              <w:t>Démarche RSE (Sous-critère 3-3 – 2 points)</w:t>
            </w:r>
            <w:r>
              <w:rPr>
                <w:noProof/>
                <w:webHidden/>
              </w:rPr>
              <w:tab/>
            </w:r>
            <w:r>
              <w:rPr>
                <w:noProof/>
                <w:webHidden/>
              </w:rPr>
              <w:fldChar w:fldCharType="begin"/>
            </w:r>
            <w:r>
              <w:rPr>
                <w:noProof/>
                <w:webHidden/>
              </w:rPr>
              <w:instrText xml:space="preserve"> PAGEREF _Toc192665350 \h </w:instrText>
            </w:r>
            <w:r>
              <w:rPr>
                <w:noProof/>
                <w:webHidden/>
              </w:rPr>
            </w:r>
            <w:r>
              <w:rPr>
                <w:noProof/>
                <w:webHidden/>
              </w:rPr>
              <w:fldChar w:fldCharType="separate"/>
            </w:r>
            <w:r>
              <w:rPr>
                <w:noProof/>
                <w:webHidden/>
              </w:rPr>
              <w:t>2</w:t>
            </w:r>
            <w:r>
              <w:rPr>
                <w:noProof/>
                <w:webHidden/>
              </w:rPr>
              <w:fldChar w:fldCharType="end"/>
            </w:r>
          </w:hyperlink>
        </w:p>
        <w:p w14:paraId="12034C5D" w14:textId="23FDFEE8" w:rsidR="00A06318" w:rsidRDefault="00837072" w:rsidP="00D868F3">
          <w:r>
            <w:rPr>
              <w:b/>
              <w:bCs/>
            </w:rPr>
            <w:fldChar w:fldCharType="end"/>
          </w:r>
        </w:p>
      </w:sdtContent>
    </w:sdt>
    <w:p w14:paraId="239545A2" w14:textId="77777777" w:rsidR="00AA223E" w:rsidRDefault="00A06318" w:rsidP="00A06318">
      <w:pPr>
        <w:tabs>
          <w:tab w:val="left" w:pos="3116"/>
        </w:tabs>
      </w:pPr>
      <w:r>
        <w:tab/>
      </w:r>
    </w:p>
    <w:p w14:paraId="6CC89F26" w14:textId="3305499E" w:rsidR="00C53EB7" w:rsidRDefault="00B02F1C" w:rsidP="00C53EB7">
      <w:pPr>
        <w:pStyle w:val="Titre1"/>
        <w:numPr>
          <w:ilvl w:val="0"/>
          <w:numId w:val="2"/>
        </w:numPr>
        <w:jc w:val="both"/>
      </w:pPr>
      <w:bookmarkStart w:id="1" w:name="_Toc192665345"/>
      <w:r w:rsidRPr="00B02F1C">
        <w:t>Description des équipements (modèles, poids, taille</w:t>
      </w:r>
      <w:r>
        <w:t>,</w:t>
      </w:r>
      <w:r w:rsidR="005A2C1B">
        <w:t xml:space="preserve"> durée d’épreuve des </w:t>
      </w:r>
      <w:r w:rsidR="005A2C1B" w:rsidRPr="00C53EB7">
        <w:t>bouteilles,</w:t>
      </w:r>
      <w:r w:rsidR="00C53EB7" w:rsidRPr="00C53EB7">
        <w:t xml:space="preserve"> certificat de transport TPED (Transportable Pressure Equipment Directive) des bouteilles et cadres à haute pression.</w:t>
      </w:r>
      <w:bookmarkEnd w:id="1"/>
    </w:p>
    <w:p w14:paraId="6CE5FE4C" w14:textId="77777777" w:rsidR="00C53EB7" w:rsidRPr="00C53EB7" w:rsidRDefault="00C53EB7" w:rsidP="00C53EB7"/>
    <w:p w14:paraId="3B94800B" w14:textId="21B090F4" w:rsidR="00784BF8" w:rsidRDefault="005D4742" w:rsidP="005D4742">
      <w:pPr>
        <w:pStyle w:val="Titre1"/>
        <w:numPr>
          <w:ilvl w:val="0"/>
          <w:numId w:val="2"/>
        </w:numPr>
      </w:pPr>
      <w:bookmarkStart w:id="2" w:name="_Toc192665346"/>
      <w:r w:rsidRPr="005D4742">
        <w:t>Délais de livraison</w:t>
      </w:r>
      <w:r w:rsidR="004D281B">
        <w:t xml:space="preserve"> (Critère 2 </w:t>
      </w:r>
      <w:r w:rsidR="004D281B" w:rsidRPr="00FF1806">
        <w:t xml:space="preserve">– </w:t>
      </w:r>
      <w:r w:rsidR="004D281B">
        <w:t>10</w:t>
      </w:r>
      <w:r w:rsidR="004D281B" w:rsidRPr="00FF1806">
        <w:t xml:space="preserve"> points)</w:t>
      </w:r>
      <w:bookmarkEnd w:id="2"/>
    </w:p>
    <w:p w14:paraId="7FD0ED02" w14:textId="64BBA2FF" w:rsidR="00DB0079" w:rsidRDefault="00DB0079" w:rsidP="005D4742">
      <w:pPr>
        <w:pStyle w:val="Titre2"/>
        <w:ind w:left="792"/>
      </w:pPr>
    </w:p>
    <w:p w14:paraId="7767DAF7" w14:textId="3F21F8DB" w:rsidR="00C71A7C" w:rsidRDefault="00C71A7C" w:rsidP="00C71A7C">
      <w:pPr>
        <w:spacing w:after="0" w:line="240" w:lineRule="auto"/>
        <w:jc w:val="both"/>
      </w:pPr>
      <w:r>
        <w:t>Les informations présentes ci-dessous sont évaluées au titre du critère 2.</w:t>
      </w:r>
    </w:p>
    <w:p w14:paraId="79447AD9" w14:textId="1929B234" w:rsidR="00C71A7C" w:rsidRDefault="00C71A7C" w:rsidP="00C71A7C">
      <w:pPr>
        <w:spacing w:after="0" w:line="240" w:lineRule="auto"/>
        <w:jc w:val="both"/>
      </w:pPr>
    </w:p>
    <w:p w14:paraId="309C46AA" w14:textId="2F79FC99" w:rsidR="00D868F3" w:rsidRDefault="00C71A7C" w:rsidP="00C71A7C">
      <w:pPr>
        <w:spacing w:after="0" w:line="240" w:lineRule="auto"/>
        <w:jc w:val="both"/>
      </w:pPr>
      <w:r>
        <w:t>Les soumissionnaires détaillent les délais et modalités de livraison des équipements.</w:t>
      </w:r>
    </w:p>
    <w:p w14:paraId="29B9273F" w14:textId="77777777" w:rsidR="00C71A7C" w:rsidRDefault="00C71A7C" w:rsidP="00C71A7C">
      <w:pPr>
        <w:spacing w:after="0" w:line="240" w:lineRule="auto"/>
        <w:jc w:val="both"/>
      </w:pPr>
    </w:p>
    <w:p w14:paraId="764FA439" w14:textId="4F0AAA92" w:rsidR="0001721D" w:rsidRDefault="005D4742" w:rsidP="005F155B">
      <w:pPr>
        <w:pStyle w:val="Titre1"/>
        <w:numPr>
          <w:ilvl w:val="0"/>
          <w:numId w:val="2"/>
        </w:numPr>
      </w:pPr>
      <w:bookmarkStart w:id="3" w:name="_Toc192665347"/>
      <w:r>
        <w:t>Démarche environnementale</w:t>
      </w:r>
      <w:r w:rsidR="00FF1806">
        <w:t xml:space="preserve"> </w:t>
      </w:r>
      <w:r>
        <w:t>(Critère 3</w:t>
      </w:r>
      <w:r w:rsidR="00BE0496">
        <w:t xml:space="preserve"> </w:t>
      </w:r>
      <w:r w:rsidR="00FF1806" w:rsidRPr="00FF1806">
        <w:t xml:space="preserve">– </w:t>
      </w:r>
      <w:r>
        <w:t>10</w:t>
      </w:r>
      <w:r w:rsidR="00FF1806" w:rsidRPr="00FF1806">
        <w:t xml:space="preserve"> points)</w:t>
      </w:r>
      <w:bookmarkEnd w:id="3"/>
    </w:p>
    <w:p w14:paraId="685C0EF3" w14:textId="77777777" w:rsidR="00FF1806" w:rsidRPr="00CD5787" w:rsidRDefault="00FF1806" w:rsidP="00BE0496">
      <w:pPr>
        <w:spacing w:after="0" w:line="240" w:lineRule="auto"/>
        <w:jc w:val="both"/>
      </w:pPr>
    </w:p>
    <w:p w14:paraId="2EB65E04" w14:textId="45360F13" w:rsidR="00260841" w:rsidRDefault="00FF1806" w:rsidP="00BE0496">
      <w:pPr>
        <w:spacing w:after="0" w:line="240" w:lineRule="auto"/>
        <w:jc w:val="both"/>
      </w:pPr>
      <w:r w:rsidRPr="004D54DC">
        <w:t>Les informations présentes ci-dessous son</w:t>
      </w:r>
      <w:r w:rsidR="005D4742">
        <w:t>t évaluées au titre du critère 3</w:t>
      </w:r>
      <w:r w:rsidRPr="004D54DC">
        <w:t>.</w:t>
      </w:r>
    </w:p>
    <w:p w14:paraId="105EB8BC" w14:textId="401B0B1E" w:rsidR="00534ABD" w:rsidRPr="004D54DC" w:rsidRDefault="00534ABD" w:rsidP="00BE0496">
      <w:pPr>
        <w:spacing w:after="0" w:line="240" w:lineRule="auto"/>
        <w:jc w:val="both"/>
      </w:pPr>
    </w:p>
    <w:p w14:paraId="140F6EC8" w14:textId="5E515E11" w:rsidR="00BE0496" w:rsidRDefault="005D4742" w:rsidP="00D868F3">
      <w:pPr>
        <w:pStyle w:val="Titre2"/>
        <w:numPr>
          <w:ilvl w:val="1"/>
          <w:numId w:val="2"/>
        </w:numPr>
      </w:pPr>
      <w:bookmarkStart w:id="4" w:name="_Toc192665348"/>
      <w:r w:rsidRPr="005D4742">
        <w:t xml:space="preserve">Modalités de reprise des bouteilles endommagées et recyclage des bouteilles </w:t>
      </w:r>
      <w:r w:rsidR="00FF1806" w:rsidRPr="00F52B11">
        <w:t xml:space="preserve">(Sous-critère </w:t>
      </w:r>
      <w:r>
        <w:t>3</w:t>
      </w:r>
      <w:r w:rsidR="005F155B">
        <w:t>-1</w:t>
      </w:r>
      <w:r>
        <w:t xml:space="preserve"> – 6</w:t>
      </w:r>
      <w:r w:rsidR="00260841" w:rsidRPr="00F52B11">
        <w:t xml:space="preserve"> points)</w:t>
      </w:r>
      <w:bookmarkEnd w:id="4"/>
    </w:p>
    <w:p w14:paraId="72929933" w14:textId="77777777" w:rsidR="00C71A7C" w:rsidRPr="00C71A7C" w:rsidRDefault="00C71A7C" w:rsidP="00C71A7C"/>
    <w:p w14:paraId="2F19AE0C" w14:textId="1497A307" w:rsidR="00CC002B" w:rsidRPr="00F52B11" w:rsidRDefault="005D4742" w:rsidP="005D4742">
      <w:pPr>
        <w:pStyle w:val="Titre2"/>
        <w:numPr>
          <w:ilvl w:val="1"/>
          <w:numId w:val="2"/>
        </w:numPr>
      </w:pPr>
      <w:bookmarkStart w:id="5" w:name="_Toc192665349"/>
      <w:r w:rsidRPr="005D4742">
        <w:t xml:space="preserve">Impact environnemental de la fabrication des bouteilles et des racks </w:t>
      </w:r>
      <w:r>
        <w:t xml:space="preserve">(Sous-critère - </w:t>
      </w:r>
      <w:r w:rsidR="00F404C0" w:rsidRPr="00F52B11">
        <w:t>2 points)</w:t>
      </w:r>
      <w:bookmarkEnd w:id="5"/>
    </w:p>
    <w:p w14:paraId="02346391" w14:textId="719C803F" w:rsidR="00C71A7C" w:rsidRPr="004D54DC" w:rsidRDefault="00C71A7C" w:rsidP="00D868F3"/>
    <w:p w14:paraId="41CF5EF8" w14:textId="33C1FFE5" w:rsidR="00260841" w:rsidRPr="004D54DC" w:rsidRDefault="00AC4353" w:rsidP="00C71A7C">
      <w:pPr>
        <w:pStyle w:val="Titre2"/>
        <w:numPr>
          <w:ilvl w:val="1"/>
          <w:numId w:val="2"/>
        </w:numPr>
      </w:pPr>
      <w:bookmarkStart w:id="6" w:name="_Toc192665350"/>
      <w:r>
        <w:t>Démarche RSE</w:t>
      </w:r>
      <w:r w:rsidR="005D4742">
        <w:t xml:space="preserve"> (Sous-critère 3</w:t>
      </w:r>
      <w:r w:rsidR="00F404C0" w:rsidRPr="00F52B11">
        <w:t>-</w:t>
      </w:r>
      <w:r w:rsidR="005D4742">
        <w:t>3</w:t>
      </w:r>
      <w:r w:rsidR="00F404C0" w:rsidRPr="00F52B11">
        <w:t xml:space="preserve"> – </w:t>
      </w:r>
      <w:r w:rsidR="00F233BE" w:rsidRPr="00F52B11">
        <w:t>2</w:t>
      </w:r>
      <w:r w:rsidR="00F404C0" w:rsidRPr="00F52B11">
        <w:t xml:space="preserve"> points)</w:t>
      </w:r>
      <w:bookmarkEnd w:id="6"/>
    </w:p>
    <w:p w14:paraId="7150BFDC" w14:textId="0C635B14" w:rsidR="00B91E60" w:rsidRPr="00CA3D36" w:rsidRDefault="00B91E60" w:rsidP="00D868F3">
      <w:pPr>
        <w:spacing w:after="0" w:line="240" w:lineRule="auto"/>
        <w:jc w:val="both"/>
      </w:pPr>
    </w:p>
    <w:sectPr w:rsidR="00B91E60" w:rsidRPr="00CA3D36" w:rsidSect="003F5EBF">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993" w:left="1440" w:header="720" w:footer="522"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F35DA86" w16cid:durableId="2F35DA86"/>
  <w16cid:commentId w16cid:paraId="6E342EC3" w16cid:durableId="6748114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BD8B6F" w14:textId="77777777" w:rsidR="00997187" w:rsidRDefault="00997187" w:rsidP="003F5EBF">
      <w:pPr>
        <w:spacing w:after="0" w:line="240" w:lineRule="auto"/>
      </w:pPr>
      <w:r>
        <w:separator/>
      </w:r>
    </w:p>
  </w:endnote>
  <w:endnote w:type="continuationSeparator" w:id="0">
    <w:p w14:paraId="2CA910BC" w14:textId="77777777" w:rsidR="00997187" w:rsidRDefault="00997187" w:rsidP="003F5EBF">
      <w:pPr>
        <w:spacing w:after="0" w:line="240" w:lineRule="auto"/>
      </w:pPr>
      <w:r>
        <w:continuationSeparator/>
      </w:r>
    </w:p>
  </w:endnote>
  <w:endnote w:type="continuationNotice" w:id="1">
    <w:p w14:paraId="5C7A074A" w14:textId="77777777" w:rsidR="00997187" w:rsidRDefault="009971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ABB48" w14:textId="77777777" w:rsidR="00076325" w:rsidRDefault="0007632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9824743"/>
      <w:docPartObj>
        <w:docPartGallery w:val="Page Numbers (Bottom of Page)"/>
        <w:docPartUnique/>
      </w:docPartObj>
    </w:sdtPr>
    <w:sdtEndPr/>
    <w:sdtContent>
      <w:sdt>
        <w:sdtPr>
          <w:id w:val="-1769616900"/>
          <w:docPartObj>
            <w:docPartGallery w:val="Page Numbers (Top of Page)"/>
            <w:docPartUnique/>
          </w:docPartObj>
        </w:sdtPr>
        <w:sdtEndPr/>
        <w:sdtContent>
          <w:p w14:paraId="2FBBA415" w14:textId="77777777" w:rsidR="00D868F3" w:rsidRDefault="00D868F3" w:rsidP="00B75D1D">
            <w:pPr>
              <w:pStyle w:val="Pieddepage"/>
              <w:tabs>
                <w:tab w:val="left" w:pos="460"/>
                <w:tab w:val="right" w:pos="9026"/>
              </w:tabs>
            </w:pPr>
          </w:p>
          <w:p w14:paraId="4C928AC7" w14:textId="06CE1528" w:rsidR="00B75D1D" w:rsidRDefault="00B75D1D" w:rsidP="00B75D1D">
            <w:pPr>
              <w:pStyle w:val="Pieddepage"/>
              <w:tabs>
                <w:tab w:val="left" w:pos="460"/>
                <w:tab w:val="right" w:pos="9026"/>
              </w:tabs>
            </w:pPr>
            <w:r>
              <w:tab/>
            </w:r>
            <w:r w:rsidRPr="00D11263">
              <w:t xml:space="preserve">Marché </w:t>
            </w:r>
            <w:r w:rsidR="00D11263" w:rsidRPr="00D11263">
              <w:t>2025022SCIREFO</w:t>
            </w:r>
            <w:r w:rsidR="009A50A1" w:rsidRPr="00D11263">
              <w:t>–</w:t>
            </w:r>
            <w:r w:rsidRPr="00F37409">
              <w:t xml:space="preserve"> CRT</w:t>
            </w:r>
            <w:r w:rsidR="00A06318">
              <w:t>- Lot 3</w:t>
            </w:r>
            <w:r>
              <w:tab/>
            </w:r>
            <w:r>
              <w:tab/>
              <w:t xml:space="preserve">Page </w:t>
            </w:r>
            <w:r>
              <w:rPr>
                <w:b/>
                <w:bCs/>
                <w:sz w:val="24"/>
                <w:szCs w:val="24"/>
              </w:rPr>
              <w:fldChar w:fldCharType="begin"/>
            </w:r>
            <w:r>
              <w:rPr>
                <w:b/>
                <w:bCs/>
              </w:rPr>
              <w:instrText>PAGE</w:instrText>
            </w:r>
            <w:r>
              <w:rPr>
                <w:b/>
                <w:bCs/>
                <w:sz w:val="24"/>
                <w:szCs w:val="24"/>
              </w:rPr>
              <w:fldChar w:fldCharType="separate"/>
            </w:r>
            <w:r w:rsidR="00076325">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076325">
              <w:rPr>
                <w:b/>
                <w:bCs/>
                <w:noProof/>
              </w:rPr>
              <w:t>2</w:t>
            </w:r>
            <w:r>
              <w:rPr>
                <w:b/>
                <w:bCs/>
                <w:sz w:val="24"/>
                <w:szCs w:val="24"/>
              </w:rPr>
              <w:fldChar w:fldCharType="end"/>
            </w:r>
          </w:p>
        </w:sdtContent>
      </w:sdt>
    </w:sdtContent>
  </w:sdt>
  <w:p w14:paraId="2CE2C345" w14:textId="77777777" w:rsidR="003F5EBF" w:rsidRPr="003F5EBF" w:rsidRDefault="003F5EBF" w:rsidP="003F5EBF">
    <w:pPr>
      <w:pStyle w:val="Pieddepage"/>
      <w:pBdr>
        <w:top w:val="single" w:sz="4" w:space="1" w:color="auto"/>
      </w:pBdr>
      <w:jc w:val="center"/>
      <w:rPr>
        <w:color w:val="4472C4" w:themeColor="accent1"/>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18ABA" w14:textId="77777777" w:rsidR="00076325" w:rsidRDefault="0007632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A21F91" w14:textId="77777777" w:rsidR="00997187" w:rsidRDefault="00997187" w:rsidP="003F5EBF">
      <w:pPr>
        <w:spacing w:after="0" w:line="240" w:lineRule="auto"/>
      </w:pPr>
      <w:r>
        <w:separator/>
      </w:r>
    </w:p>
  </w:footnote>
  <w:footnote w:type="continuationSeparator" w:id="0">
    <w:p w14:paraId="64605C75" w14:textId="77777777" w:rsidR="00997187" w:rsidRDefault="00997187" w:rsidP="003F5EBF">
      <w:pPr>
        <w:spacing w:after="0" w:line="240" w:lineRule="auto"/>
      </w:pPr>
      <w:r>
        <w:continuationSeparator/>
      </w:r>
    </w:p>
  </w:footnote>
  <w:footnote w:type="continuationNotice" w:id="1">
    <w:p w14:paraId="0FB6D279" w14:textId="77777777" w:rsidR="00997187" w:rsidRDefault="0099718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75E4D" w14:textId="77777777" w:rsidR="00076325" w:rsidRDefault="0007632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ACEB4" w14:textId="77777777" w:rsidR="00076325" w:rsidRDefault="0007632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6C171" w14:textId="77777777" w:rsidR="00076325" w:rsidRDefault="0007632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3AF5"/>
    <w:multiLevelType w:val="multilevel"/>
    <w:tmpl w:val="898E9F5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1EA7E9B"/>
    <w:multiLevelType w:val="multilevel"/>
    <w:tmpl w:val="82B6E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5550701"/>
    <w:multiLevelType w:val="hybridMultilevel"/>
    <w:tmpl w:val="D09EBE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3E6982"/>
    <w:multiLevelType w:val="hybridMultilevel"/>
    <w:tmpl w:val="F274EB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B965C6"/>
    <w:multiLevelType w:val="hybridMultilevel"/>
    <w:tmpl w:val="3B0EE2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DFD1FAF"/>
    <w:multiLevelType w:val="hybridMultilevel"/>
    <w:tmpl w:val="4DFC3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0B85D8C"/>
    <w:multiLevelType w:val="hybridMultilevel"/>
    <w:tmpl w:val="3CB200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4050762"/>
    <w:multiLevelType w:val="hybridMultilevel"/>
    <w:tmpl w:val="D82E19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E02F97"/>
    <w:multiLevelType w:val="multilevel"/>
    <w:tmpl w:val="01A43A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A61540F"/>
    <w:multiLevelType w:val="hybridMultilevel"/>
    <w:tmpl w:val="203293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D8C7189"/>
    <w:multiLevelType w:val="multilevel"/>
    <w:tmpl w:val="01A43A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14589B"/>
    <w:multiLevelType w:val="hybridMultilevel"/>
    <w:tmpl w:val="53AC68D6"/>
    <w:lvl w:ilvl="0" w:tplc="46F0C65C">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EAE6070"/>
    <w:multiLevelType w:val="multilevel"/>
    <w:tmpl w:val="D4A20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29341D1"/>
    <w:multiLevelType w:val="hybridMultilevel"/>
    <w:tmpl w:val="E3B43776"/>
    <w:lvl w:ilvl="0" w:tplc="6CBE1E8A">
      <w:numFmt w:val="bullet"/>
      <w:lvlText w:val="-"/>
      <w:lvlJc w:val="left"/>
      <w:pPr>
        <w:ind w:left="1353" w:hanging="360"/>
      </w:pPr>
      <w:rPr>
        <w:rFonts w:ascii="Calibri" w:eastAsiaTheme="minorHAnsi" w:hAnsi="Calibri" w:cs="Calibri"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14" w15:restartNumberingAfterBreak="0">
    <w:nsid w:val="51DE67E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3EE2A4B"/>
    <w:multiLevelType w:val="hybridMultilevel"/>
    <w:tmpl w:val="95C053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29D7E8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3C54A2A"/>
    <w:multiLevelType w:val="hybridMultilevel"/>
    <w:tmpl w:val="09EA90DC"/>
    <w:lvl w:ilvl="0" w:tplc="6DD62A6E">
      <w:start w:val="1"/>
      <w:numFmt w:val="decimal"/>
      <w:lvlText w:val="5.%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65726CB"/>
    <w:multiLevelType w:val="hybridMultilevel"/>
    <w:tmpl w:val="03EE294C"/>
    <w:lvl w:ilvl="0" w:tplc="F6E688FC">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81471E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0"/>
  </w:num>
  <w:num w:numId="3">
    <w:abstractNumId w:val="19"/>
  </w:num>
  <w:num w:numId="4">
    <w:abstractNumId w:val="3"/>
  </w:num>
  <w:num w:numId="5">
    <w:abstractNumId w:val="15"/>
  </w:num>
  <w:num w:numId="6">
    <w:abstractNumId w:val="12"/>
  </w:num>
  <w:num w:numId="7">
    <w:abstractNumId w:val="2"/>
  </w:num>
  <w:num w:numId="8">
    <w:abstractNumId w:val="5"/>
  </w:num>
  <w:num w:numId="9">
    <w:abstractNumId w:val="1"/>
  </w:num>
  <w:num w:numId="10">
    <w:abstractNumId w:val="7"/>
  </w:num>
  <w:num w:numId="11">
    <w:abstractNumId w:val="6"/>
  </w:num>
  <w:num w:numId="12">
    <w:abstractNumId w:val="4"/>
  </w:num>
  <w:num w:numId="13">
    <w:abstractNumId w:val="17"/>
  </w:num>
  <w:num w:numId="14">
    <w:abstractNumId w:val="9"/>
  </w:num>
  <w:num w:numId="15">
    <w:abstractNumId w:val="11"/>
  </w:num>
  <w:num w:numId="16">
    <w:abstractNumId w:val="16"/>
  </w:num>
  <w:num w:numId="17">
    <w:abstractNumId w:val="14"/>
  </w:num>
  <w:num w:numId="18">
    <w:abstractNumId w:val="8"/>
  </w:num>
  <w:num w:numId="19">
    <w:abstractNumId w:val="10"/>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EFEF0D7"/>
    <w:rsid w:val="00000C66"/>
    <w:rsid w:val="000016F1"/>
    <w:rsid w:val="00002938"/>
    <w:rsid w:val="0000456D"/>
    <w:rsid w:val="00011E21"/>
    <w:rsid w:val="0001721D"/>
    <w:rsid w:val="00017EC1"/>
    <w:rsid w:val="00025FDB"/>
    <w:rsid w:val="00035AB5"/>
    <w:rsid w:val="0004098E"/>
    <w:rsid w:val="0004153C"/>
    <w:rsid w:val="000454E7"/>
    <w:rsid w:val="00046291"/>
    <w:rsid w:val="000523F9"/>
    <w:rsid w:val="00060C9A"/>
    <w:rsid w:val="00061E4B"/>
    <w:rsid w:val="0007154D"/>
    <w:rsid w:val="00071ADE"/>
    <w:rsid w:val="0007303B"/>
    <w:rsid w:val="00073BDD"/>
    <w:rsid w:val="00076325"/>
    <w:rsid w:val="00077FBB"/>
    <w:rsid w:val="0008023C"/>
    <w:rsid w:val="00083A2E"/>
    <w:rsid w:val="00085DC9"/>
    <w:rsid w:val="00086592"/>
    <w:rsid w:val="00090BBB"/>
    <w:rsid w:val="000978FA"/>
    <w:rsid w:val="000A12B4"/>
    <w:rsid w:val="000C2AF3"/>
    <w:rsid w:val="000C6C05"/>
    <w:rsid w:val="000D2C37"/>
    <w:rsid w:val="000D3F13"/>
    <w:rsid w:val="000E6150"/>
    <w:rsid w:val="0010308D"/>
    <w:rsid w:val="0010724B"/>
    <w:rsid w:val="00110768"/>
    <w:rsid w:val="00111604"/>
    <w:rsid w:val="0011245E"/>
    <w:rsid w:val="00116150"/>
    <w:rsid w:val="0012368D"/>
    <w:rsid w:val="00141C77"/>
    <w:rsid w:val="0014566F"/>
    <w:rsid w:val="00161364"/>
    <w:rsid w:val="00163DFD"/>
    <w:rsid w:val="0017458B"/>
    <w:rsid w:val="00174C45"/>
    <w:rsid w:val="0017574C"/>
    <w:rsid w:val="001848A7"/>
    <w:rsid w:val="001913AC"/>
    <w:rsid w:val="00193C3C"/>
    <w:rsid w:val="001A04B4"/>
    <w:rsid w:val="001A2B59"/>
    <w:rsid w:val="001A3D9E"/>
    <w:rsid w:val="001A567E"/>
    <w:rsid w:val="001A7A9C"/>
    <w:rsid w:val="001A7F8D"/>
    <w:rsid w:val="001B1E06"/>
    <w:rsid w:val="001B45FE"/>
    <w:rsid w:val="001B7C94"/>
    <w:rsid w:val="001D126E"/>
    <w:rsid w:val="001E4765"/>
    <w:rsid w:val="001E4D66"/>
    <w:rsid w:val="001E55B7"/>
    <w:rsid w:val="001E6337"/>
    <w:rsid w:val="001E6A0D"/>
    <w:rsid w:val="001F5664"/>
    <w:rsid w:val="001F6F30"/>
    <w:rsid w:val="001F7626"/>
    <w:rsid w:val="00201094"/>
    <w:rsid w:val="00201610"/>
    <w:rsid w:val="00201E88"/>
    <w:rsid w:val="00210CA2"/>
    <w:rsid w:val="00212DFD"/>
    <w:rsid w:val="0021317F"/>
    <w:rsid w:val="0021455B"/>
    <w:rsid w:val="0022116C"/>
    <w:rsid w:val="00223630"/>
    <w:rsid w:val="00224347"/>
    <w:rsid w:val="00224FE3"/>
    <w:rsid w:val="00226E65"/>
    <w:rsid w:val="00227C4C"/>
    <w:rsid w:val="00231259"/>
    <w:rsid w:val="00260841"/>
    <w:rsid w:val="0026134A"/>
    <w:rsid w:val="00261800"/>
    <w:rsid w:val="00261A31"/>
    <w:rsid w:val="00264876"/>
    <w:rsid w:val="0026595C"/>
    <w:rsid w:val="0026681E"/>
    <w:rsid w:val="00266F20"/>
    <w:rsid w:val="00274373"/>
    <w:rsid w:val="002808A5"/>
    <w:rsid w:val="0028271E"/>
    <w:rsid w:val="00285A5E"/>
    <w:rsid w:val="00286305"/>
    <w:rsid w:val="00294D1D"/>
    <w:rsid w:val="002A2C89"/>
    <w:rsid w:val="002A7491"/>
    <w:rsid w:val="002B39AF"/>
    <w:rsid w:val="002B53F8"/>
    <w:rsid w:val="002C3B2D"/>
    <w:rsid w:val="002C7E6A"/>
    <w:rsid w:val="002D4308"/>
    <w:rsid w:val="002E2DC4"/>
    <w:rsid w:val="002E5CEA"/>
    <w:rsid w:val="002E70F1"/>
    <w:rsid w:val="002F216E"/>
    <w:rsid w:val="002F2D86"/>
    <w:rsid w:val="002F6DAC"/>
    <w:rsid w:val="002F7372"/>
    <w:rsid w:val="002F7892"/>
    <w:rsid w:val="003011A4"/>
    <w:rsid w:val="003012CF"/>
    <w:rsid w:val="003027C1"/>
    <w:rsid w:val="00310CB3"/>
    <w:rsid w:val="0031247F"/>
    <w:rsid w:val="0031468E"/>
    <w:rsid w:val="00320BB4"/>
    <w:rsid w:val="003313A9"/>
    <w:rsid w:val="003365DB"/>
    <w:rsid w:val="00341F60"/>
    <w:rsid w:val="00342AC8"/>
    <w:rsid w:val="003445F5"/>
    <w:rsid w:val="00347098"/>
    <w:rsid w:val="0035504E"/>
    <w:rsid w:val="00362B4A"/>
    <w:rsid w:val="00362BC3"/>
    <w:rsid w:val="003712DF"/>
    <w:rsid w:val="00371A36"/>
    <w:rsid w:val="003737C7"/>
    <w:rsid w:val="00374C74"/>
    <w:rsid w:val="00382EB4"/>
    <w:rsid w:val="00382F19"/>
    <w:rsid w:val="00391DE0"/>
    <w:rsid w:val="00391F5E"/>
    <w:rsid w:val="0039418B"/>
    <w:rsid w:val="003A00A9"/>
    <w:rsid w:val="003A014B"/>
    <w:rsid w:val="003A6895"/>
    <w:rsid w:val="003A7471"/>
    <w:rsid w:val="003B0BB0"/>
    <w:rsid w:val="003B0D7F"/>
    <w:rsid w:val="003B3BAB"/>
    <w:rsid w:val="003B6067"/>
    <w:rsid w:val="003B769D"/>
    <w:rsid w:val="003C1F2D"/>
    <w:rsid w:val="003D024F"/>
    <w:rsid w:val="003D13B5"/>
    <w:rsid w:val="003D3A50"/>
    <w:rsid w:val="003D3ABC"/>
    <w:rsid w:val="003D4E57"/>
    <w:rsid w:val="003D59CB"/>
    <w:rsid w:val="003E060C"/>
    <w:rsid w:val="003E24FD"/>
    <w:rsid w:val="003F0AA0"/>
    <w:rsid w:val="003F1017"/>
    <w:rsid w:val="003F1F03"/>
    <w:rsid w:val="003F4E6A"/>
    <w:rsid w:val="003F5EBF"/>
    <w:rsid w:val="00401183"/>
    <w:rsid w:val="00401F61"/>
    <w:rsid w:val="00407C97"/>
    <w:rsid w:val="004109E9"/>
    <w:rsid w:val="0041263B"/>
    <w:rsid w:val="00416131"/>
    <w:rsid w:val="00416D5A"/>
    <w:rsid w:val="00420BAA"/>
    <w:rsid w:val="004215E7"/>
    <w:rsid w:val="00423499"/>
    <w:rsid w:val="00424018"/>
    <w:rsid w:val="0043062C"/>
    <w:rsid w:val="004318A9"/>
    <w:rsid w:val="0043280F"/>
    <w:rsid w:val="004350A9"/>
    <w:rsid w:val="004378AA"/>
    <w:rsid w:val="0044468B"/>
    <w:rsid w:val="00447885"/>
    <w:rsid w:val="00456508"/>
    <w:rsid w:val="00457A7F"/>
    <w:rsid w:val="00462E31"/>
    <w:rsid w:val="004636ED"/>
    <w:rsid w:val="0046605F"/>
    <w:rsid w:val="00473DF7"/>
    <w:rsid w:val="004758FF"/>
    <w:rsid w:val="00476EF0"/>
    <w:rsid w:val="00481BB2"/>
    <w:rsid w:val="004826CB"/>
    <w:rsid w:val="004870BB"/>
    <w:rsid w:val="00490340"/>
    <w:rsid w:val="0049176C"/>
    <w:rsid w:val="00493191"/>
    <w:rsid w:val="00495858"/>
    <w:rsid w:val="004A1682"/>
    <w:rsid w:val="004A1CFA"/>
    <w:rsid w:val="004A2B95"/>
    <w:rsid w:val="004A2E96"/>
    <w:rsid w:val="004A6D74"/>
    <w:rsid w:val="004B0A01"/>
    <w:rsid w:val="004B1F2D"/>
    <w:rsid w:val="004B333B"/>
    <w:rsid w:val="004C1563"/>
    <w:rsid w:val="004C268A"/>
    <w:rsid w:val="004C338C"/>
    <w:rsid w:val="004C641D"/>
    <w:rsid w:val="004D22E3"/>
    <w:rsid w:val="004D281B"/>
    <w:rsid w:val="004D5493"/>
    <w:rsid w:val="004D54DC"/>
    <w:rsid w:val="004E0A2F"/>
    <w:rsid w:val="004E3235"/>
    <w:rsid w:val="004E65D9"/>
    <w:rsid w:val="004F2917"/>
    <w:rsid w:val="004F34F2"/>
    <w:rsid w:val="004F433D"/>
    <w:rsid w:val="004F4A60"/>
    <w:rsid w:val="004F4A87"/>
    <w:rsid w:val="004F4BC7"/>
    <w:rsid w:val="004F5550"/>
    <w:rsid w:val="004F645C"/>
    <w:rsid w:val="00500355"/>
    <w:rsid w:val="00502225"/>
    <w:rsid w:val="00517582"/>
    <w:rsid w:val="00520009"/>
    <w:rsid w:val="0052090F"/>
    <w:rsid w:val="0052363A"/>
    <w:rsid w:val="00534588"/>
    <w:rsid w:val="00534ABD"/>
    <w:rsid w:val="00535C14"/>
    <w:rsid w:val="00535DF6"/>
    <w:rsid w:val="0054288F"/>
    <w:rsid w:val="0055096F"/>
    <w:rsid w:val="00551D4C"/>
    <w:rsid w:val="00552071"/>
    <w:rsid w:val="0055418C"/>
    <w:rsid w:val="00554FBB"/>
    <w:rsid w:val="00555695"/>
    <w:rsid w:val="00557E40"/>
    <w:rsid w:val="005660CF"/>
    <w:rsid w:val="005707D6"/>
    <w:rsid w:val="005739F5"/>
    <w:rsid w:val="00575D11"/>
    <w:rsid w:val="005843D7"/>
    <w:rsid w:val="005869A2"/>
    <w:rsid w:val="005878D4"/>
    <w:rsid w:val="00590E0B"/>
    <w:rsid w:val="0059332D"/>
    <w:rsid w:val="005967EA"/>
    <w:rsid w:val="00596FB0"/>
    <w:rsid w:val="005A01AF"/>
    <w:rsid w:val="005A0738"/>
    <w:rsid w:val="005A2C1B"/>
    <w:rsid w:val="005A641C"/>
    <w:rsid w:val="005A7C48"/>
    <w:rsid w:val="005A7E7F"/>
    <w:rsid w:val="005B3C43"/>
    <w:rsid w:val="005B5C03"/>
    <w:rsid w:val="005B6E3D"/>
    <w:rsid w:val="005C178A"/>
    <w:rsid w:val="005C59A6"/>
    <w:rsid w:val="005D4742"/>
    <w:rsid w:val="005D50A8"/>
    <w:rsid w:val="005D5F79"/>
    <w:rsid w:val="005D6CBF"/>
    <w:rsid w:val="005E26C0"/>
    <w:rsid w:val="005E4764"/>
    <w:rsid w:val="005E4D8C"/>
    <w:rsid w:val="005E5626"/>
    <w:rsid w:val="005E7F3C"/>
    <w:rsid w:val="005F155B"/>
    <w:rsid w:val="005F21CF"/>
    <w:rsid w:val="005F2984"/>
    <w:rsid w:val="005F38D5"/>
    <w:rsid w:val="005F4905"/>
    <w:rsid w:val="005F6918"/>
    <w:rsid w:val="00602B32"/>
    <w:rsid w:val="006062C3"/>
    <w:rsid w:val="00607011"/>
    <w:rsid w:val="00611186"/>
    <w:rsid w:val="006176FF"/>
    <w:rsid w:val="00617884"/>
    <w:rsid w:val="006212C7"/>
    <w:rsid w:val="00622860"/>
    <w:rsid w:val="00627CEB"/>
    <w:rsid w:val="00632CB0"/>
    <w:rsid w:val="00633482"/>
    <w:rsid w:val="00633564"/>
    <w:rsid w:val="0063721F"/>
    <w:rsid w:val="00642BF3"/>
    <w:rsid w:val="00642FCF"/>
    <w:rsid w:val="00643852"/>
    <w:rsid w:val="00650A5E"/>
    <w:rsid w:val="00654232"/>
    <w:rsid w:val="006555C4"/>
    <w:rsid w:val="00655B5A"/>
    <w:rsid w:val="00662029"/>
    <w:rsid w:val="006626EB"/>
    <w:rsid w:val="00666395"/>
    <w:rsid w:val="00670993"/>
    <w:rsid w:val="00672509"/>
    <w:rsid w:val="00684B61"/>
    <w:rsid w:val="0068606E"/>
    <w:rsid w:val="00695DC9"/>
    <w:rsid w:val="00697CC5"/>
    <w:rsid w:val="006B1351"/>
    <w:rsid w:val="006B208E"/>
    <w:rsid w:val="006B38D6"/>
    <w:rsid w:val="006B7B4A"/>
    <w:rsid w:val="006C6D26"/>
    <w:rsid w:val="006D099D"/>
    <w:rsid w:val="006D0F82"/>
    <w:rsid w:val="006D3EC8"/>
    <w:rsid w:val="006D4A2E"/>
    <w:rsid w:val="006E06FF"/>
    <w:rsid w:val="006E5691"/>
    <w:rsid w:val="006E7312"/>
    <w:rsid w:val="006E75FA"/>
    <w:rsid w:val="006F0F27"/>
    <w:rsid w:val="006F5A3B"/>
    <w:rsid w:val="0070753D"/>
    <w:rsid w:val="00710F3F"/>
    <w:rsid w:val="00724BAB"/>
    <w:rsid w:val="007273EE"/>
    <w:rsid w:val="0073200A"/>
    <w:rsid w:val="007324C0"/>
    <w:rsid w:val="00732B99"/>
    <w:rsid w:val="0073512D"/>
    <w:rsid w:val="0074236E"/>
    <w:rsid w:val="00753BC6"/>
    <w:rsid w:val="00754E20"/>
    <w:rsid w:val="00756183"/>
    <w:rsid w:val="00765B85"/>
    <w:rsid w:val="00773FFE"/>
    <w:rsid w:val="007741BE"/>
    <w:rsid w:val="00784BF8"/>
    <w:rsid w:val="00792B99"/>
    <w:rsid w:val="007937EA"/>
    <w:rsid w:val="007962FF"/>
    <w:rsid w:val="007B480A"/>
    <w:rsid w:val="007B77ED"/>
    <w:rsid w:val="007B7D8F"/>
    <w:rsid w:val="007C04BB"/>
    <w:rsid w:val="007C112E"/>
    <w:rsid w:val="007C425E"/>
    <w:rsid w:val="007C69DA"/>
    <w:rsid w:val="007D2A48"/>
    <w:rsid w:val="007D65EC"/>
    <w:rsid w:val="007D7E93"/>
    <w:rsid w:val="007E2BE2"/>
    <w:rsid w:val="007F2EB6"/>
    <w:rsid w:val="007F384C"/>
    <w:rsid w:val="007F490F"/>
    <w:rsid w:val="007F5AF0"/>
    <w:rsid w:val="0080566C"/>
    <w:rsid w:val="00811D16"/>
    <w:rsid w:val="008149BD"/>
    <w:rsid w:val="0081544F"/>
    <w:rsid w:val="008267A9"/>
    <w:rsid w:val="00830E42"/>
    <w:rsid w:val="00830EC0"/>
    <w:rsid w:val="00831453"/>
    <w:rsid w:val="00837072"/>
    <w:rsid w:val="00842966"/>
    <w:rsid w:val="00843BEE"/>
    <w:rsid w:val="00844241"/>
    <w:rsid w:val="008468AC"/>
    <w:rsid w:val="00851159"/>
    <w:rsid w:val="008529AF"/>
    <w:rsid w:val="00854AE7"/>
    <w:rsid w:val="008576BF"/>
    <w:rsid w:val="008649E4"/>
    <w:rsid w:val="00867772"/>
    <w:rsid w:val="0086794E"/>
    <w:rsid w:val="00870B56"/>
    <w:rsid w:val="008727B0"/>
    <w:rsid w:val="008752D0"/>
    <w:rsid w:val="008755FF"/>
    <w:rsid w:val="00876385"/>
    <w:rsid w:val="008763C0"/>
    <w:rsid w:val="0087707E"/>
    <w:rsid w:val="00880FD3"/>
    <w:rsid w:val="00886AB7"/>
    <w:rsid w:val="008949EB"/>
    <w:rsid w:val="008A106B"/>
    <w:rsid w:val="008A76F5"/>
    <w:rsid w:val="008A7D4D"/>
    <w:rsid w:val="008B2238"/>
    <w:rsid w:val="008B45C0"/>
    <w:rsid w:val="008B575D"/>
    <w:rsid w:val="008B7941"/>
    <w:rsid w:val="008C1D8F"/>
    <w:rsid w:val="008C4FB5"/>
    <w:rsid w:val="008C5232"/>
    <w:rsid w:val="008D27C2"/>
    <w:rsid w:val="008E03DD"/>
    <w:rsid w:val="008E0696"/>
    <w:rsid w:val="008E3257"/>
    <w:rsid w:val="008E6862"/>
    <w:rsid w:val="008F1567"/>
    <w:rsid w:val="009042F3"/>
    <w:rsid w:val="00917FE2"/>
    <w:rsid w:val="0092729D"/>
    <w:rsid w:val="00927333"/>
    <w:rsid w:val="00933515"/>
    <w:rsid w:val="00941D68"/>
    <w:rsid w:val="00942DC5"/>
    <w:rsid w:val="00945118"/>
    <w:rsid w:val="0094694F"/>
    <w:rsid w:val="00950CA7"/>
    <w:rsid w:val="00951B11"/>
    <w:rsid w:val="009610B4"/>
    <w:rsid w:val="009613D1"/>
    <w:rsid w:val="00962B87"/>
    <w:rsid w:val="00963633"/>
    <w:rsid w:val="00964817"/>
    <w:rsid w:val="00964D43"/>
    <w:rsid w:val="00965124"/>
    <w:rsid w:val="009664CE"/>
    <w:rsid w:val="00966942"/>
    <w:rsid w:val="00972001"/>
    <w:rsid w:val="00974987"/>
    <w:rsid w:val="00982154"/>
    <w:rsid w:val="00982EAC"/>
    <w:rsid w:val="00994DA2"/>
    <w:rsid w:val="00997187"/>
    <w:rsid w:val="009A50A1"/>
    <w:rsid w:val="009B0DB0"/>
    <w:rsid w:val="009B476A"/>
    <w:rsid w:val="009B4D96"/>
    <w:rsid w:val="009B75DD"/>
    <w:rsid w:val="009C0078"/>
    <w:rsid w:val="009C2DB1"/>
    <w:rsid w:val="009C5FF0"/>
    <w:rsid w:val="009D3146"/>
    <w:rsid w:val="009D6E59"/>
    <w:rsid w:val="009D754B"/>
    <w:rsid w:val="009E3E53"/>
    <w:rsid w:val="009E48E3"/>
    <w:rsid w:val="009E5274"/>
    <w:rsid w:val="009E56D0"/>
    <w:rsid w:val="009E5B4F"/>
    <w:rsid w:val="009E733B"/>
    <w:rsid w:val="009E7D24"/>
    <w:rsid w:val="009F2E1B"/>
    <w:rsid w:val="009F6C69"/>
    <w:rsid w:val="009F7572"/>
    <w:rsid w:val="00A035C7"/>
    <w:rsid w:val="00A03C59"/>
    <w:rsid w:val="00A06318"/>
    <w:rsid w:val="00A13261"/>
    <w:rsid w:val="00A13751"/>
    <w:rsid w:val="00A236B2"/>
    <w:rsid w:val="00A269CC"/>
    <w:rsid w:val="00A37AF9"/>
    <w:rsid w:val="00A406BC"/>
    <w:rsid w:val="00A47AA4"/>
    <w:rsid w:val="00A53416"/>
    <w:rsid w:val="00A53AD8"/>
    <w:rsid w:val="00A57DD6"/>
    <w:rsid w:val="00A6193E"/>
    <w:rsid w:val="00A644B9"/>
    <w:rsid w:val="00A655D1"/>
    <w:rsid w:val="00A7173C"/>
    <w:rsid w:val="00A727EC"/>
    <w:rsid w:val="00A73762"/>
    <w:rsid w:val="00A73EFF"/>
    <w:rsid w:val="00A83235"/>
    <w:rsid w:val="00A8429A"/>
    <w:rsid w:val="00A91D79"/>
    <w:rsid w:val="00A942C5"/>
    <w:rsid w:val="00AA223E"/>
    <w:rsid w:val="00AB54DB"/>
    <w:rsid w:val="00AB5D12"/>
    <w:rsid w:val="00AB6E3C"/>
    <w:rsid w:val="00AC0068"/>
    <w:rsid w:val="00AC173E"/>
    <w:rsid w:val="00AC2742"/>
    <w:rsid w:val="00AC4353"/>
    <w:rsid w:val="00AC45E3"/>
    <w:rsid w:val="00AC7AD7"/>
    <w:rsid w:val="00AD3680"/>
    <w:rsid w:val="00AD542F"/>
    <w:rsid w:val="00AE418C"/>
    <w:rsid w:val="00AE6D05"/>
    <w:rsid w:val="00AF1153"/>
    <w:rsid w:val="00AF2A4D"/>
    <w:rsid w:val="00AF304C"/>
    <w:rsid w:val="00AF4CD5"/>
    <w:rsid w:val="00B02F1C"/>
    <w:rsid w:val="00B03055"/>
    <w:rsid w:val="00B10D19"/>
    <w:rsid w:val="00B12FAB"/>
    <w:rsid w:val="00B16297"/>
    <w:rsid w:val="00B209DC"/>
    <w:rsid w:val="00B22DB4"/>
    <w:rsid w:val="00B26064"/>
    <w:rsid w:val="00B2713F"/>
    <w:rsid w:val="00B27A79"/>
    <w:rsid w:val="00B304C6"/>
    <w:rsid w:val="00B308A6"/>
    <w:rsid w:val="00B34E9B"/>
    <w:rsid w:val="00B34FD0"/>
    <w:rsid w:val="00B43660"/>
    <w:rsid w:val="00B4611E"/>
    <w:rsid w:val="00B46DDC"/>
    <w:rsid w:val="00B52300"/>
    <w:rsid w:val="00B533AE"/>
    <w:rsid w:val="00B60853"/>
    <w:rsid w:val="00B63B2D"/>
    <w:rsid w:val="00B65B65"/>
    <w:rsid w:val="00B669F3"/>
    <w:rsid w:val="00B70AC5"/>
    <w:rsid w:val="00B7189C"/>
    <w:rsid w:val="00B75D1D"/>
    <w:rsid w:val="00B7684C"/>
    <w:rsid w:val="00B778D3"/>
    <w:rsid w:val="00B853B0"/>
    <w:rsid w:val="00B85B17"/>
    <w:rsid w:val="00B86528"/>
    <w:rsid w:val="00B87FE0"/>
    <w:rsid w:val="00B91C95"/>
    <w:rsid w:val="00B91E60"/>
    <w:rsid w:val="00B946E0"/>
    <w:rsid w:val="00B94902"/>
    <w:rsid w:val="00B94952"/>
    <w:rsid w:val="00B96B10"/>
    <w:rsid w:val="00BA1B41"/>
    <w:rsid w:val="00BA22A7"/>
    <w:rsid w:val="00BA38E8"/>
    <w:rsid w:val="00BA5EF3"/>
    <w:rsid w:val="00BA69A8"/>
    <w:rsid w:val="00BB33CE"/>
    <w:rsid w:val="00BC1CCE"/>
    <w:rsid w:val="00BC61AD"/>
    <w:rsid w:val="00BC6224"/>
    <w:rsid w:val="00BD0304"/>
    <w:rsid w:val="00BD248A"/>
    <w:rsid w:val="00BD326D"/>
    <w:rsid w:val="00BD57E8"/>
    <w:rsid w:val="00BE0496"/>
    <w:rsid w:val="00BE76F9"/>
    <w:rsid w:val="00BF26DF"/>
    <w:rsid w:val="00BF5534"/>
    <w:rsid w:val="00BF568A"/>
    <w:rsid w:val="00BF7D00"/>
    <w:rsid w:val="00C03AF9"/>
    <w:rsid w:val="00C071AC"/>
    <w:rsid w:val="00C10912"/>
    <w:rsid w:val="00C12334"/>
    <w:rsid w:val="00C1460F"/>
    <w:rsid w:val="00C20EC4"/>
    <w:rsid w:val="00C2449B"/>
    <w:rsid w:val="00C3290C"/>
    <w:rsid w:val="00C3556E"/>
    <w:rsid w:val="00C37CE5"/>
    <w:rsid w:val="00C410A5"/>
    <w:rsid w:val="00C418EC"/>
    <w:rsid w:val="00C41BB0"/>
    <w:rsid w:val="00C50BBB"/>
    <w:rsid w:val="00C5394E"/>
    <w:rsid w:val="00C53EB7"/>
    <w:rsid w:val="00C568AF"/>
    <w:rsid w:val="00C5773C"/>
    <w:rsid w:val="00C619A7"/>
    <w:rsid w:val="00C61DF9"/>
    <w:rsid w:val="00C62560"/>
    <w:rsid w:val="00C62E6B"/>
    <w:rsid w:val="00C63AC1"/>
    <w:rsid w:val="00C65E97"/>
    <w:rsid w:val="00C7015F"/>
    <w:rsid w:val="00C703F8"/>
    <w:rsid w:val="00C71A7C"/>
    <w:rsid w:val="00C86CC1"/>
    <w:rsid w:val="00C9090C"/>
    <w:rsid w:val="00C936EA"/>
    <w:rsid w:val="00C96417"/>
    <w:rsid w:val="00C977E8"/>
    <w:rsid w:val="00CA2060"/>
    <w:rsid w:val="00CA3BCF"/>
    <w:rsid w:val="00CA3D36"/>
    <w:rsid w:val="00CA68EB"/>
    <w:rsid w:val="00CB41D6"/>
    <w:rsid w:val="00CC002B"/>
    <w:rsid w:val="00CC20F6"/>
    <w:rsid w:val="00CC6EAB"/>
    <w:rsid w:val="00CC7715"/>
    <w:rsid w:val="00CC781B"/>
    <w:rsid w:val="00CC7B52"/>
    <w:rsid w:val="00CD2B4B"/>
    <w:rsid w:val="00CD435B"/>
    <w:rsid w:val="00CD5787"/>
    <w:rsid w:val="00CD5B8D"/>
    <w:rsid w:val="00CD5BCD"/>
    <w:rsid w:val="00CD609E"/>
    <w:rsid w:val="00CE4BD7"/>
    <w:rsid w:val="00CE7431"/>
    <w:rsid w:val="00CF17AA"/>
    <w:rsid w:val="00CF3104"/>
    <w:rsid w:val="00CF39B2"/>
    <w:rsid w:val="00D0403F"/>
    <w:rsid w:val="00D04E4D"/>
    <w:rsid w:val="00D0688D"/>
    <w:rsid w:val="00D0695E"/>
    <w:rsid w:val="00D10CCA"/>
    <w:rsid w:val="00D110A5"/>
    <w:rsid w:val="00D11263"/>
    <w:rsid w:val="00D11821"/>
    <w:rsid w:val="00D119D2"/>
    <w:rsid w:val="00D12FFB"/>
    <w:rsid w:val="00D13831"/>
    <w:rsid w:val="00D17731"/>
    <w:rsid w:val="00D2499B"/>
    <w:rsid w:val="00D31C73"/>
    <w:rsid w:val="00D40717"/>
    <w:rsid w:val="00D44647"/>
    <w:rsid w:val="00D462A0"/>
    <w:rsid w:val="00D465C6"/>
    <w:rsid w:val="00D539D6"/>
    <w:rsid w:val="00D57D52"/>
    <w:rsid w:val="00D61081"/>
    <w:rsid w:val="00D619A0"/>
    <w:rsid w:val="00D630E6"/>
    <w:rsid w:val="00D64F32"/>
    <w:rsid w:val="00D66133"/>
    <w:rsid w:val="00D66BDF"/>
    <w:rsid w:val="00D77C6D"/>
    <w:rsid w:val="00D83766"/>
    <w:rsid w:val="00D868F3"/>
    <w:rsid w:val="00D87239"/>
    <w:rsid w:val="00D958B8"/>
    <w:rsid w:val="00D967C2"/>
    <w:rsid w:val="00D97D75"/>
    <w:rsid w:val="00DA1570"/>
    <w:rsid w:val="00DA6A0C"/>
    <w:rsid w:val="00DA6E62"/>
    <w:rsid w:val="00DA7B04"/>
    <w:rsid w:val="00DB0079"/>
    <w:rsid w:val="00DB031B"/>
    <w:rsid w:val="00DB42DD"/>
    <w:rsid w:val="00DB65AF"/>
    <w:rsid w:val="00DB6D36"/>
    <w:rsid w:val="00DC07E1"/>
    <w:rsid w:val="00DC3E20"/>
    <w:rsid w:val="00DC5886"/>
    <w:rsid w:val="00DD239D"/>
    <w:rsid w:val="00DE355A"/>
    <w:rsid w:val="00DE68BD"/>
    <w:rsid w:val="00DF1E97"/>
    <w:rsid w:val="00DF3A19"/>
    <w:rsid w:val="00DF3B81"/>
    <w:rsid w:val="00DF72DB"/>
    <w:rsid w:val="00DF74A8"/>
    <w:rsid w:val="00E012AA"/>
    <w:rsid w:val="00E03C66"/>
    <w:rsid w:val="00E04ACF"/>
    <w:rsid w:val="00E078C0"/>
    <w:rsid w:val="00E11FCC"/>
    <w:rsid w:val="00E2053A"/>
    <w:rsid w:val="00E213C4"/>
    <w:rsid w:val="00E21B16"/>
    <w:rsid w:val="00E22667"/>
    <w:rsid w:val="00E227E2"/>
    <w:rsid w:val="00E3036D"/>
    <w:rsid w:val="00E35E8C"/>
    <w:rsid w:val="00E413FD"/>
    <w:rsid w:val="00E41B61"/>
    <w:rsid w:val="00E42BD0"/>
    <w:rsid w:val="00E46080"/>
    <w:rsid w:val="00E510EE"/>
    <w:rsid w:val="00E525CC"/>
    <w:rsid w:val="00E5478F"/>
    <w:rsid w:val="00E56663"/>
    <w:rsid w:val="00E60BF1"/>
    <w:rsid w:val="00E62521"/>
    <w:rsid w:val="00E664A4"/>
    <w:rsid w:val="00E71427"/>
    <w:rsid w:val="00E71D16"/>
    <w:rsid w:val="00E72B8D"/>
    <w:rsid w:val="00E74E43"/>
    <w:rsid w:val="00E76D4D"/>
    <w:rsid w:val="00E76FAC"/>
    <w:rsid w:val="00E83B49"/>
    <w:rsid w:val="00E852A6"/>
    <w:rsid w:val="00E87B17"/>
    <w:rsid w:val="00E87FB9"/>
    <w:rsid w:val="00E90DDA"/>
    <w:rsid w:val="00E92CA6"/>
    <w:rsid w:val="00E9518A"/>
    <w:rsid w:val="00EA03EF"/>
    <w:rsid w:val="00EA2892"/>
    <w:rsid w:val="00EB4389"/>
    <w:rsid w:val="00EC1000"/>
    <w:rsid w:val="00EC23B6"/>
    <w:rsid w:val="00EC5D20"/>
    <w:rsid w:val="00EC5E9F"/>
    <w:rsid w:val="00EC7FF5"/>
    <w:rsid w:val="00ED1782"/>
    <w:rsid w:val="00ED56E0"/>
    <w:rsid w:val="00EE08F6"/>
    <w:rsid w:val="00EE16FE"/>
    <w:rsid w:val="00EE3F09"/>
    <w:rsid w:val="00EE7B0D"/>
    <w:rsid w:val="00EF2AEB"/>
    <w:rsid w:val="00EF3CF9"/>
    <w:rsid w:val="00F01ADA"/>
    <w:rsid w:val="00F0424E"/>
    <w:rsid w:val="00F072F2"/>
    <w:rsid w:val="00F12ECE"/>
    <w:rsid w:val="00F15B96"/>
    <w:rsid w:val="00F20A90"/>
    <w:rsid w:val="00F22EBD"/>
    <w:rsid w:val="00F233BE"/>
    <w:rsid w:val="00F24D44"/>
    <w:rsid w:val="00F25FD1"/>
    <w:rsid w:val="00F30C8D"/>
    <w:rsid w:val="00F314DD"/>
    <w:rsid w:val="00F32A69"/>
    <w:rsid w:val="00F33E22"/>
    <w:rsid w:val="00F34853"/>
    <w:rsid w:val="00F37153"/>
    <w:rsid w:val="00F37409"/>
    <w:rsid w:val="00F404C0"/>
    <w:rsid w:val="00F52B11"/>
    <w:rsid w:val="00F52E97"/>
    <w:rsid w:val="00F56A7E"/>
    <w:rsid w:val="00F655CC"/>
    <w:rsid w:val="00F66166"/>
    <w:rsid w:val="00F70561"/>
    <w:rsid w:val="00F73990"/>
    <w:rsid w:val="00F74A21"/>
    <w:rsid w:val="00F77232"/>
    <w:rsid w:val="00F8141D"/>
    <w:rsid w:val="00F82F46"/>
    <w:rsid w:val="00F85B39"/>
    <w:rsid w:val="00F869A5"/>
    <w:rsid w:val="00F87F93"/>
    <w:rsid w:val="00F91C1E"/>
    <w:rsid w:val="00F92734"/>
    <w:rsid w:val="00F95505"/>
    <w:rsid w:val="00F95926"/>
    <w:rsid w:val="00F97C02"/>
    <w:rsid w:val="00FA0DB7"/>
    <w:rsid w:val="00FA3163"/>
    <w:rsid w:val="00FA5A9A"/>
    <w:rsid w:val="00FA7006"/>
    <w:rsid w:val="00FA77B7"/>
    <w:rsid w:val="00FB0E97"/>
    <w:rsid w:val="00FB1D1C"/>
    <w:rsid w:val="00FB232A"/>
    <w:rsid w:val="00FB4EDD"/>
    <w:rsid w:val="00FC1613"/>
    <w:rsid w:val="00FC574A"/>
    <w:rsid w:val="00FC585B"/>
    <w:rsid w:val="00FD02A4"/>
    <w:rsid w:val="00FD504B"/>
    <w:rsid w:val="00FE76E1"/>
    <w:rsid w:val="00FF084C"/>
    <w:rsid w:val="00FF0A39"/>
    <w:rsid w:val="00FF1806"/>
    <w:rsid w:val="00FF19E0"/>
    <w:rsid w:val="00FF54B3"/>
    <w:rsid w:val="6EFEF0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B85A5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2DF"/>
  </w:style>
  <w:style w:type="paragraph" w:styleId="Titre1">
    <w:name w:val="heading 1"/>
    <w:basedOn w:val="Normal"/>
    <w:next w:val="Normal"/>
    <w:link w:val="Titre1Car"/>
    <w:uiPriority w:val="9"/>
    <w:qFormat/>
    <w:rsid w:val="0083707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83707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F5EBF"/>
    <w:pPr>
      <w:tabs>
        <w:tab w:val="center" w:pos="4536"/>
        <w:tab w:val="right" w:pos="9072"/>
      </w:tabs>
      <w:spacing w:after="0" w:line="240" w:lineRule="auto"/>
    </w:pPr>
  </w:style>
  <w:style w:type="character" w:customStyle="1" w:styleId="En-tteCar">
    <w:name w:val="En-tête Car"/>
    <w:basedOn w:val="Policepardfaut"/>
    <w:link w:val="En-tte"/>
    <w:uiPriority w:val="99"/>
    <w:rsid w:val="003F5EBF"/>
  </w:style>
  <w:style w:type="paragraph" w:styleId="Pieddepage">
    <w:name w:val="footer"/>
    <w:basedOn w:val="Normal"/>
    <w:link w:val="PieddepageCar"/>
    <w:uiPriority w:val="99"/>
    <w:unhideWhenUsed/>
    <w:rsid w:val="003F5EB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F5EBF"/>
  </w:style>
  <w:style w:type="paragraph" w:styleId="Paragraphedeliste">
    <w:name w:val="List Paragraph"/>
    <w:basedOn w:val="Normal"/>
    <w:uiPriority w:val="34"/>
    <w:qFormat/>
    <w:rsid w:val="00C20EC4"/>
    <w:pPr>
      <w:ind w:left="720"/>
      <w:contextualSpacing/>
    </w:pPr>
  </w:style>
  <w:style w:type="character" w:customStyle="1" w:styleId="Titre1Car">
    <w:name w:val="Titre 1 Car"/>
    <w:basedOn w:val="Policepardfaut"/>
    <w:link w:val="Titre1"/>
    <w:uiPriority w:val="9"/>
    <w:rsid w:val="00837072"/>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837072"/>
    <w:rPr>
      <w:rFonts w:asciiTheme="majorHAnsi" w:eastAsiaTheme="majorEastAsia" w:hAnsiTheme="majorHAnsi" w:cstheme="majorBidi"/>
      <w:color w:val="2F5496" w:themeColor="accent1" w:themeShade="BF"/>
      <w:sz w:val="26"/>
      <w:szCs w:val="26"/>
    </w:rPr>
  </w:style>
  <w:style w:type="paragraph" w:styleId="En-ttedetabledesmatires">
    <w:name w:val="TOC Heading"/>
    <w:basedOn w:val="Titre1"/>
    <w:next w:val="Normal"/>
    <w:uiPriority w:val="39"/>
    <w:unhideWhenUsed/>
    <w:qFormat/>
    <w:rsid w:val="00837072"/>
    <w:pPr>
      <w:outlineLvl w:val="9"/>
    </w:pPr>
    <w:rPr>
      <w:lang w:eastAsia="fr-FR"/>
    </w:rPr>
  </w:style>
  <w:style w:type="paragraph" w:styleId="TM1">
    <w:name w:val="toc 1"/>
    <w:basedOn w:val="Normal"/>
    <w:next w:val="Normal"/>
    <w:autoRedefine/>
    <w:uiPriority w:val="39"/>
    <w:unhideWhenUsed/>
    <w:rsid w:val="00837072"/>
    <w:pPr>
      <w:spacing w:after="100"/>
    </w:pPr>
  </w:style>
  <w:style w:type="paragraph" w:styleId="TM2">
    <w:name w:val="toc 2"/>
    <w:basedOn w:val="Normal"/>
    <w:next w:val="Normal"/>
    <w:autoRedefine/>
    <w:uiPriority w:val="39"/>
    <w:unhideWhenUsed/>
    <w:rsid w:val="00837072"/>
    <w:pPr>
      <w:spacing w:after="100"/>
      <w:ind w:left="220"/>
    </w:pPr>
  </w:style>
  <w:style w:type="character" w:styleId="Lienhypertexte">
    <w:name w:val="Hyperlink"/>
    <w:basedOn w:val="Policepardfaut"/>
    <w:uiPriority w:val="99"/>
    <w:unhideWhenUsed/>
    <w:rsid w:val="00837072"/>
    <w:rPr>
      <w:color w:val="0563C1" w:themeColor="hyperlink"/>
      <w:u w:val="single"/>
    </w:rPr>
  </w:style>
  <w:style w:type="character" w:styleId="Marquedecommentaire">
    <w:name w:val="annotation reference"/>
    <w:basedOn w:val="Policepardfaut"/>
    <w:uiPriority w:val="99"/>
    <w:unhideWhenUsed/>
    <w:rsid w:val="0008023C"/>
    <w:rPr>
      <w:sz w:val="16"/>
      <w:szCs w:val="16"/>
    </w:rPr>
  </w:style>
  <w:style w:type="paragraph" w:styleId="Commentaire">
    <w:name w:val="annotation text"/>
    <w:basedOn w:val="Normal"/>
    <w:link w:val="CommentaireCar"/>
    <w:uiPriority w:val="99"/>
    <w:unhideWhenUsed/>
    <w:rsid w:val="0008023C"/>
    <w:pPr>
      <w:spacing w:line="240" w:lineRule="auto"/>
    </w:pPr>
    <w:rPr>
      <w:sz w:val="20"/>
      <w:szCs w:val="20"/>
    </w:rPr>
  </w:style>
  <w:style w:type="character" w:customStyle="1" w:styleId="CommentaireCar">
    <w:name w:val="Commentaire Car"/>
    <w:basedOn w:val="Policepardfaut"/>
    <w:link w:val="Commentaire"/>
    <w:uiPriority w:val="99"/>
    <w:rsid w:val="0008023C"/>
    <w:rPr>
      <w:sz w:val="20"/>
      <w:szCs w:val="20"/>
    </w:rPr>
  </w:style>
  <w:style w:type="paragraph" w:styleId="Objetducommentaire">
    <w:name w:val="annotation subject"/>
    <w:basedOn w:val="Commentaire"/>
    <w:next w:val="Commentaire"/>
    <w:link w:val="ObjetducommentaireCar"/>
    <w:uiPriority w:val="99"/>
    <w:semiHidden/>
    <w:unhideWhenUsed/>
    <w:rsid w:val="0008023C"/>
    <w:rPr>
      <w:b/>
      <w:bCs/>
    </w:rPr>
  </w:style>
  <w:style w:type="character" w:customStyle="1" w:styleId="ObjetducommentaireCar">
    <w:name w:val="Objet du commentaire Car"/>
    <w:basedOn w:val="CommentaireCar"/>
    <w:link w:val="Objetducommentaire"/>
    <w:uiPriority w:val="99"/>
    <w:semiHidden/>
    <w:rsid w:val="0008023C"/>
    <w:rPr>
      <w:b/>
      <w:bCs/>
      <w:sz w:val="20"/>
      <w:szCs w:val="20"/>
    </w:rPr>
  </w:style>
  <w:style w:type="paragraph" w:styleId="Textedebulles">
    <w:name w:val="Balloon Text"/>
    <w:basedOn w:val="Normal"/>
    <w:link w:val="TextedebullesCar"/>
    <w:uiPriority w:val="99"/>
    <w:semiHidden/>
    <w:unhideWhenUsed/>
    <w:rsid w:val="0008023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8023C"/>
    <w:rPr>
      <w:rFonts w:ascii="Segoe UI" w:hAnsi="Segoe UI" w:cs="Segoe UI"/>
      <w:sz w:val="18"/>
      <w:szCs w:val="18"/>
    </w:rPr>
  </w:style>
  <w:style w:type="paragraph" w:styleId="Rvision">
    <w:name w:val="Revision"/>
    <w:hidden/>
    <w:uiPriority w:val="99"/>
    <w:semiHidden/>
    <w:rsid w:val="003B769D"/>
    <w:pPr>
      <w:spacing w:after="0" w:line="240" w:lineRule="auto"/>
    </w:pPr>
  </w:style>
  <w:style w:type="paragraph" w:styleId="Notedebasdepage">
    <w:name w:val="footnote text"/>
    <w:basedOn w:val="Normal"/>
    <w:link w:val="NotedebasdepageCar"/>
    <w:uiPriority w:val="99"/>
    <w:semiHidden/>
    <w:unhideWhenUsed/>
    <w:rsid w:val="00141C7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41C77"/>
    <w:rPr>
      <w:sz w:val="20"/>
      <w:szCs w:val="20"/>
    </w:rPr>
  </w:style>
  <w:style w:type="character" w:styleId="Appelnotedebasdep">
    <w:name w:val="footnote reference"/>
    <w:basedOn w:val="Policepardfaut"/>
    <w:uiPriority w:val="99"/>
    <w:semiHidden/>
    <w:unhideWhenUsed/>
    <w:rsid w:val="00141C77"/>
    <w:rPr>
      <w:vertAlign w:val="superscript"/>
    </w:rPr>
  </w:style>
  <w:style w:type="paragraph" w:styleId="Sansinterligne">
    <w:name w:val="No Spacing"/>
    <w:uiPriority w:val="1"/>
    <w:qFormat/>
    <w:rsid w:val="00CC002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019031">
      <w:bodyDiv w:val="1"/>
      <w:marLeft w:val="0"/>
      <w:marRight w:val="0"/>
      <w:marTop w:val="0"/>
      <w:marBottom w:val="0"/>
      <w:divBdr>
        <w:top w:val="none" w:sz="0" w:space="0" w:color="auto"/>
        <w:left w:val="none" w:sz="0" w:space="0" w:color="auto"/>
        <w:bottom w:val="none" w:sz="0" w:space="0" w:color="auto"/>
        <w:right w:val="none" w:sz="0" w:space="0" w:color="auto"/>
      </w:divBdr>
    </w:div>
    <w:div w:id="330255871">
      <w:bodyDiv w:val="1"/>
      <w:marLeft w:val="0"/>
      <w:marRight w:val="0"/>
      <w:marTop w:val="0"/>
      <w:marBottom w:val="0"/>
      <w:divBdr>
        <w:top w:val="none" w:sz="0" w:space="0" w:color="auto"/>
        <w:left w:val="none" w:sz="0" w:space="0" w:color="auto"/>
        <w:bottom w:val="none" w:sz="0" w:space="0" w:color="auto"/>
        <w:right w:val="none" w:sz="0" w:space="0" w:color="auto"/>
      </w:divBdr>
    </w:div>
    <w:div w:id="594242129">
      <w:bodyDiv w:val="1"/>
      <w:marLeft w:val="0"/>
      <w:marRight w:val="0"/>
      <w:marTop w:val="0"/>
      <w:marBottom w:val="0"/>
      <w:divBdr>
        <w:top w:val="none" w:sz="0" w:space="0" w:color="auto"/>
        <w:left w:val="none" w:sz="0" w:space="0" w:color="auto"/>
        <w:bottom w:val="none" w:sz="0" w:space="0" w:color="auto"/>
        <w:right w:val="none" w:sz="0" w:space="0" w:color="auto"/>
      </w:divBdr>
    </w:div>
    <w:div w:id="1169907050">
      <w:bodyDiv w:val="1"/>
      <w:marLeft w:val="0"/>
      <w:marRight w:val="0"/>
      <w:marTop w:val="0"/>
      <w:marBottom w:val="0"/>
      <w:divBdr>
        <w:top w:val="none" w:sz="0" w:space="0" w:color="auto"/>
        <w:left w:val="none" w:sz="0" w:space="0" w:color="auto"/>
        <w:bottom w:val="none" w:sz="0" w:space="0" w:color="auto"/>
        <w:right w:val="none" w:sz="0" w:space="0" w:color="auto"/>
      </w:divBdr>
    </w:div>
    <w:div w:id="1220554161">
      <w:bodyDiv w:val="1"/>
      <w:marLeft w:val="0"/>
      <w:marRight w:val="0"/>
      <w:marTop w:val="0"/>
      <w:marBottom w:val="0"/>
      <w:divBdr>
        <w:top w:val="none" w:sz="0" w:space="0" w:color="auto"/>
        <w:left w:val="none" w:sz="0" w:space="0" w:color="auto"/>
        <w:bottom w:val="none" w:sz="0" w:space="0" w:color="auto"/>
        <w:right w:val="none" w:sz="0" w:space="0" w:color="auto"/>
      </w:divBdr>
    </w:div>
    <w:div w:id="1463574955">
      <w:bodyDiv w:val="1"/>
      <w:marLeft w:val="0"/>
      <w:marRight w:val="0"/>
      <w:marTop w:val="0"/>
      <w:marBottom w:val="0"/>
      <w:divBdr>
        <w:top w:val="none" w:sz="0" w:space="0" w:color="auto"/>
        <w:left w:val="none" w:sz="0" w:space="0" w:color="auto"/>
        <w:bottom w:val="none" w:sz="0" w:space="0" w:color="auto"/>
        <w:right w:val="none" w:sz="0" w:space="0" w:color="auto"/>
      </w:divBdr>
    </w:div>
    <w:div w:id="1480539585">
      <w:bodyDiv w:val="1"/>
      <w:marLeft w:val="0"/>
      <w:marRight w:val="0"/>
      <w:marTop w:val="0"/>
      <w:marBottom w:val="0"/>
      <w:divBdr>
        <w:top w:val="none" w:sz="0" w:space="0" w:color="auto"/>
        <w:left w:val="none" w:sz="0" w:space="0" w:color="auto"/>
        <w:bottom w:val="none" w:sz="0" w:space="0" w:color="auto"/>
        <w:right w:val="none" w:sz="0" w:space="0" w:color="auto"/>
      </w:divBdr>
    </w:div>
    <w:div w:id="1951157926">
      <w:bodyDiv w:val="1"/>
      <w:marLeft w:val="0"/>
      <w:marRight w:val="0"/>
      <w:marTop w:val="0"/>
      <w:marBottom w:val="0"/>
      <w:divBdr>
        <w:top w:val="none" w:sz="0" w:space="0" w:color="auto"/>
        <w:left w:val="none" w:sz="0" w:space="0" w:color="auto"/>
        <w:bottom w:val="none" w:sz="0" w:space="0" w:color="auto"/>
        <w:right w:val="none" w:sz="0" w:space="0" w:color="auto"/>
      </w:divBdr>
    </w:div>
    <w:div w:id="1965193112">
      <w:bodyDiv w:val="1"/>
      <w:marLeft w:val="0"/>
      <w:marRight w:val="0"/>
      <w:marTop w:val="0"/>
      <w:marBottom w:val="0"/>
      <w:divBdr>
        <w:top w:val="none" w:sz="0" w:space="0" w:color="auto"/>
        <w:left w:val="none" w:sz="0" w:space="0" w:color="auto"/>
        <w:bottom w:val="none" w:sz="0" w:space="0" w:color="auto"/>
        <w:right w:val="none" w:sz="0" w:space="0" w:color="auto"/>
      </w:divBdr>
    </w:div>
    <w:div w:id="212896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B54D4D-C71A-417E-A477-E323F143E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611</Words>
  <Characters>3364</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3968</CharactersWithSpaces>
  <SharedDoc>false</SharedDoc>
  <HLinks>
    <vt:vector size="108" baseType="variant">
      <vt:variant>
        <vt:i4>1310782</vt:i4>
      </vt:variant>
      <vt:variant>
        <vt:i4>104</vt:i4>
      </vt:variant>
      <vt:variant>
        <vt:i4>0</vt:i4>
      </vt:variant>
      <vt:variant>
        <vt:i4>5</vt:i4>
      </vt:variant>
      <vt:variant>
        <vt:lpwstr/>
      </vt:variant>
      <vt:variant>
        <vt:lpwstr>_Toc149210757</vt:lpwstr>
      </vt:variant>
      <vt:variant>
        <vt:i4>1310782</vt:i4>
      </vt:variant>
      <vt:variant>
        <vt:i4>98</vt:i4>
      </vt:variant>
      <vt:variant>
        <vt:i4>0</vt:i4>
      </vt:variant>
      <vt:variant>
        <vt:i4>5</vt:i4>
      </vt:variant>
      <vt:variant>
        <vt:lpwstr/>
      </vt:variant>
      <vt:variant>
        <vt:lpwstr>_Toc149210756</vt:lpwstr>
      </vt:variant>
      <vt:variant>
        <vt:i4>1310782</vt:i4>
      </vt:variant>
      <vt:variant>
        <vt:i4>92</vt:i4>
      </vt:variant>
      <vt:variant>
        <vt:i4>0</vt:i4>
      </vt:variant>
      <vt:variant>
        <vt:i4>5</vt:i4>
      </vt:variant>
      <vt:variant>
        <vt:lpwstr/>
      </vt:variant>
      <vt:variant>
        <vt:lpwstr>_Toc149210755</vt:lpwstr>
      </vt:variant>
      <vt:variant>
        <vt:i4>1310782</vt:i4>
      </vt:variant>
      <vt:variant>
        <vt:i4>86</vt:i4>
      </vt:variant>
      <vt:variant>
        <vt:i4>0</vt:i4>
      </vt:variant>
      <vt:variant>
        <vt:i4>5</vt:i4>
      </vt:variant>
      <vt:variant>
        <vt:lpwstr/>
      </vt:variant>
      <vt:variant>
        <vt:lpwstr>_Toc149210754</vt:lpwstr>
      </vt:variant>
      <vt:variant>
        <vt:i4>1310782</vt:i4>
      </vt:variant>
      <vt:variant>
        <vt:i4>80</vt:i4>
      </vt:variant>
      <vt:variant>
        <vt:i4>0</vt:i4>
      </vt:variant>
      <vt:variant>
        <vt:i4>5</vt:i4>
      </vt:variant>
      <vt:variant>
        <vt:lpwstr/>
      </vt:variant>
      <vt:variant>
        <vt:lpwstr>_Toc149210753</vt:lpwstr>
      </vt:variant>
      <vt:variant>
        <vt:i4>1310782</vt:i4>
      </vt:variant>
      <vt:variant>
        <vt:i4>74</vt:i4>
      </vt:variant>
      <vt:variant>
        <vt:i4>0</vt:i4>
      </vt:variant>
      <vt:variant>
        <vt:i4>5</vt:i4>
      </vt:variant>
      <vt:variant>
        <vt:lpwstr/>
      </vt:variant>
      <vt:variant>
        <vt:lpwstr>_Toc149210752</vt:lpwstr>
      </vt:variant>
      <vt:variant>
        <vt:i4>1310782</vt:i4>
      </vt:variant>
      <vt:variant>
        <vt:i4>68</vt:i4>
      </vt:variant>
      <vt:variant>
        <vt:i4>0</vt:i4>
      </vt:variant>
      <vt:variant>
        <vt:i4>5</vt:i4>
      </vt:variant>
      <vt:variant>
        <vt:lpwstr/>
      </vt:variant>
      <vt:variant>
        <vt:lpwstr>_Toc149210751</vt:lpwstr>
      </vt:variant>
      <vt:variant>
        <vt:i4>1310782</vt:i4>
      </vt:variant>
      <vt:variant>
        <vt:i4>62</vt:i4>
      </vt:variant>
      <vt:variant>
        <vt:i4>0</vt:i4>
      </vt:variant>
      <vt:variant>
        <vt:i4>5</vt:i4>
      </vt:variant>
      <vt:variant>
        <vt:lpwstr/>
      </vt:variant>
      <vt:variant>
        <vt:lpwstr>_Toc149210750</vt:lpwstr>
      </vt:variant>
      <vt:variant>
        <vt:i4>1376318</vt:i4>
      </vt:variant>
      <vt:variant>
        <vt:i4>56</vt:i4>
      </vt:variant>
      <vt:variant>
        <vt:i4>0</vt:i4>
      </vt:variant>
      <vt:variant>
        <vt:i4>5</vt:i4>
      </vt:variant>
      <vt:variant>
        <vt:lpwstr/>
      </vt:variant>
      <vt:variant>
        <vt:lpwstr>_Toc149210748</vt:lpwstr>
      </vt:variant>
      <vt:variant>
        <vt:i4>1376318</vt:i4>
      </vt:variant>
      <vt:variant>
        <vt:i4>50</vt:i4>
      </vt:variant>
      <vt:variant>
        <vt:i4>0</vt:i4>
      </vt:variant>
      <vt:variant>
        <vt:i4>5</vt:i4>
      </vt:variant>
      <vt:variant>
        <vt:lpwstr/>
      </vt:variant>
      <vt:variant>
        <vt:lpwstr>_Toc149210747</vt:lpwstr>
      </vt:variant>
      <vt:variant>
        <vt:i4>1376318</vt:i4>
      </vt:variant>
      <vt:variant>
        <vt:i4>44</vt:i4>
      </vt:variant>
      <vt:variant>
        <vt:i4>0</vt:i4>
      </vt:variant>
      <vt:variant>
        <vt:i4>5</vt:i4>
      </vt:variant>
      <vt:variant>
        <vt:lpwstr/>
      </vt:variant>
      <vt:variant>
        <vt:lpwstr>_Toc149210746</vt:lpwstr>
      </vt:variant>
      <vt:variant>
        <vt:i4>1376318</vt:i4>
      </vt:variant>
      <vt:variant>
        <vt:i4>38</vt:i4>
      </vt:variant>
      <vt:variant>
        <vt:i4>0</vt:i4>
      </vt:variant>
      <vt:variant>
        <vt:i4>5</vt:i4>
      </vt:variant>
      <vt:variant>
        <vt:lpwstr/>
      </vt:variant>
      <vt:variant>
        <vt:lpwstr>_Toc149210745</vt:lpwstr>
      </vt:variant>
      <vt:variant>
        <vt:i4>1376318</vt:i4>
      </vt:variant>
      <vt:variant>
        <vt:i4>32</vt:i4>
      </vt:variant>
      <vt:variant>
        <vt:i4>0</vt:i4>
      </vt:variant>
      <vt:variant>
        <vt:i4>5</vt:i4>
      </vt:variant>
      <vt:variant>
        <vt:lpwstr/>
      </vt:variant>
      <vt:variant>
        <vt:lpwstr>_Toc149210744</vt:lpwstr>
      </vt:variant>
      <vt:variant>
        <vt:i4>1376318</vt:i4>
      </vt:variant>
      <vt:variant>
        <vt:i4>26</vt:i4>
      </vt:variant>
      <vt:variant>
        <vt:i4>0</vt:i4>
      </vt:variant>
      <vt:variant>
        <vt:i4>5</vt:i4>
      </vt:variant>
      <vt:variant>
        <vt:lpwstr/>
      </vt:variant>
      <vt:variant>
        <vt:lpwstr>_Toc149210743</vt:lpwstr>
      </vt:variant>
      <vt:variant>
        <vt:i4>1376318</vt:i4>
      </vt:variant>
      <vt:variant>
        <vt:i4>20</vt:i4>
      </vt:variant>
      <vt:variant>
        <vt:i4>0</vt:i4>
      </vt:variant>
      <vt:variant>
        <vt:i4>5</vt:i4>
      </vt:variant>
      <vt:variant>
        <vt:lpwstr/>
      </vt:variant>
      <vt:variant>
        <vt:lpwstr>_Toc149210741</vt:lpwstr>
      </vt:variant>
      <vt:variant>
        <vt:i4>1376318</vt:i4>
      </vt:variant>
      <vt:variant>
        <vt:i4>14</vt:i4>
      </vt:variant>
      <vt:variant>
        <vt:i4>0</vt:i4>
      </vt:variant>
      <vt:variant>
        <vt:i4>5</vt:i4>
      </vt:variant>
      <vt:variant>
        <vt:lpwstr/>
      </vt:variant>
      <vt:variant>
        <vt:lpwstr>_Toc149210740</vt:lpwstr>
      </vt:variant>
      <vt:variant>
        <vt:i4>1179710</vt:i4>
      </vt:variant>
      <vt:variant>
        <vt:i4>8</vt:i4>
      </vt:variant>
      <vt:variant>
        <vt:i4>0</vt:i4>
      </vt:variant>
      <vt:variant>
        <vt:i4>5</vt:i4>
      </vt:variant>
      <vt:variant>
        <vt:lpwstr/>
      </vt:variant>
      <vt:variant>
        <vt:lpwstr>_Toc149210739</vt:lpwstr>
      </vt:variant>
      <vt:variant>
        <vt:i4>1179710</vt:i4>
      </vt:variant>
      <vt:variant>
        <vt:i4>2</vt:i4>
      </vt:variant>
      <vt:variant>
        <vt:i4>0</vt:i4>
      </vt:variant>
      <vt:variant>
        <vt:i4>5</vt:i4>
      </vt:variant>
      <vt:variant>
        <vt:lpwstr/>
      </vt:variant>
      <vt:variant>
        <vt:lpwstr>_Toc149210738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2024-10-10T09:15:00Z</dcterms:created>
  <dcterms:modified xsi:type="dcterms:W3CDTF">2025-03-12T08:50:00Z</dcterms:modified>
</cp:coreProperties>
</file>