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 xml:space="preserve">Ainsi, l’ensemble de ces échanges doivent se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/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6" w:rsidRDefault="00E502F6" w:rsidP="00181661">
      <w:r>
        <w:separator/>
      </w:r>
    </w:p>
  </w:endnote>
  <w:endnote w:type="continuationSeparator" w:id="0">
    <w:p w:rsidR="00E502F6" w:rsidRDefault="00E502F6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F9" w:rsidRDefault="009467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F9" w:rsidRDefault="00946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6" w:rsidRDefault="00E502F6" w:rsidP="00181661">
      <w:r>
        <w:separator/>
      </w:r>
    </w:p>
  </w:footnote>
  <w:footnote w:type="continuationSeparator" w:id="0">
    <w:p w:rsidR="00E502F6" w:rsidRDefault="00E502F6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F9" w:rsidRDefault="009467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8522E2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-775970</wp:posOffset>
          </wp:positionH>
          <wp:positionV relativeFrom="paragraph">
            <wp:posOffset>-297180</wp:posOffset>
          </wp:positionV>
          <wp:extent cx="1467055" cy="74305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7055" cy="743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661">
      <w:rPr>
        <w:rFonts w:ascii="Arial Narrow" w:hAnsi="Arial Narrow" w:cs="Arial"/>
        <w:sz w:val="36"/>
        <w:szCs w:val="36"/>
      </w:rPr>
      <w:t>G</w:t>
    </w:r>
    <w:r w:rsidR="00181661">
      <w:rPr>
        <w:rFonts w:ascii="Arial Narrow" w:hAnsi="Arial Narrow" w:cs="Arial"/>
        <w:sz w:val="28"/>
        <w:szCs w:val="28"/>
      </w:rPr>
      <w:t>ROUPEMENT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H</w:t>
    </w:r>
    <w:r w:rsidR="00181661" w:rsidRPr="00375327">
      <w:rPr>
        <w:rFonts w:ascii="Arial Narrow" w:hAnsi="Arial Narrow" w:cs="Arial"/>
        <w:sz w:val="28"/>
        <w:szCs w:val="28"/>
      </w:rPr>
      <w:t>OSPITALI</w:t>
    </w:r>
    <w:r w:rsidR="00181661">
      <w:rPr>
        <w:rFonts w:ascii="Arial Narrow" w:hAnsi="Arial Narrow" w:cs="Arial"/>
        <w:sz w:val="28"/>
        <w:szCs w:val="28"/>
      </w:rPr>
      <w:t>E</w:t>
    </w:r>
    <w:r w:rsidR="00181661" w:rsidRPr="00375327">
      <w:rPr>
        <w:rFonts w:ascii="Arial Narrow" w:hAnsi="Arial Narrow" w:cs="Arial"/>
        <w:sz w:val="28"/>
        <w:szCs w:val="28"/>
      </w:rPr>
      <w:t>R</w:t>
    </w:r>
    <w:r w:rsidR="00181661" w:rsidRPr="00F230EB">
      <w:rPr>
        <w:rFonts w:ascii="Arial Narrow" w:hAnsi="Arial Narrow" w:cs="Arial"/>
        <w:sz w:val="26"/>
        <w:szCs w:val="26"/>
      </w:rPr>
      <w:t xml:space="preserve"> </w:t>
    </w:r>
    <w:r w:rsidR="00181661" w:rsidRPr="00351611">
      <w:rPr>
        <w:rFonts w:ascii="Arial Narrow" w:hAnsi="Arial Narrow" w:cs="Arial"/>
        <w:sz w:val="28"/>
        <w:szCs w:val="28"/>
      </w:rPr>
      <w:t>DE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T</w:t>
    </w:r>
    <w:r w:rsidR="00181661" w:rsidRPr="00351611">
      <w:rPr>
        <w:rFonts w:ascii="Arial Narrow" w:hAnsi="Arial Narrow" w:cs="Arial"/>
        <w:sz w:val="28"/>
        <w:szCs w:val="28"/>
      </w:rPr>
      <w:t>ERRITOIRE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51611">
      <w:rPr>
        <w:rFonts w:ascii="Arial Narrow" w:hAnsi="Arial Narrow" w:cs="Arial"/>
        <w:sz w:val="36"/>
        <w:szCs w:val="36"/>
      </w:rPr>
      <w:t>A</w:t>
    </w:r>
    <w:r w:rsidR="00181661" w:rsidRPr="00351611">
      <w:rPr>
        <w:rFonts w:ascii="Arial Narrow" w:hAnsi="Arial Narrow" w:cs="Arial"/>
        <w:sz w:val="28"/>
        <w:szCs w:val="28"/>
      </w:rPr>
      <w:t xml:space="preserve">TLANTIQUE </w:t>
    </w:r>
    <w:r w:rsidR="00181661"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9467F9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9F6F05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9467F9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>
      <w:rPr>
        <w:rFonts w:ascii="Arial Narrow" w:hAnsi="Arial Narrow" w:cs="Estrangelo Edessa"/>
        <w:smallCaps/>
        <w:sz w:val="26"/>
        <w:szCs w:val="26"/>
      </w:rPr>
      <w:t>Direction des Achats</w:t>
    </w:r>
    <w:r w:rsidR="00571C3B">
      <w:rPr>
        <w:rFonts w:ascii="Arial Narrow" w:hAnsi="Arial Narrow" w:cs="Estrangelo Edessa"/>
        <w:smallCaps/>
        <w:sz w:val="26"/>
        <w:szCs w:val="26"/>
      </w:rPr>
      <w:t>,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  <w:bookmarkStart w:id="0" w:name="_GoBack"/>
    <w:bookmarkEnd w:id="0"/>
  </w:p>
  <w:p w:rsidR="00181661" w:rsidRDefault="001816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7F9" w:rsidRDefault="009467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4064B9"/>
    <w:rsid w:val="00571C3B"/>
    <w:rsid w:val="00577BF1"/>
    <w:rsid w:val="005E702D"/>
    <w:rsid w:val="00653D7A"/>
    <w:rsid w:val="008522E2"/>
    <w:rsid w:val="00897594"/>
    <w:rsid w:val="0093116D"/>
    <w:rsid w:val="009467F9"/>
    <w:rsid w:val="009959BB"/>
    <w:rsid w:val="009C369B"/>
    <w:rsid w:val="009E4F39"/>
    <w:rsid w:val="009F6F05"/>
    <w:rsid w:val="00A344B6"/>
    <w:rsid w:val="00CC3859"/>
    <w:rsid w:val="00CF55A4"/>
    <w:rsid w:val="00DF7804"/>
    <w:rsid w:val="00E502F6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B6A084B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DELAPORTE Priscilla</cp:lastModifiedBy>
  <cp:revision>20</cp:revision>
  <dcterms:created xsi:type="dcterms:W3CDTF">2019-01-16T12:23:00Z</dcterms:created>
  <dcterms:modified xsi:type="dcterms:W3CDTF">2025-03-12T13:24:00Z</dcterms:modified>
</cp:coreProperties>
</file>