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2472F" w14:textId="77777777" w:rsidR="00D24528" w:rsidRDefault="00D24528" w:rsidP="006A08CC">
      <w:pPr>
        <w:ind w:right="-1"/>
        <w:jc w:val="center"/>
        <w:rPr>
          <w:b/>
          <w:smallCaps/>
          <w:sz w:val="32"/>
          <w:szCs w:val="32"/>
          <w:u w:val="single"/>
        </w:rPr>
      </w:pPr>
    </w:p>
    <w:p w14:paraId="4EF843C1" w14:textId="76197D21" w:rsidR="006922FC" w:rsidRPr="006922FC" w:rsidRDefault="006922FC" w:rsidP="006A08CC">
      <w:pPr>
        <w:ind w:right="-1"/>
        <w:jc w:val="center"/>
        <w:rPr>
          <w:b/>
          <w:smallCaps/>
          <w:sz w:val="32"/>
          <w:szCs w:val="32"/>
          <w:u w:val="single"/>
        </w:rPr>
      </w:pPr>
      <w:r w:rsidRPr="006922FC">
        <w:rPr>
          <w:b/>
          <w:smallCaps/>
          <w:sz w:val="32"/>
          <w:szCs w:val="32"/>
          <w:u w:val="single"/>
        </w:rPr>
        <w:t>Marché n°599/</w:t>
      </w:r>
      <w:r w:rsidR="00847F57">
        <w:rPr>
          <w:b/>
          <w:smallCaps/>
          <w:sz w:val="32"/>
          <w:szCs w:val="32"/>
          <w:u w:val="single"/>
        </w:rPr>
        <w:t>03/2025</w:t>
      </w:r>
    </w:p>
    <w:p w14:paraId="27D54BC0" w14:textId="77777777" w:rsidR="006922FC" w:rsidRPr="006922FC" w:rsidRDefault="006922FC" w:rsidP="006A08CC">
      <w:pPr>
        <w:ind w:right="-1"/>
        <w:jc w:val="center"/>
        <w:rPr>
          <w:b/>
          <w:smallCaps/>
          <w:sz w:val="32"/>
          <w:szCs w:val="32"/>
          <w:u w:val="single"/>
        </w:rPr>
      </w:pPr>
    </w:p>
    <w:p w14:paraId="594E255F" w14:textId="4B8581E1" w:rsidR="006922FC" w:rsidRPr="006922FC" w:rsidRDefault="006922FC" w:rsidP="006A08CC">
      <w:pPr>
        <w:ind w:right="-1"/>
        <w:jc w:val="center"/>
        <w:rPr>
          <w:b/>
          <w:smallCaps/>
          <w:sz w:val="32"/>
          <w:szCs w:val="32"/>
          <w:u w:val="single"/>
        </w:rPr>
      </w:pPr>
      <w:r w:rsidRPr="006922FC">
        <w:rPr>
          <w:b/>
          <w:smallCaps/>
          <w:sz w:val="32"/>
          <w:szCs w:val="32"/>
          <w:u w:val="single"/>
        </w:rPr>
        <w:t>A</w:t>
      </w:r>
      <w:r w:rsidR="009A567B" w:rsidRPr="006922FC">
        <w:rPr>
          <w:b/>
          <w:smallCaps/>
          <w:sz w:val="32"/>
          <w:szCs w:val="32"/>
          <w:u w:val="single"/>
        </w:rPr>
        <w:t>cte d’Engagement</w:t>
      </w:r>
    </w:p>
    <w:p w14:paraId="5BD47985" w14:textId="77777777" w:rsidR="006922FC" w:rsidRDefault="006922FC" w:rsidP="006A08CC">
      <w:pPr>
        <w:ind w:right="-1"/>
        <w:jc w:val="center"/>
        <w:rPr>
          <w:b/>
          <w:smallCaps/>
          <w:sz w:val="26"/>
          <w:szCs w:val="26"/>
          <w:u w:val="single"/>
        </w:rPr>
      </w:pPr>
    </w:p>
    <w:p w14:paraId="096585FD" w14:textId="4EC91608" w:rsidR="006A08CC" w:rsidRPr="006922FC" w:rsidRDefault="006922FC" w:rsidP="006922FC">
      <w:pPr>
        <w:ind w:right="-1"/>
        <w:jc w:val="center"/>
        <w:rPr>
          <w:rFonts w:eastAsia="Arial-BoldMT" w:cs="Arial-BoldMT"/>
          <w:b/>
          <w:bCs/>
          <w:smallCaps/>
          <w:sz w:val="32"/>
          <w:szCs w:val="32"/>
          <w:u w:val="double"/>
        </w:rPr>
      </w:pPr>
      <w:r w:rsidRPr="006922FC">
        <w:rPr>
          <w:b/>
          <w:smallCaps/>
          <w:sz w:val="32"/>
          <w:szCs w:val="32"/>
          <w:u w:val="single"/>
        </w:rPr>
        <w:t>Annexe 2</w:t>
      </w:r>
    </w:p>
    <w:p w14:paraId="16D1E998" w14:textId="77777777" w:rsidR="006A08CC" w:rsidRPr="006922FC" w:rsidRDefault="006A08CC" w:rsidP="006A08CC">
      <w:pPr>
        <w:jc w:val="center"/>
        <w:rPr>
          <w:rFonts w:eastAsia="Arial-BoldMT" w:cs="Arial-BoldMT"/>
          <w:b/>
          <w:bCs/>
          <w:smallCaps/>
          <w:sz w:val="32"/>
          <w:szCs w:val="32"/>
          <w:u w:val="double"/>
        </w:rPr>
      </w:pPr>
      <w:r w:rsidRPr="006922FC">
        <w:rPr>
          <w:rFonts w:eastAsia="Arial-BoldMT" w:cs="Arial-BoldMT"/>
          <w:b/>
          <w:bCs/>
          <w:smallCaps/>
          <w:sz w:val="32"/>
          <w:szCs w:val="32"/>
          <w:u w:val="double"/>
        </w:rPr>
        <w:t>Mémoire technique</w:t>
      </w:r>
    </w:p>
    <w:p w14:paraId="564BEAE8" w14:textId="77777777" w:rsidR="00BF5B10" w:rsidRPr="001E12C9" w:rsidRDefault="00BF5B10" w:rsidP="00544176">
      <w:pPr>
        <w:jc w:val="center"/>
        <w:rPr>
          <w:rFonts w:eastAsia="Arial-BoldMT" w:cs="Arial-BoldMT"/>
          <w:b/>
          <w:bCs/>
          <w:smallCaps/>
          <w:szCs w:val="24"/>
          <w:u w:val="double"/>
        </w:rPr>
      </w:pPr>
    </w:p>
    <w:tbl>
      <w:tblPr>
        <w:tblStyle w:val="Grilledutableau"/>
        <w:tblW w:w="0" w:type="auto"/>
        <w:tblLook w:val="04A0" w:firstRow="1" w:lastRow="0" w:firstColumn="1" w:lastColumn="0" w:noHBand="0" w:noVBand="1"/>
      </w:tblPr>
      <w:tblGrid>
        <w:gridCol w:w="9042"/>
      </w:tblGrid>
      <w:tr w:rsidR="006922FC" w14:paraId="76A50097" w14:textId="77777777" w:rsidTr="006922FC">
        <w:trPr>
          <w:trHeight w:val="2466"/>
        </w:trPr>
        <w:tc>
          <w:tcPr>
            <w:tcW w:w="906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9473D65" w14:textId="09C63510" w:rsidR="006922FC" w:rsidRPr="006922FC" w:rsidRDefault="006922FC" w:rsidP="006922FC">
            <w:pPr>
              <w:jc w:val="center"/>
              <w:rPr>
                <w:rFonts w:eastAsia="ArialMT"/>
                <w:b/>
              </w:rPr>
            </w:pPr>
            <w:r w:rsidRPr="006922FC">
              <w:rPr>
                <w:rFonts w:eastAsia="ArialMT"/>
                <w:b/>
              </w:rPr>
              <w:t>LES CANDIDATS DEVRONT OBLIGATOIREMENT RESPECTER LA TRAME</w:t>
            </w:r>
          </w:p>
          <w:p w14:paraId="4D0B3737" w14:textId="77777777" w:rsidR="006922FC" w:rsidRPr="006922FC" w:rsidRDefault="006922FC" w:rsidP="006922FC">
            <w:pPr>
              <w:jc w:val="center"/>
              <w:rPr>
                <w:rFonts w:eastAsia="ArialMT"/>
                <w:b/>
              </w:rPr>
            </w:pPr>
            <w:r w:rsidRPr="006922FC">
              <w:rPr>
                <w:rFonts w:eastAsia="ArialMT"/>
                <w:b/>
              </w:rPr>
              <w:t>DU MEMOIRE TECHNIQUE DE L’ACTE D’ENGAGEMENT</w:t>
            </w:r>
          </w:p>
          <w:p w14:paraId="4252058F" w14:textId="77777777" w:rsidR="006922FC" w:rsidRPr="006922FC" w:rsidRDefault="006922FC" w:rsidP="006922FC">
            <w:pPr>
              <w:jc w:val="center"/>
              <w:rPr>
                <w:rFonts w:eastAsia="ArialMT"/>
                <w:b/>
              </w:rPr>
            </w:pPr>
          </w:p>
          <w:p w14:paraId="5FAC0ADA" w14:textId="77777777" w:rsidR="006922FC" w:rsidRPr="006922FC" w:rsidRDefault="006922FC" w:rsidP="006922FC">
            <w:pPr>
              <w:jc w:val="center"/>
              <w:rPr>
                <w:rFonts w:eastAsia="ArialMT"/>
                <w:b/>
              </w:rPr>
            </w:pPr>
            <w:r w:rsidRPr="006922FC">
              <w:rPr>
                <w:rFonts w:eastAsia="ArialMT"/>
                <w:b/>
              </w:rPr>
              <w:t>DANS LE CAS OU DES DOCUMENTS SONT JOINTS EN REPONSE</w:t>
            </w:r>
          </w:p>
          <w:p w14:paraId="6629271B" w14:textId="77777777" w:rsidR="006922FC" w:rsidRPr="006922FC" w:rsidRDefault="006922FC" w:rsidP="006922FC">
            <w:pPr>
              <w:jc w:val="center"/>
              <w:rPr>
                <w:rFonts w:eastAsia="ArialMT"/>
                <w:b/>
              </w:rPr>
            </w:pPr>
            <w:r w:rsidRPr="006922FC">
              <w:rPr>
                <w:rFonts w:eastAsia="ArialMT"/>
                <w:b/>
              </w:rPr>
              <w:t>VEILLEZ A RAPPELER LA REFERENCE DU DOCUMENT OU DE L’ARTICLE CORRESPONDANT</w:t>
            </w:r>
          </w:p>
          <w:p w14:paraId="53CE35D0" w14:textId="77777777" w:rsidR="006922FC" w:rsidRPr="006922FC" w:rsidRDefault="006922FC" w:rsidP="006922FC">
            <w:pPr>
              <w:jc w:val="center"/>
              <w:rPr>
                <w:rFonts w:eastAsia="ArialMT"/>
                <w:b/>
              </w:rPr>
            </w:pPr>
          </w:p>
          <w:p w14:paraId="52FAB2AA" w14:textId="28F341D5" w:rsidR="006922FC" w:rsidRDefault="006922FC" w:rsidP="006922FC">
            <w:pPr>
              <w:jc w:val="center"/>
              <w:rPr>
                <w:rFonts w:eastAsia="ArialMT"/>
              </w:rPr>
            </w:pPr>
            <w:r w:rsidRPr="006922FC">
              <w:rPr>
                <w:rFonts w:eastAsia="ArialMT"/>
                <w:b/>
              </w:rPr>
              <w:t>A DEFAUT, ILS VERRONT LEUR OFFRE REJETEE</w:t>
            </w:r>
          </w:p>
        </w:tc>
      </w:tr>
    </w:tbl>
    <w:p w14:paraId="07BF9B6A" w14:textId="77777777" w:rsidR="00544176" w:rsidRPr="001E12C9" w:rsidRDefault="00544176" w:rsidP="00544176">
      <w:pPr>
        <w:rPr>
          <w:rFonts w:eastAsia="ArialMT"/>
        </w:rPr>
      </w:pPr>
    </w:p>
    <w:p w14:paraId="5CB9F3F8" w14:textId="77777777" w:rsidR="00544176" w:rsidRPr="001E12C9" w:rsidRDefault="00544176" w:rsidP="00544176">
      <w:pPr>
        <w:autoSpaceDE w:val="0"/>
        <w:autoSpaceDN w:val="0"/>
        <w:adjustRightInd w:val="0"/>
        <w:ind w:left="284"/>
        <w:rPr>
          <w:rFonts w:cs="Tahoma,Bold"/>
          <w:b/>
          <w:bCs/>
          <w:szCs w:val="24"/>
        </w:rPr>
      </w:pPr>
    </w:p>
    <w:p w14:paraId="64D14F5A" w14:textId="77777777" w:rsidR="00544176" w:rsidRPr="000C47B5" w:rsidRDefault="00544176" w:rsidP="00066F89">
      <w:pPr>
        <w:pStyle w:val="Titre1"/>
        <w:numPr>
          <w:ilvl w:val="0"/>
          <w:numId w:val="17"/>
        </w:numPr>
        <w:ind w:left="426"/>
        <w:rPr>
          <w:i/>
          <w:sz w:val="22"/>
          <w:szCs w:val="22"/>
        </w:rPr>
      </w:pPr>
      <w:r w:rsidRPr="000C47B5">
        <w:t xml:space="preserve">Moyens humains dédiés au marché </w:t>
      </w:r>
      <w:r w:rsidRPr="001E12C9">
        <w:t xml:space="preserve"> </w:t>
      </w:r>
    </w:p>
    <w:p w14:paraId="4CDE1CDE" w14:textId="77777777" w:rsidR="00544176" w:rsidRPr="001E12C9" w:rsidRDefault="00544176" w:rsidP="00544176">
      <w:pPr>
        <w:tabs>
          <w:tab w:val="left" w:pos="567"/>
        </w:tabs>
        <w:ind w:left="930"/>
        <w:contextualSpacing/>
        <w:rPr>
          <w:i/>
          <w:szCs w:val="22"/>
        </w:rPr>
      </w:pPr>
    </w:p>
    <w:p w14:paraId="00063D14" w14:textId="1F2E269F" w:rsidR="00564F66" w:rsidRDefault="00564F66" w:rsidP="00564F66">
      <w:pPr>
        <w:numPr>
          <w:ilvl w:val="1"/>
          <w:numId w:val="13"/>
        </w:numPr>
        <w:ind w:right="-142"/>
        <w:contextualSpacing/>
        <w:jc w:val="both"/>
        <w:rPr>
          <w:rFonts w:cs="Verdana"/>
          <w:color w:val="000000"/>
          <w:szCs w:val="24"/>
        </w:rPr>
      </w:pPr>
      <w:r w:rsidRPr="00564F66">
        <w:rPr>
          <w:szCs w:val="24"/>
        </w:rPr>
        <w:t xml:space="preserve">La désignation et les coordonnées </w:t>
      </w:r>
      <w:r w:rsidRPr="00564F66">
        <w:rPr>
          <w:rFonts w:cs="Arial"/>
          <w:szCs w:val="24"/>
        </w:rPr>
        <w:t>du ou des responsable</w:t>
      </w:r>
      <w:r w:rsidRPr="00564F66">
        <w:rPr>
          <w:rFonts w:cs="Arial"/>
          <w:i/>
          <w:szCs w:val="24"/>
        </w:rPr>
        <w:t>(s)</w:t>
      </w:r>
      <w:r w:rsidRPr="00564F66">
        <w:rPr>
          <w:rFonts w:cs="Arial"/>
          <w:szCs w:val="24"/>
        </w:rPr>
        <w:t xml:space="preserve"> </w:t>
      </w:r>
      <w:r w:rsidRPr="00564F66">
        <w:rPr>
          <w:rFonts w:cs="Arial"/>
          <w:i/>
          <w:szCs w:val="24"/>
        </w:rPr>
        <w:t xml:space="preserve">(un interlocuteur principal et un suppléant), </w:t>
      </w:r>
      <w:r w:rsidRPr="00564F66">
        <w:rPr>
          <w:rFonts w:cs="Verdana"/>
          <w:color w:val="000000"/>
          <w:szCs w:val="24"/>
        </w:rPr>
        <w:t xml:space="preserve">chargé de conduire et de diriger l’exécution </w:t>
      </w:r>
      <w:r w:rsidR="003A5268">
        <w:rPr>
          <w:rFonts w:cs="Verdana"/>
          <w:color w:val="000000"/>
          <w:szCs w:val="24"/>
        </w:rPr>
        <w:t>de l’ensemble des prestations du marché</w:t>
      </w:r>
      <w:r w:rsidRPr="00564F66">
        <w:rPr>
          <w:rFonts w:cs="Verdana"/>
          <w:color w:val="000000"/>
          <w:szCs w:val="24"/>
        </w:rPr>
        <w:t>,</w:t>
      </w:r>
    </w:p>
    <w:p w14:paraId="0A61E63C" w14:textId="77777777" w:rsidR="00564F66" w:rsidRPr="00564F66" w:rsidRDefault="00564F66" w:rsidP="00564F66">
      <w:pPr>
        <w:ind w:left="1080" w:right="-142"/>
        <w:contextualSpacing/>
        <w:jc w:val="both"/>
        <w:rPr>
          <w:rFonts w:cs="Verdana"/>
          <w:color w:val="000000"/>
          <w:szCs w:val="24"/>
        </w:rPr>
      </w:pPr>
    </w:p>
    <w:p w14:paraId="68CA4797" w14:textId="018E82F9" w:rsidR="00564F66" w:rsidRPr="00564F66" w:rsidRDefault="00825D33" w:rsidP="00564F66">
      <w:pPr>
        <w:numPr>
          <w:ilvl w:val="1"/>
          <w:numId w:val="13"/>
        </w:numPr>
        <w:ind w:right="-142"/>
        <w:contextualSpacing/>
        <w:jc w:val="both"/>
        <w:rPr>
          <w:rFonts w:cs="Verdana"/>
          <w:color w:val="000000"/>
          <w:szCs w:val="24"/>
        </w:rPr>
      </w:pPr>
      <w:r>
        <w:rPr>
          <w:rFonts w:cs="Verdana"/>
          <w:color w:val="000000"/>
          <w:szCs w:val="24"/>
        </w:rPr>
        <w:t>L</w:t>
      </w:r>
      <w:r w:rsidR="00564F66" w:rsidRPr="00564F66">
        <w:rPr>
          <w:rFonts w:cs="Verdana"/>
          <w:color w:val="000000"/>
          <w:szCs w:val="24"/>
        </w:rPr>
        <w:t xml:space="preserve">es </w:t>
      </w:r>
      <w:r w:rsidR="00564F66" w:rsidRPr="00564F66">
        <w:rPr>
          <w:rFonts w:cs="Arial"/>
          <w:szCs w:val="24"/>
        </w:rPr>
        <w:t xml:space="preserve">Moyens en </w:t>
      </w:r>
      <w:r w:rsidR="00E440D1">
        <w:rPr>
          <w:rFonts w:cs="Arial"/>
          <w:szCs w:val="24"/>
        </w:rPr>
        <w:t xml:space="preserve">personnels dédiés pour assurer </w:t>
      </w:r>
      <w:r w:rsidR="00564F66" w:rsidRPr="00564F66">
        <w:rPr>
          <w:rFonts w:cs="Arial"/>
          <w:szCs w:val="24"/>
        </w:rPr>
        <w:t>la gestion du marché</w:t>
      </w:r>
      <w:r w:rsidR="00564F66" w:rsidRPr="00564F66">
        <w:rPr>
          <w:szCs w:val="24"/>
        </w:rPr>
        <w:t xml:space="preserve"> </w:t>
      </w:r>
    </w:p>
    <w:p w14:paraId="33295167" w14:textId="77777777" w:rsidR="00564F66" w:rsidRPr="00564F66" w:rsidRDefault="00564F66" w:rsidP="00564F66">
      <w:pPr>
        <w:numPr>
          <w:ilvl w:val="0"/>
          <w:numId w:val="12"/>
        </w:numPr>
        <w:ind w:left="1418" w:right="-142"/>
        <w:contextualSpacing/>
        <w:jc w:val="both"/>
        <w:rPr>
          <w:rFonts w:cs="Verdana"/>
          <w:color w:val="000000"/>
          <w:szCs w:val="24"/>
        </w:rPr>
      </w:pPr>
      <w:r w:rsidRPr="00564F66">
        <w:rPr>
          <w:rFonts w:cs="Arial"/>
          <w:b/>
          <w:i/>
          <w:szCs w:val="24"/>
          <w:u w:val="single"/>
        </w:rPr>
        <w:t>Gestion administrative</w:t>
      </w:r>
      <w:r w:rsidRPr="00564F66">
        <w:rPr>
          <w:rFonts w:cs="Arial"/>
          <w:i/>
          <w:szCs w:val="24"/>
        </w:rPr>
        <w:t> : A</w:t>
      </w:r>
      <w:r w:rsidRPr="00564F66">
        <w:rPr>
          <w:i/>
          <w:szCs w:val="24"/>
        </w:rPr>
        <w:t>venants</w:t>
      </w:r>
      <w:r w:rsidRPr="00564F66">
        <w:rPr>
          <w:rFonts w:cs="Arial"/>
          <w:i/>
          <w:szCs w:val="24"/>
        </w:rPr>
        <w:t xml:space="preserve">, </w:t>
      </w:r>
      <w:r w:rsidRPr="00564F66">
        <w:rPr>
          <w:i/>
          <w:szCs w:val="24"/>
        </w:rPr>
        <w:t>réclamations, demandes particulières</w:t>
      </w:r>
      <w:r w:rsidRPr="00564F66">
        <w:rPr>
          <w:rFonts w:cs="Arial"/>
          <w:i/>
          <w:szCs w:val="24"/>
        </w:rPr>
        <w:t xml:space="preserve"> et Gestion Financière</w:t>
      </w:r>
      <w:r w:rsidRPr="00564F66">
        <w:rPr>
          <w:i/>
          <w:szCs w:val="24"/>
        </w:rPr>
        <w:t xml:space="preserve"> : problèmes de facturation, </w:t>
      </w:r>
      <w:r w:rsidR="00825D33">
        <w:rPr>
          <w:i/>
          <w:szCs w:val="24"/>
        </w:rPr>
        <w:t>pénalités…</w:t>
      </w:r>
      <w:r w:rsidRPr="00564F66">
        <w:rPr>
          <w:i/>
          <w:szCs w:val="24"/>
        </w:rPr>
        <w:t>,</w:t>
      </w:r>
    </w:p>
    <w:p w14:paraId="5324B31C" w14:textId="75912E85" w:rsidR="00564F66" w:rsidRPr="00564F66" w:rsidRDefault="00564F66" w:rsidP="00564F66">
      <w:pPr>
        <w:numPr>
          <w:ilvl w:val="0"/>
          <w:numId w:val="12"/>
        </w:numPr>
        <w:ind w:left="1418" w:right="-142"/>
        <w:contextualSpacing/>
        <w:jc w:val="both"/>
        <w:rPr>
          <w:rFonts w:cs="Verdana"/>
          <w:color w:val="000000"/>
          <w:szCs w:val="24"/>
        </w:rPr>
      </w:pPr>
      <w:r w:rsidRPr="00564F66">
        <w:rPr>
          <w:rFonts w:cs="Arial"/>
          <w:b/>
          <w:i/>
          <w:szCs w:val="24"/>
          <w:u w:val="single"/>
        </w:rPr>
        <w:t>Gestion Technique </w:t>
      </w:r>
      <w:r w:rsidRPr="00564F66">
        <w:rPr>
          <w:rFonts w:cs="Arial"/>
          <w:i/>
          <w:szCs w:val="24"/>
        </w:rPr>
        <w:t xml:space="preserve">: </w:t>
      </w:r>
      <w:r w:rsidR="008377C8" w:rsidRPr="00564F66">
        <w:rPr>
          <w:rFonts w:cs="Arial"/>
          <w:i/>
          <w:szCs w:val="24"/>
        </w:rPr>
        <w:t xml:space="preserve">planification des interventions et envoi des plannings, gestion des dysfonctionnements de terrain, </w:t>
      </w:r>
      <w:r w:rsidR="008377C8">
        <w:rPr>
          <w:rFonts w:cs="Arial"/>
          <w:i/>
          <w:szCs w:val="24"/>
        </w:rPr>
        <w:t>gestion des g</w:t>
      </w:r>
      <w:r w:rsidR="008377C8" w:rsidRPr="00564F66">
        <w:rPr>
          <w:rFonts w:cs="Arial"/>
          <w:i/>
          <w:szCs w:val="24"/>
        </w:rPr>
        <w:t>arantie</w:t>
      </w:r>
      <w:r w:rsidR="008377C8">
        <w:rPr>
          <w:rFonts w:cs="Arial"/>
          <w:i/>
          <w:szCs w:val="24"/>
        </w:rPr>
        <w:t>s</w:t>
      </w:r>
      <w:r w:rsidR="008377C8" w:rsidRPr="00564F66">
        <w:rPr>
          <w:rFonts w:cs="Arial"/>
          <w:i/>
          <w:szCs w:val="24"/>
        </w:rPr>
        <w:t>, ….</w:t>
      </w:r>
    </w:p>
    <w:p w14:paraId="41F81915" w14:textId="77777777" w:rsidR="00564F66" w:rsidRPr="00564F66" w:rsidRDefault="00564F66" w:rsidP="00564F66">
      <w:pPr>
        <w:ind w:left="1418" w:right="-142"/>
        <w:contextualSpacing/>
        <w:jc w:val="both"/>
        <w:rPr>
          <w:rFonts w:cs="Verdana"/>
          <w:color w:val="000000"/>
          <w:szCs w:val="24"/>
        </w:rPr>
      </w:pPr>
    </w:p>
    <w:p w14:paraId="65E70149" w14:textId="7B13933A" w:rsidR="00564F66" w:rsidRPr="00564F66" w:rsidRDefault="00564F66" w:rsidP="00564F66">
      <w:pPr>
        <w:numPr>
          <w:ilvl w:val="1"/>
          <w:numId w:val="13"/>
        </w:numPr>
        <w:ind w:right="-142"/>
        <w:contextualSpacing/>
        <w:jc w:val="both"/>
        <w:rPr>
          <w:rFonts w:cs="Verdana"/>
          <w:color w:val="000000"/>
          <w:szCs w:val="24"/>
        </w:rPr>
      </w:pPr>
      <w:r w:rsidRPr="003A5268">
        <w:rPr>
          <w:rFonts w:cs="Tahoma,Bold"/>
          <w:bCs/>
          <w:szCs w:val="24"/>
          <w:highlight w:val="red"/>
        </w:rPr>
        <w:t xml:space="preserve">Les moyens en personnel dédiés pour assurer l’exécution des prestations du présent </w:t>
      </w:r>
      <w:r w:rsidR="003A5268" w:rsidRPr="003A5268">
        <w:rPr>
          <w:rFonts w:cs="Tahoma,Bold"/>
          <w:bCs/>
          <w:szCs w:val="24"/>
          <w:highlight w:val="red"/>
        </w:rPr>
        <w:t>marché</w:t>
      </w:r>
      <w:r w:rsidRPr="00564F66">
        <w:rPr>
          <w:rFonts w:cs="Tahoma,Bold"/>
          <w:bCs/>
          <w:szCs w:val="24"/>
        </w:rPr>
        <w:t xml:space="preserve"> : </w:t>
      </w:r>
    </w:p>
    <w:p w14:paraId="6A29325F" w14:textId="7B7947B7" w:rsidR="00564F66" w:rsidRPr="00564F66" w:rsidRDefault="00825D33" w:rsidP="00564F66">
      <w:pPr>
        <w:numPr>
          <w:ilvl w:val="0"/>
          <w:numId w:val="14"/>
        </w:numPr>
        <w:ind w:left="1418" w:right="-142"/>
        <w:contextualSpacing/>
        <w:jc w:val="both"/>
        <w:rPr>
          <w:rFonts w:cs="Verdana"/>
          <w:color w:val="000000"/>
          <w:szCs w:val="24"/>
        </w:rPr>
      </w:pPr>
      <w:r>
        <w:rPr>
          <w:rFonts w:cs="Tahoma,Bold"/>
          <w:bCs/>
          <w:szCs w:val="24"/>
        </w:rPr>
        <w:t>L</w:t>
      </w:r>
      <w:r w:rsidR="00564F66" w:rsidRPr="00564F66">
        <w:rPr>
          <w:rFonts w:cs="Tahoma,Bold"/>
          <w:bCs/>
          <w:szCs w:val="24"/>
        </w:rPr>
        <w:t xml:space="preserve">e nombre </w:t>
      </w:r>
      <w:r>
        <w:rPr>
          <w:rFonts w:cs="Tahoma,Bold"/>
          <w:bCs/>
          <w:szCs w:val="24"/>
        </w:rPr>
        <w:t>d’intervenant</w:t>
      </w:r>
      <w:r w:rsidR="00564F66" w:rsidRPr="00564F66">
        <w:rPr>
          <w:rFonts w:cs="Tahoma,Bold"/>
          <w:bCs/>
          <w:szCs w:val="24"/>
        </w:rPr>
        <w:t xml:space="preserve"> </w:t>
      </w:r>
      <w:r>
        <w:rPr>
          <w:rFonts w:cs="Tahoma,Bold"/>
          <w:bCs/>
          <w:szCs w:val="24"/>
        </w:rPr>
        <w:t>et précisera pour ces personnes :</w:t>
      </w:r>
      <w:r w:rsidR="00564F66" w:rsidRPr="00564F66">
        <w:rPr>
          <w:rFonts w:cs="Tahoma,Bold"/>
          <w:bCs/>
          <w:szCs w:val="24"/>
        </w:rPr>
        <w:t xml:space="preserve"> les formations reçues, les qualifications et l’expérience. </w:t>
      </w:r>
    </w:p>
    <w:p w14:paraId="497E5315" w14:textId="77777777" w:rsidR="00564F66" w:rsidRPr="00564F66" w:rsidRDefault="00564F66" w:rsidP="00564F66">
      <w:pPr>
        <w:ind w:right="-142"/>
        <w:contextualSpacing/>
        <w:rPr>
          <w:rFonts w:cs="Verdana"/>
          <w:color w:val="000000"/>
          <w:sz w:val="14"/>
          <w:szCs w:val="14"/>
        </w:rPr>
      </w:pPr>
    </w:p>
    <w:p w14:paraId="0E462E0A" w14:textId="77777777" w:rsidR="00601D59" w:rsidRDefault="00601D59" w:rsidP="00564F66">
      <w:pPr>
        <w:ind w:right="-142"/>
        <w:contextualSpacing/>
        <w:jc w:val="both"/>
        <w:rPr>
          <w:rFonts w:cs="Verdana"/>
          <w:color w:val="000000"/>
          <w:szCs w:val="24"/>
        </w:rPr>
      </w:pPr>
    </w:p>
    <w:p w14:paraId="3560EE34" w14:textId="6F3B5DF0" w:rsidR="00564F66" w:rsidRDefault="00564F66" w:rsidP="00564F66">
      <w:pPr>
        <w:ind w:right="-142"/>
        <w:contextualSpacing/>
        <w:jc w:val="both"/>
        <w:rPr>
          <w:rFonts w:cs="Arial"/>
          <w:bCs/>
          <w:szCs w:val="24"/>
        </w:rPr>
      </w:pPr>
      <w:r w:rsidRPr="00080475">
        <w:rPr>
          <w:rFonts w:cs="Verdana"/>
          <w:color w:val="000000"/>
          <w:szCs w:val="24"/>
        </w:rPr>
        <w:t xml:space="preserve">Les informations demandées au point 1.1 &amp; 1.2 supra sont </w:t>
      </w:r>
      <w:r w:rsidRPr="00080475">
        <w:rPr>
          <w:szCs w:val="24"/>
        </w:rPr>
        <w:t>communiquées à titre indicatif et</w:t>
      </w:r>
      <w:r w:rsidRPr="00080475">
        <w:rPr>
          <w:i/>
          <w:szCs w:val="24"/>
        </w:rPr>
        <w:t xml:space="preserve"> </w:t>
      </w:r>
      <w:r w:rsidR="003A5268" w:rsidRPr="00080475">
        <w:rPr>
          <w:rFonts w:cs="Verdana"/>
          <w:color w:val="000000"/>
          <w:szCs w:val="24"/>
        </w:rPr>
        <w:t>seront détaillées</w:t>
      </w:r>
      <w:r w:rsidRPr="00080475">
        <w:rPr>
          <w:rFonts w:cs="Verdana"/>
          <w:color w:val="000000"/>
          <w:szCs w:val="24"/>
        </w:rPr>
        <w:t xml:space="preserve"> dans le fichier « </w:t>
      </w:r>
      <w:r w:rsidR="00080475" w:rsidRPr="00080475">
        <w:rPr>
          <w:rFonts w:cs="Verdana"/>
          <w:color w:val="000000"/>
          <w:szCs w:val="24"/>
        </w:rPr>
        <w:t>01-AE</w:t>
      </w:r>
      <w:r w:rsidR="009A567B" w:rsidRPr="00080475">
        <w:rPr>
          <w:rFonts w:cs="Verdana"/>
          <w:color w:val="000000"/>
          <w:szCs w:val="24"/>
        </w:rPr>
        <w:t xml:space="preserve">-Annexe2-Point1-MoyensHumainsDédiés.xlsx </w:t>
      </w:r>
      <w:r w:rsidRPr="00080475">
        <w:rPr>
          <w:rFonts w:cs="Arial"/>
          <w:szCs w:val="24"/>
        </w:rPr>
        <w:t>». Seul le point le point 1.3 sera évalué au titre du sous critère : valeur technique « </w:t>
      </w:r>
      <w:r w:rsidRPr="00080475">
        <w:rPr>
          <w:rFonts w:cs="Arial"/>
          <w:bCs/>
          <w:szCs w:val="24"/>
        </w:rPr>
        <w:t xml:space="preserve">Moyens en personnel dédiés pour assurer l’exécution des prestations du présent </w:t>
      </w:r>
      <w:r w:rsidR="003A5268" w:rsidRPr="00080475">
        <w:rPr>
          <w:rFonts w:cs="Arial"/>
          <w:bCs/>
          <w:szCs w:val="24"/>
        </w:rPr>
        <w:t>marché</w:t>
      </w:r>
      <w:r w:rsidRPr="00080475">
        <w:rPr>
          <w:rFonts w:cs="Arial"/>
          <w:bCs/>
          <w:szCs w:val="24"/>
        </w:rPr>
        <w:t> ».</w:t>
      </w:r>
    </w:p>
    <w:p w14:paraId="629F200C" w14:textId="77777777" w:rsidR="00564F66" w:rsidRPr="00564F66" w:rsidRDefault="00564F66" w:rsidP="00564F66">
      <w:pPr>
        <w:ind w:right="-142"/>
        <w:contextualSpacing/>
        <w:jc w:val="both"/>
        <w:rPr>
          <w:rFonts w:cs="Arial"/>
          <w:szCs w:val="24"/>
        </w:rPr>
      </w:pPr>
    </w:p>
    <w:p w14:paraId="0D9D606D" w14:textId="77777777" w:rsidR="00BF5B10" w:rsidRDefault="00BF5B10">
      <w:pPr>
        <w:spacing w:after="200" w:line="276" w:lineRule="auto"/>
        <w:rPr>
          <w:rFonts w:cs="Tahoma,Bold"/>
          <w:b/>
          <w:bCs/>
          <w:smallCaps/>
          <w:szCs w:val="18"/>
          <w:u w:val="single"/>
        </w:rPr>
      </w:pPr>
      <w:r>
        <w:rPr>
          <w:rFonts w:cs="Tahoma,Bold"/>
          <w:b/>
          <w:bCs/>
          <w:smallCaps/>
          <w:szCs w:val="18"/>
          <w:u w:val="single"/>
        </w:rPr>
        <w:br w:type="page"/>
      </w:r>
    </w:p>
    <w:p w14:paraId="32CBC413" w14:textId="11325E28" w:rsidR="00CF553F" w:rsidRPr="00D706CB" w:rsidRDefault="00CF553F" w:rsidP="00D706CB">
      <w:pPr>
        <w:pStyle w:val="Titre1"/>
        <w:numPr>
          <w:ilvl w:val="0"/>
          <w:numId w:val="17"/>
        </w:numPr>
        <w:rPr>
          <w:highlight w:val="red"/>
        </w:rPr>
      </w:pPr>
      <w:r w:rsidRPr="00D706CB">
        <w:rPr>
          <w:highlight w:val="red"/>
        </w:rPr>
        <w:lastRenderedPageBreak/>
        <w:t>Méthodologie d'intervention en site occupé (20%)</w:t>
      </w:r>
    </w:p>
    <w:p w14:paraId="2F63166A" w14:textId="77777777" w:rsidR="00CF553F" w:rsidRDefault="00CF553F" w:rsidP="00CF553F"/>
    <w:p w14:paraId="4E2DE791" w14:textId="674078B1" w:rsidR="00CF553F" w:rsidRDefault="00CF553F" w:rsidP="00CF553F">
      <w:r>
        <w:t>Cette méthodologie constitue un élément crucial pour garantir la sécurité, la gestion efficace des risques, ainsi que la minimisation des perturbations pour les occupants du site concerné. Les critères spécifiques d'évaluation incluront :</w:t>
      </w:r>
    </w:p>
    <w:p w14:paraId="1F5AFFA6" w14:textId="77777777" w:rsidR="00CF553F" w:rsidRDefault="00CF553F" w:rsidP="00CF553F">
      <w:pPr>
        <w:spacing w:line="259" w:lineRule="auto"/>
      </w:pPr>
    </w:p>
    <w:p w14:paraId="222D1978" w14:textId="77777777" w:rsidR="00CF553F" w:rsidRDefault="00CF553F" w:rsidP="00D706CB">
      <w:pPr>
        <w:pStyle w:val="Paragraphedeliste"/>
        <w:numPr>
          <w:ilvl w:val="0"/>
          <w:numId w:val="14"/>
        </w:numPr>
        <w:spacing w:after="160" w:line="259" w:lineRule="auto"/>
        <w:ind w:left="284" w:hanging="284"/>
        <w:jc w:val="both"/>
      </w:pPr>
      <w:r>
        <w:t>Gestion des risques : déterminer la capacité de l’entreprise à identifier, évaluer et gérer les risques potentiels associés à l'intervention en site occupé. Les mesures préventives et correctives doivent être clairement définies. (5 %)</w:t>
      </w:r>
    </w:p>
    <w:p w14:paraId="76EFBA2E" w14:textId="77777777" w:rsidR="00CF553F" w:rsidRDefault="00CF553F" w:rsidP="00D706CB">
      <w:pPr>
        <w:pStyle w:val="Paragraphedeliste"/>
        <w:numPr>
          <w:ilvl w:val="0"/>
          <w:numId w:val="14"/>
        </w:numPr>
        <w:spacing w:after="160" w:line="259" w:lineRule="auto"/>
        <w:ind w:left="284" w:hanging="284"/>
        <w:jc w:val="both"/>
      </w:pPr>
      <w:r>
        <w:t>Sécurité : La sécurité des occupants du site, du personnel de l'entreprise, ainsi que celle des tiers, doit être une priorité absolue. La méthodologie devra démontrer comment elle assure un environnement de travail sûr tout au long de l'intervention. (5 %)</w:t>
      </w:r>
    </w:p>
    <w:p w14:paraId="0F81F9C8" w14:textId="77777777" w:rsidR="00CF553F" w:rsidRDefault="00CF553F" w:rsidP="00D706CB">
      <w:pPr>
        <w:pStyle w:val="Paragraphedeliste"/>
        <w:numPr>
          <w:ilvl w:val="0"/>
          <w:numId w:val="14"/>
        </w:numPr>
        <w:spacing w:after="160" w:line="259" w:lineRule="auto"/>
        <w:ind w:left="284" w:hanging="284"/>
        <w:jc w:val="both"/>
      </w:pPr>
      <w:r>
        <w:t>Minimisation des perturbations : La méthodologie devra proposer des solutions innovantes et pratiques visant à réduire au minimum les perturbations pour les occupants du site, tout en assurant la continuité des activités des étages inférieurs. (5 %)</w:t>
      </w:r>
    </w:p>
    <w:p w14:paraId="3B4D62E0" w14:textId="646896F2" w:rsidR="00CF553F" w:rsidRDefault="00CF553F" w:rsidP="00D706CB">
      <w:pPr>
        <w:pStyle w:val="Paragraphedeliste"/>
        <w:numPr>
          <w:ilvl w:val="0"/>
          <w:numId w:val="14"/>
        </w:numPr>
        <w:spacing w:line="259" w:lineRule="auto"/>
        <w:ind w:left="284" w:hanging="284"/>
        <w:jc w:val="both"/>
      </w:pPr>
      <w:r>
        <w:t>Expérience pertinente : L'expérience antérieure de l'entreprise dans la réalisation d'interventions en site occupé sera également prise en considération, ainsi que les références. (5 %)</w:t>
      </w:r>
    </w:p>
    <w:p w14:paraId="1B73AAAB" w14:textId="6D0D35B0" w:rsidR="00CF553F" w:rsidRDefault="00CF553F" w:rsidP="00CF553F">
      <w:pPr>
        <w:spacing w:line="259" w:lineRule="auto"/>
      </w:pPr>
    </w:p>
    <w:tbl>
      <w:tblPr>
        <w:tblStyle w:val="Grilledutableau"/>
        <w:tblW w:w="0" w:type="auto"/>
        <w:tblLook w:val="04A0" w:firstRow="1" w:lastRow="0" w:firstColumn="1" w:lastColumn="0" w:noHBand="0" w:noVBand="1"/>
      </w:tblPr>
      <w:tblGrid>
        <w:gridCol w:w="9062"/>
      </w:tblGrid>
      <w:tr w:rsidR="00CF553F" w14:paraId="1BB8A732" w14:textId="77777777" w:rsidTr="00CF553F">
        <w:trPr>
          <w:trHeight w:val="7971"/>
        </w:trPr>
        <w:tc>
          <w:tcPr>
            <w:tcW w:w="9062" w:type="dxa"/>
          </w:tcPr>
          <w:p w14:paraId="3EB4088C" w14:textId="77777777" w:rsidR="00CF553F" w:rsidRDefault="00CF553F" w:rsidP="00CF553F">
            <w:pPr>
              <w:spacing w:line="259" w:lineRule="auto"/>
            </w:pPr>
          </w:p>
        </w:tc>
      </w:tr>
    </w:tbl>
    <w:p w14:paraId="2ED18D0F" w14:textId="77777777" w:rsidR="00CF553F" w:rsidRDefault="00CF553F" w:rsidP="00CF553F">
      <w:pPr>
        <w:spacing w:line="259" w:lineRule="auto"/>
      </w:pPr>
    </w:p>
    <w:p w14:paraId="337B75AA" w14:textId="77777777" w:rsidR="00847F57" w:rsidRDefault="00847F57">
      <w:pPr>
        <w:spacing w:after="200" w:line="276" w:lineRule="auto"/>
        <w:rPr>
          <w:rFonts w:eastAsiaTheme="majorEastAsia" w:cstheme="majorBidi"/>
          <w:b/>
          <w:bCs/>
          <w:smallCaps/>
          <w:sz w:val="28"/>
          <w:szCs w:val="28"/>
          <w:highlight w:val="red"/>
          <w:u w:val="single"/>
        </w:rPr>
      </w:pPr>
      <w:r>
        <w:rPr>
          <w:highlight w:val="red"/>
        </w:rPr>
        <w:br w:type="page"/>
      </w:r>
    </w:p>
    <w:p w14:paraId="31DDD223" w14:textId="5DD0EF5C" w:rsidR="00CF553F" w:rsidRPr="00CF553F" w:rsidRDefault="00CF553F" w:rsidP="00D706CB">
      <w:pPr>
        <w:pStyle w:val="Titre1"/>
        <w:numPr>
          <w:ilvl w:val="0"/>
          <w:numId w:val="17"/>
        </w:numPr>
        <w:rPr>
          <w:highlight w:val="red"/>
        </w:rPr>
      </w:pPr>
      <w:r w:rsidRPr="00CF553F">
        <w:rPr>
          <w:highlight w:val="red"/>
        </w:rPr>
        <w:lastRenderedPageBreak/>
        <w:t>Moyens humains et matériels dédiés au projet (15%)</w:t>
      </w:r>
    </w:p>
    <w:p w14:paraId="6D116EC3" w14:textId="77777777" w:rsidR="00CF553F" w:rsidRDefault="00CF553F" w:rsidP="00CF553F">
      <w:pPr>
        <w:pStyle w:val="Paragraphedeliste"/>
        <w:autoSpaceDE w:val="0"/>
        <w:autoSpaceDN w:val="0"/>
        <w:adjustRightInd w:val="0"/>
        <w:ind w:left="426"/>
        <w:jc w:val="both"/>
        <w:rPr>
          <w:rFonts w:cs="Tahoma,Bold"/>
          <w:bCs/>
          <w:szCs w:val="18"/>
          <w:highlight w:val="red"/>
        </w:rPr>
      </w:pPr>
    </w:p>
    <w:p w14:paraId="25D353DF" w14:textId="61E655B3" w:rsidR="00CF553F" w:rsidRDefault="00CF553F" w:rsidP="00D706CB">
      <w:pPr>
        <w:pStyle w:val="Paragraphedeliste"/>
        <w:autoSpaceDE w:val="0"/>
        <w:autoSpaceDN w:val="0"/>
        <w:adjustRightInd w:val="0"/>
        <w:ind w:left="0"/>
        <w:jc w:val="both"/>
        <w:rPr>
          <w:rFonts w:cs="Tahoma,Bold"/>
          <w:bCs/>
          <w:szCs w:val="18"/>
        </w:rPr>
      </w:pPr>
      <w:r w:rsidRPr="00CF553F">
        <w:rPr>
          <w:rFonts w:cs="Tahoma,Bold"/>
          <w:bCs/>
          <w:szCs w:val="18"/>
        </w:rPr>
        <w:t>Les critères spécifiques d'évaluation seront les suivants :</w:t>
      </w:r>
    </w:p>
    <w:p w14:paraId="5C729A14" w14:textId="77777777" w:rsidR="00D706CB" w:rsidRPr="00CF553F" w:rsidRDefault="00D706CB" w:rsidP="00CF553F">
      <w:pPr>
        <w:pStyle w:val="Paragraphedeliste"/>
        <w:autoSpaceDE w:val="0"/>
        <w:autoSpaceDN w:val="0"/>
        <w:adjustRightInd w:val="0"/>
        <w:ind w:left="426"/>
        <w:jc w:val="both"/>
        <w:rPr>
          <w:rFonts w:cs="Tahoma,Bold"/>
          <w:bCs/>
          <w:szCs w:val="18"/>
        </w:rPr>
      </w:pPr>
    </w:p>
    <w:p w14:paraId="07B14430" w14:textId="77777777" w:rsidR="00CF553F" w:rsidRDefault="00CF553F" w:rsidP="00D706CB">
      <w:pPr>
        <w:pStyle w:val="Paragraphedeliste"/>
        <w:numPr>
          <w:ilvl w:val="0"/>
          <w:numId w:val="14"/>
        </w:numPr>
        <w:autoSpaceDE w:val="0"/>
        <w:autoSpaceDN w:val="0"/>
        <w:adjustRightInd w:val="0"/>
        <w:ind w:left="284" w:hanging="284"/>
        <w:jc w:val="both"/>
        <w:rPr>
          <w:rFonts w:cs="Tahoma,Bold"/>
          <w:bCs/>
          <w:szCs w:val="18"/>
        </w:rPr>
      </w:pPr>
      <w:r w:rsidRPr="00CF553F">
        <w:rPr>
          <w:rFonts w:cs="Tahoma,Bold"/>
          <w:bCs/>
          <w:szCs w:val="18"/>
        </w:rPr>
        <w:t>Organigramme et Structuration de l'équipe : l’organigramme doit présenter de manière claire la structure de l'équipe dédiée au projet, en identifiant les rôles, les responsabilités et les relations hiérarchiques entre les membres de l'équipe. (5%)</w:t>
      </w:r>
    </w:p>
    <w:p w14:paraId="41CED192" w14:textId="77777777" w:rsidR="00CF553F" w:rsidRDefault="00CF553F" w:rsidP="00D706CB">
      <w:pPr>
        <w:pStyle w:val="Paragraphedeliste"/>
        <w:numPr>
          <w:ilvl w:val="0"/>
          <w:numId w:val="14"/>
        </w:numPr>
        <w:autoSpaceDE w:val="0"/>
        <w:autoSpaceDN w:val="0"/>
        <w:adjustRightInd w:val="0"/>
        <w:ind w:left="284" w:hanging="284"/>
        <w:jc w:val="both"/>
        <w:rPr>
          <w:rFonts w:cs="Tahoma,Bold"/>
          <w:bCs/>
          <w:szCs w:val="18"/>
        </w:rPr>
      </w:pPr>
      <w:r w:rsidRPr="00CF553F">
        <w:rPr>
          <w:rFonts w:cs="Tahoma,Bold"/>
          <w:bCs/>
          <w:szCs w:val="18"/>
        </w:rPr>
        <w:t>Adéquation des Compétences : les CV des personnes dédiées au projet doivent démontrer une expertise technique, une expérience professionnelle et des compétences pertinentes par rapport aux exigences spécifiques du projet. (5%)</w:t>
      </w:r>
    </w:p>
    <w:p w14:paraId="37F7E639" w14:textId="77777777" w:rsidR="00CF553F" w:rsidRDefault="00CF553F" w:rsidP="00D706CB">
      <w:pPr>
        <w:pStyle w:val="Paragraphedeliste"/>
        <w:numPr>
          <w:ilvl w:val="0"/>
          <w:numId w:val="14"/>
        </w:numPr>
        <w:autoSpaceDE w:val="0"/>
        <w:autoSpaceDN w:val="0"/>
        <w:adjustRightInd w:val="0"/>
        <w:ind w:left="284" w:hanging="284"/>
        <w:jc w:val="both"/>
        <w:rPr>
          <w:rFonts w:cs="Tahoma,Bold"/>
          <w:bCs/>
          <w:szCs w:val="18"/>
        </w:rPr>
      </w:pPr>
      <w:r w:rsidRPr="00CF553F">
        <w:rPr>
          <w:rFonts w:cs="Tahoma,Bold"/>
          <w:bCs/>
          <w:szCs w:val="18"/>
        </w:rPr>
        <w:t>Formation et Qualifications : les qualifications, les certifications professionnelles et les formations pertinentes des membres de l'équipe seront évaluées en fonction de leur pertinence par rapport aux besoins du projet. (2,5%)</w:t>
      </w:r>
    </w:p>
    <w:p w14:paraId="642A024D" w14:textId="1D3C939E" w:rsidR="00CF553F" w:rsidRPr="00CF553F" w:rsidRDefault="00CF553F" w:rsidP="00D706CB">
      <w:pPr>
        <w:pStyle w:val="Paragraphedeliste"/>
        <w:numPr>
          <w:ilvl w:val="0"/>
          <w:numId w:val="14"/>
        </w:numPr>
        <w:autoSpaceDE w:val="0"/>
        <w:autoSpaceDN w:val="0"/>
        <w:adjustRightInd w:val="0"/>
        <w:ind w:left="284" w:hanging="284"/>
        <w:jc w:val="both"/>
        <w:rPr>
          <w:rFonts w:cs="Tahoma,Bold"/>
          <w:bCs/>
          <w:szCs w:val="18"/>
        </w:rPr>
      </w:pPr>
      <w:r w:rsidRPr="00CF553F">
        <w:rPr>
          <w:rFonts w:cs="Tahoma,Bold"/>
          <w:bCs/>
          <w:szCs w:val="18"/>
        </w:rPr>
        <w:t>Diversité et Inclusion : La diversité des compétences, des expériences et des perspectives au sein de l'équipe sera valorisée, favorisant ainsi une approche inclusive et innovante dans la réalisation du projet. (2,5%)</w:t>
      </w:r>
    </w:p>
    <w:p w14:paraId="39A5917E" w14:textId="77777777" w:rsidR="006922FC" w:rsidRDefault="006922FC" w:rsidP="006922FC">
      <w:pPr>
        <w:pStyle w:val="Paragraphedeliste"/>
        <w:autoSpaceDE w:val="0"/>
        <w:autoSpaceDN w:val="0"/>
        <w:adjustRightInd w:val="0"/>
        <w:ind w:left="426"/>
        <w:jc w:val="both"/>
        <w:rPr>
          <w:rFonts w:cs="Tahoma,Bold"/>
          <w:b/>
          <w:bCs/>
          <w:smallCaps/>
          <w:szCs w:val="18"/>
          <w:highlight w:val="red"/>
          <w:u w:val="single"/>
        </w:rPr>
      </w:pPr>
    </w:p>
    <w:tbl>
      <w:tblPr>
        <w:tblStyle w:val="Grilledutableau"/>
        <w:tblW w:w="0" w:type="auto"/>
        <w:tblLook w:val="04A0" w:firstRow="1" w:lastRow="0" w:firstColumn="1" w:lastColumn="0" w:noHBand="0" w:noVBand="1"/>
      </w:tblPr>
      <w:tblGrid>
        <w:gridCol w:w="9062"/>
      </w:tblGrid>
      <w:tr w:rsidR="00DC2729" w14:paraId="7AFDD225" w14:textId="77777777" w:rsidTr="00CF553F">
        <w:trPr>
          <w:trHeight w:val="8650"/>
        </w:trPr>
        <w:tc>
          <w:tcPr>
            <w:tcW w:w="9062" w:type="dxa"/>
          </w:tcPr>
          <w:p w14:paraId="64F08A7D" w14:textId="77777777" w:rsidR="00DC2729" w:rsidRDefault="00DC2729" w:rsidP="00DC2729">
            <w:pPr>
              <w:autoSpaceDE w:val="0"/>
              <w:autoSpaceDN w:val="0"/>
              <w:adjustRightInd w:val="0"/>
              <w:jc w:val="both"/>
              <w:rPr>
                <w:rFonts w:cs="Tahoma,Bold"/>
                <w:b/>
                <w:bCs/>
                <w:smallCaps/>
                <w:szCs w:val="18"/>
                <w:highlight w:val="red"/>
                <w:u w:val="single"/>
              </w:rPr>
            </w:pPr>
          </w:p>
        </w:tc>
      </w:tr>
    </w:tbl>
    <w:p w14:paraId="6576C379" w14:textId="77777777" w:rsidR="00DC2729" w:rsidRPr="00DC2729" w:rsidRDefault="00DC2729" w:rsidP="00DC2729">
      <w:pPr>
        <w:autoSpaceDE w:val="0"/>
        <w:autoSpaceDN w:val="0"/>
        <w:adjustRightInd w:val="0"/>
        <w:jc w:val="both"/>
        <w:rPr>
          <w:rFonts w:cs="Tahoma,Bold"/>
          <w:b/>
          <w:bCs/>
          <w:smallCaps/>
          <w:szCs w:val="18"/>
          <w:highlight w:val="red"/>
          <w:u w:val="single"/>
        </w:rPr>
      </w:pPr>
    </w:p>
    <w:p w14:paraId="1F0FD30F" w14:textId="77777777" w:rsidR="00847F57" w:rsidRDefault="00847F57">
      <w:pPr>
        <w:spacing w:after="200" w:line="276" w:lineRule="auto"/>
        <w:rPr>
          <w:rFonts w:eastAsiaTheme="majorEastAsia" w:cstheme="majorBidi"/>
          <w:b/>
          <w:bCs/>
          <w:smallCaps/>
          <w:sz w:val="28"/>
          <w:szCs w:val="28"/>
          <w:highlight w:val="lightGray"/>
        </w:rPr>
      </w:pPr>
      <w:r>
        <w:rPr>
          <w:highlight w:val="lightGray"/>
        </w:rPr>
        <w:br w:type="page"/>
      </w:r>
    </w:p>
    <w:p w14:paraId="47AD918B" w14:textId="14B9257F" w:rsidR="009A567B" w:rsidRPr="00D706CB" w:rsidRDefault="009A567B" w:rsidP="00847F57">
      <w:pPr>
        <w:pStyle w:val="Titre1"/>
        <w:numPr>
          <w:ilvl w:val="0"/>
          <w:numId w:val="17"/>
        </w:numPr>
        <w:rPr>
          <w:highlight w:val="red"/>
        </w:rPr>
      </w:pPr>
      <w:r w:rsidRPr="00D706CB">
        <w:rPr>
          <w:highlight w:val="red"/>
        </w:rPr>
        <w:lastRenderedPageBreak/>
        <w:t>Fiches techniques des matériaux exigés dans le CCTP</w:t>
      </w:r>
    </w:p>
    <w:p w14:paraId="4D8A0D10" w14:textId="77777777" w:rsidR="00D706CB" w:rsidRDefault="00D706CB" w:rsidP="00CF553F"/>
    <w:p w14:paraId="60C429AA" w14:textId="0170556E" w:rsidR="00CF553F" w:rsidRDefault="00CF553F" w:rsidP="00CF553F">
      <w:r>
        <w:t>Les critères spécifiques d'évaluation seront les suivants :</w:t>
      </w:r>
    </w:p>
    <w:p w14:paraId="6A866746" w14:textId="77777777" w:rsidR="00D706CB" w:rsidRDefault="00D706CB" w:rsidP="00CF553F"/>
    <w:p w14:paraId="3BF3AE55" w14:textId="002FF2E6" w:rsidR="00CF553F" w:rsidRDefault="00CF553F" w:rsidP="00D706CB">
      <w:pPr>
        <w:pStyle w:val="Paragraphedeliste"/>
        <w:numPr>
          <w:ilvl w:val="0"/>
          <w:numId w:val="27"/>
        </w:numPr>
        <w:spacing w:after="160" w:line="259" w:lineRule="auto"/>
        <w:ind w:left="426"/>
        <w:jc w:val="both"/>
      </w:pPr>
      <w:r>
        <w:t xml:space="preserve">Conformité aux Spécifications : Les fiches techniques doivent démontrer une conformité stricte aux spécifications techniques et aux exigences détaillées du projet telles qu'elles ont été énoncées dans </w:t>
      </w:r>
      <w:r w:rsidR="00A66F10">
        <w:t>le CCAP et le CCTP</w:t>
      </w:r>
      <w:r>
        <w:t>.</w:t>
      </w:r>
    </w:p>
    <w:p w14:paraId="178BA9A0" w14:textId="77777777" w:rsidR="00CF553F" w:rsidRDefault="00CF553F" w:rsidP="00D706CB">
      <w:pPr>
        <w:pStyle w:val="Paragraphedeliste"/>
        <w:numPr>
          <w:ilvl w:val="0"/>
          <w:numId w:val="27"/>
        </w:numPr>
        <w:spacing w:after="160" w:line="259" w:lineRule="auto"/>
        <w:ind w:left="426"/>
        <w:jc w:val="both"/>
      </w:pPr>
      <w:r>
        <w:t>Complétude : Les fiches techniques doivent couvrir de manière exhaustive tous les aspects pertinents du produit, du service ou de la solution proposée, en fournissant des détails suffisants pour éclairer la compréhension globale du projet.</w:t>
      </w:r>
    </w:p>
    <w:p w14:paraId="1511B42B" w14:textId="77777777" w:rsidR="00CF553F" w:rsidRDefault="00CF553F" w:rsidP="00D706CB">
      <w:pPr>
        <w:pStyle w:val="Paragraphedeliste"/>
        <w:numPr>
          <w:ilvl w:val="0"/>
          <w:numId w:val="27"/>
        </w:numPr>
        <w:spacing w:after="160" w:line="259" w:lineRule="auto"/>
        <w:ind w:left="426"/>
        <w:jc w:val="both"/>
      </w:pPr>
      <w:r>
        <w:t>Fiabilité des Données : Les données techniques fournies doivent être fiables, vérifiables et basées sur des tests, des analyses ou des standards reconnus par l'industrie, le cas échéant.</w:t>
      </w:r>
    </w:p>
    <w:p w14:paraId="0D8A8CE0" w14:textId="77777777" w:rsidR="00CF553F" w:rsidRDefault="00CF553F" w:rsidP="00D706CB">
      <w:pPr>
        <w:pStyle w:val="Paragraphedeliste"/>
        <w:numPr>
          <w:ilvl w:val="0"/>
          <w:numId w:val="27"/>
        </w:numPr>
        <w:spacing w:after="160" w:line="259" w:lineRule="auto"/>
        <w:ind w:left="426"/>
        <w:jc w:val="both"/>
      </w:pPr>
      <w:r>
        <w:t>Compatibilité et Interopérabilité : Dans le cas de solutions intégrées ou de produits interagissant avec d'autres composants du système, la compatibilité et l'interopérabilité doivent être clairement démontrées dans les fiches techniques.</w:t>
      </w:r>
    </w:p>
    <w:p w14:paraId="00EE90FD" w14:textId="418E5CCA" w:rsidR="00CF553F" w:rsidRDefault="00CF553F" w:rsidP="00D706CB">
      <w:pPr>
        <w:pStyle w:val="Paragraphedeliste"/>
        <w:numPr>
          <w:ilvl w:val="0"/>
          <w:numId w:val="27"/>
        </w:numPr>
        <w:spacing w:after="160" w:line="259" w:lineRule="auto"/>
        <w:ind w:left="426"/>
        <w:jc w:val="both"/>
      </w:pPr>
      <w:r>
        <w:t>Durabilité et Performance : Les fiches techniques doivent fournir des informations sur la durabilité, la performance attendue et la fiabilité des produits ou des solutions proposées sur le long terme.</w:t>
      </w:r>
    </w:p>
    <w:tbl>
      <w:tblPr>
        <w:tblStyle w:val="Grilledutableau"/>
        <w:tblW w:w="0" w:type="auto"/>
        <w:tblLook w:val="04A0" w:firstRow="1" w:lastRow="0" w:firstColumn="1" w:lastColumn="0" w:noHBand="0" w:noVBand="1"/>
      </w:tblPr>
      <w:tblGrid>
        <w:gridCol w:w="9062"/>
      </w:tblGrid>
      <w:tr w:rsidR="009A567B" w14:paraId="7B8FE0AD" w14:textId="77777777" w:rsidTr="00CF553F">
        <w:trPr>
          <w:trHeight w:val="8335"/>
        </w:trPr>
        <w:tc>
          <w:tcPr>
            <w:tcW w:w="9062" w:type="dxa"/>
          </w:tcPr>
          <w:p w14:paraId="5DA77066" w14:textId="77777777" w:rsidR="009A567B" w:rsidRDefault="009A567B" w:rsidP="009A567B">
            <w:pPr>
              <w:autoSpaceDE w:val="0"/>
              <w:autoSpaceDN w:val="0"/>
              <w:adjustRightInd w:val="0"/>
              <w:jc w:val="both"/>
              <w:rPr>
                <w:rFonts w:cs="Arial"/>
                <w:b/>
                <w:smallCaps/>
                <w:szCs w:val="24"/>
                <w:highlight w:val="red"/>
                <w:u w:val="single"/>
              </w:rPr>
            </w:pPr>
          </w:p>
        </w:tc>
      </w:tr>
    </w:tbl>
    <w:p w14:paraId="1413119D" w14:textId="77777777" w:rsidR="00847F57" w:rsidRDefault="00847F57">
      <w:pPr>
        <w:spacing w:after="200" w:line="276" w:lineRule="auto"/>
        <w:rPr>
          <w:rFonts w:eastAsiaTheme="majorEastAsia" w:cstheme="majorBidi"/>
          <w:b/>
          <w:bCs/>
          <w:smallCaps/>
          <w:sz w:val="28"/>
          <w:szCs w:val="28"/>
          <w:highlight w:val="lightGray"/>
        </w:rPr>
      </w:pPr>
      <w:r>
        <w:rPr>
          <w:highlight w:val="lightGray"/>
        </w:rPr>
        <w:br w:type="page"/>
      </w:r>
    </w:p>
    <w:p w14:paraId="261FF7A1" w14:textId="67229C2D" w:rsidR="009A567B" w:rsidRPr="00CF553F" w:rsidRDefault="009A567B" w:rsidP="00847F57">
      <w:pPr>
        <w:pStyle w:val="Titre1"/>
        <w:numPr>
          <w:ilvl w:val="0"/>
          <w:numId w:val="17"/>
        </w:numPr>
        <w:jc w:val="both"/>
        <w:rPr>
          <w:highlight w:val="red"/>
        </w:rPr>
      </w:pPr>
      <w:r>
        <w:rPr>
          <w:highlight w:val="red"/>
        </w:rPr>
        <w:lastRenderedPageBreak/>
        <w:t xml:space="preserve">Délai d’intervention </w:t>
      </w:r>
      <w:r w:rsidRPr="009A567B">
        <w:rPr>
          <w:highlight w:val="red"/>
        </w:rPr>
        <w:t>(présentation sous la forme d’un diagramme de GANTT)</w:t>
      </w:r>
    </w:p>
    <w:p w14:paraId="4FE2C1CC" w14:textId="2034842F" w:rsidR="00CF553F" w:rsidRDefault="00CF553F" w:rsidP="00CF553F">
      <w:pPr>
        <w:autoSpaceDE w:val="0"/>
        <w:autoSpaceDN w:val="0"/>
        <w:adjustRightInd w:val="0"/>
        <w:jc w:val="both"/>
        <w:rPr>
          <w:rFonts w:cs="Arial"/>
          <w:b/>
          <w:smallCaps/>
          <w:szCs w:val="24"/>
          <w:highlight w:val="red"/>
          <w:u w:val="single"/>
        </w:rPr>
      </w:pPr>
    </w:p>
    <w:p w14:paraId="17023798" w14:textId="77777777" w:rsidR="00CF553F" w:rsidRDefault="00CF553F" w:rsidP="00D706CB">
      <w:pPr>
        <w:jc w:val="both"/>
      </w:pPr>
      <w:r>
        <w:t>Une planification rigoureuse et une coordination efficace des différentes phases de l'intervention sont essentielles. L’entreprise devra présenter un calendrier clair, sous forme de Diagramme de Gant, réaliste et optimisée pour une durée d’intervention la plus courte possible, prenant en compte les contraintes spécifiques du site occupé et la période estivale.</w:t>
      </w:r>
    </w:p>
    <w:p w14:paraId="19BFBAF2" w14:textId="77777777" w:rsidR="00CF553F" w:rsidRPr="00CF553F" w:rsidRDefault="00CF553F" w:rsidP="00CF553F">
      <w:pPr>
        <w:autoSpaceDE w:val="0"/>
        <w:autoSpaceDN w:val="0"/>
        <w:adjustRightInd w:val="0"/>
        <w:jc w:val="both"/>
        <w:rPr>
          <w:rFonts w:cs="Arial"/>
          <w:b/>
          <w:smallCaps/>
          <w:szCs w:val="24"/>
          <w:highlight w:val="red"/>
          <w:u w:val="single"/>
        </w:rPr>
      </w:pPr>
    </w:p>
    <w:tbl>
      <w:tblPr>
        <w:tblStyle w:val="Grilledutableau"/>
        <w:tblW w:w="0" w:type="auto"/>
        <w:tblLook w:val="04A0" w:firstRow="1" w:lastRow="0" w:firstColumn="1" w:lastColumn="0" w:noHBand="0" w:noVBand="1"/>
      </w:tblPr>
      <w:tblGrid>
        <w:gridCol w:w="9062"/>
      </w:tblGrid>
      <w:tr w:rsidR="009A567B" w14:paraId="6EDF7891" w14:textId="77777777" w:rsidTr="00CF553F">
        <w:trPr>
          <w:trHeight w:val="11127"/>
        </w:trPr>
        <w:tc>
          <w:tcPr>
            <w:tcW w:w="9062" w:type="dxa"/>
          </w:tcPr>
          <w:p w14:paraId="57FF0E96" w14:textId="77777777" w:rsidR="009A567B" w:rsidRDefault="009A567B" w:rsidP="009A567B">
            <w:pPr>
              <w:autoSpaceDE w:val="0"/>
              <w:autoSpaceDN w:val="0"/>
              <w:adjustRightInd w:val="0"/>
              <w:jc w:val="both"/>
              <w:rPr>
                <w:rFonts w:cs="Arial"/>
                <w:b/>
                <w:smallCaps/>
                <w:szCs w:val="24"/>
                <w:highlight w:val="red"/>
                <w:u w:val="single"/>
              </w:rPr>
            </w:pPr>
          </w:p>
        </w:tc>
      </w:tr>
    </w:tbl>
    <w:p w14:paraId="64C3D074" w14:textId="77777777" w:rsidR="009A567B" w:rsidRPr="009A567B" w:rsidRDefault="009A567B" w:rsidP="009A567B">
      <w:pPr>
        <w:autoSpaceDE w:val="0"/>
        <w:autoSpaceDN w:val="0"/>
        <w:adjustRightInd w:val="0"/>
        <w:jc w:val="both"/>
        <w:rPr>
          <w:rFonts w:cs="Arial"/>
          <w:b/>
          <w:smallCaps/>
          <w:szCs w:val="24"/>
          <w:highlight w:val="red"/>
          <w:u w:val="single"/>
        </w:rPr>
      </w:pPr>
    </w:p>
    <w:p w14:paraId="322C8845" w14:textId="77777777" w:rsidR="00847F57" w:rsidRDefault="00847F57">
      <w:pPr>
        <w:spacing w:after="200" w:line="276" w:lineRule="auto"/>
        <w:rPr>
          <w:rFonts w:eastAsiaTheme="majorEastAsia" w:cs="Arial"/>
          <w:b/>
          <w:bCs/>
          <w:smallCaps/>
          <w:sz w:val="28"/>
          <w:szCs w:val="18"/>
          <w:highlight w:val="lightGray"/>
        </w:rPr>
      </w:pPr>
      <w:r>
        <w:rPr>
          <w:rFonts w:cs="Arial"/>
          <w:szCs w:val="18"/>
          <w:highlight w:val="lightGray"/>
        </w:rPr>
        <w:br w:type="page"/>
      </w:r>
    </w:p>
    <w:p w14:paraId="0290E2BB" w14:textId="268E9CCB" w:rsidR="00601D59" w:rsidRPr="00601D59" w:rsidRDefault="00D706CB" w:rsidP="00847F57">
      <w:pPr>
        <w:pStyle w:val="Titre1"/>
        <w:numPr>
          <w:ilvl w:val="0"/>
          <w:numId w:val="17"/>
        </w:numPr>
        <w:rPr>
          <w:rFonts w:cs="Arial"/>
          <w:sz w:val="18"/>
          <w:szCs w:val="18"/>
        </w:rPr>
      </w:pPr>
      <w:r w:rsidRPr="00D706CB">
        <w:lastRenderedPageBreak/>
        <w:t>Démarche environnementale et sociétale (5%)</w:t>
      </w:r>
    </w:p>
    <w:p w14:paraId="34AB3C0C" w14:textId="77777777" w:rsidR="00D706CB" w:rsidRPr="00D24528" w:rsidRDefault="00D706CB" w:rsidP="00601D59">
      <w:pPr>
        <w:autoSpaceDE w:val="0"/>
        <w:autoSpaceDN w:val="0"/>
        <w:adjustRightInd w:val="0"/>
        <w:jc w:val="both"/>
        <w:rPr>
          <w:sz w:val="10"/>
          <w:szCs w:val="10"/>
        </w:rPr>
      </w:pPr>
    </w:p>
    <w:p w14:paraId="62EAA411" w14:textId="77777777" w:rsidR="00D706CB" w:rsidRPr="00D706CB" w:rsidRDefault="00D706CB" w:rsidP="00D706CB">
      <w:pPr>
        <w:autoSpaceDE w:val="0"/>
        <w:autoSpaceDN w:val="0"/>
        <w:adjustRightInd w:val="0"/>
        <w:jc w:val="both"/>
        <w:rPr>
          <w:szCs w:val="24"/>
        </w:rPr>
      </w:pPr>
      <w:r w:rsidRPr="00D706CB">
        <w:rPr>
          <w:szCs w:val="24"/>
        </w:rPr>
        <w:t>Dans le cadre de l'évaluation des offres pour ce marché public, une attention particulière sera accordée à la démarche environnementale et sociétale de l'entreprise, à la fois par l’entreprise dans son fonctionnement général et sur le chantier. Les critères spécifiques d'évaluation incluront :</w:t>
      </w:r>
    </w:p>
    <w:p w14:paraId="6150A1C8" w14:textId="77777777" w:rsidR="00D706CB" w:rsidRPr="00D24528" w:rsidRDefault="00D706CB" w:rsidP="00D706CB">
      <w:pPr>
        <w:autoSpaceDE w:val="0"/>
        <w:autoSpaceDN w:val="0"/>
        <w:adjustRightInd w:val="0"/>
        <w:jc w:val="both"/>
        <w:rPr>
          <w:sz w:val="10"/>
          <w:szCs w:val="10"/>
        </w:rPr>
      </w:pPr>
    </w:p>
    <w:p w14:paraId="4F5D96E7" w14:textId="77777777" w:rsidR="00D706CB" w:rsidRDefault="00D706CB" w:rsidP="00D706CB">
      <w:pPr>
        <w:pStyle w:val="Paragraphedeliste"/>
        <w:numPr>
          <w:ilvl w:val="0"/>
          <w:numId w:val="28"/>
        </w:numPr>
        <w:autoSpaceDE w:val="0"/>
        <w:autoSpaceDN w:val="0"/>
        <w:adjustRightInd w:val="0"/>
        <w:ind w:left="284" w:hanging="284"/>
        <w:jc w:val="both"/>
        <w:rPr>
          <w:szCs w:val="24"/>
        </w:rPr>
      </w:pPr>
      <w:r w:rsidRPr="00D706CB">
        <w:rPr>
          <w:szCs w:val="24"/>
        </w:rPr>
        <w:t>Engagements : La présentation claire de la politique environnementale et sociétale de l'entreprise, ainsi que de ses engagements en matière de durabilité, de responsabilité sociale et environnementale.</w:t>
      </w:r>
    </w:p>
    <w:p w14:paraId="551CEFE3" w14:textId="77777777" w:rsidR="00D706CB" w:rsidRDefault="00D706CB" w:rsidP="00D706CB">
      <w:pPr>
        <w:pStyle w:val="Paragraphedeliste"/>
        <w:numPr>
          <w:ilvl w:val="0"/>
          <w:numId w:val="28"/>
        </w:numPr>
        <w:autoSpaceDE w:val="0"/>
        <w:autoSpaceDN w:val="0"/>
        <w:adjustRightInd w:val="0"/>
        <w:ind w:left="284" w:hanging="284"/>
        <w:jc w:val="both"/>
        <w:rPr>
          <w:szCs w:val="24"/>
        </w:rPr>
      </w:pPr>
      <w:r w:rsidRPr="00D706CB">
        <w:rPr>
          <w:szCs w:val="24"/>
        </w:rPr>
        <w:t>Certifications : Les certifications, labels ou reconnaissances officiels éventuels attestant de l'engagement de l'entreprise envers des pratiques durables et responsables seront pris en considération.</w:t>
      </w:r>
    </w:p>
    <w:p w14:paraId="7E5437A8" w14:textId="4AB4FD0E" w:rsidR="00D706CB" w:rsidRDefault="00D706CB" w:rsidP="00D706CB">
      <w:pPr>
        <w:pStyle w:val="Paragraphedeliste"/>
        <w:numPr>
          <w:ilvl w:val="0"/>
          <w:numId w:val="28"/>
        </w:numPr>
        <w:autoSpaceDE w:val="0"/>
        <w:autoSpaceDN w:val="0"/>
        <w:adjustRightInd w:val="0"/>
        <w:ind w:left="284" w:hanging="284"/>
        <w:jc w:val="both"/>
        <w:rPr>
          <w:szCs w:val="24"/>
        </w:rPr>
      </w:pPr>
      <w:r w:rsidRPr="00D706CB">
        <w:rPr>
          <w:szCs w:val="24"/>
        </w:rPr>
        <w:t>Gestion des impacts : La capacité de l'entreprise à identifier, évaluer et gérer les impacts environnementaux et sociétaux de ses activités, ainsi que les mesures mises en</w:t>
      </w:r>
      <w:r w:rsidR="00B372EF">
        <w:rPr>
          <w:szCs w:val="24"/>
        </w:rPr>
        <w:t xml:space="preserve"> place pour réduire ces impacts </w:t>
      </w:r>
      <w:r w:rsidR="00B372EF" w:rsidRPr="00B372EF">
        <w:rPr>
          <w:szCs w:val="24"/>
        </w:rPr>
        <w:t>et la gestion des déchets (tri, recyclage, réemploi).</w:t>
      </w:r>
    </w:p>
    <w:p w14:paraId="117A3E95" w14:textId="77777777" w:rsidR="00D706CB" w:rsidRDefault="00D706CB" w:rsidP="00D706CB">
      <w:pPr>
        <w:pStyle w:val="Paragraphedeliste"/>
        <w:numPr>
          <w:ilvl w:val="0"/>
          <w:numId w:val="28"/>
        </w:numPr>
        <w:autoSpaceDE w:val="0"/>
        <w:autoSpaceDN w:val="0"/>
        <w:adjustRightInd w:val="0"/>
        <w:ind w:left="284" w:hanging="284"/>
        <w:jc w:val="both"/>
        <w:rPr>
          <w:szCs w:val="24"/>
        </w:rPr>
      </w:pPr>
      <w:r w:rsidRPr="00D706CB">
        <w:rPr>
          <w:szCs w:val="24"/>
        </w:rPr>
        <w:t>Évaluation des fournisseurs : L'évaluation de la politique environn</w:t>
      </w:r>
      <w:bookmarkStart w:id="0" w:name="_GoBack"/>
      <w:bookmarkEnd w:id="0"/>
      <w:r w:rsidRPr="00D706CB">
        <w:rPr>
          <w:szCs w:val="24"/>
        </w:rPr>
        <w:t>ementale et sociétale des fournisseurs et partenaires de l'entreprise, ainsi que les mesures prises pour encourager des pratiques responsables tout au long de la chaîne d'approvisionnement.</w:t>
      </w:r>
    </w:p>
    <w:p w14:paraId="0EFBFB82" w14:textId="77777777" w:rsidR="00D24528" w:rsidRDefault="00D706CB" w:rsidP="00D24528">
      <w:pPr>
        <w:pStyle w:val="Paragraphedeliste"/>
        <w:numPr>
          <w:ilvl w:val="0"/>
          <w:numId w:val="28"/>
        </w:numPr>
        <w:autoSpaceDE w:val="0"/>
        <w:autoSpaceDN w:val="0"/>
        <w:adjustRightInd w:val="0"/>
        <w:ind w:left="284" w:hanging="284"/>
        <w:jc w:val="both"/>
        <w:rPr>
          <w:szCs w:val="24"/>
        </w:rPr>
      </w:pPr>
      <w:r w:rsidRPr="00D706CB">
        <w:rPr>
          <w:szCs w:val="24"/>
        </w:rPr>
        <w:t>Formation et sensibilisation : Les efforts de l'entreprise pour sensibiliser et former son personnel aux enjeux environnementaux et sociaux, ainsi que pour encourager une culture d'entreprise axée sur la durabilité et la responsabilité.</w:t>
      </w:r>
    </w:p>
    <w:p w14:paraId="270BCFAB" w14:textId="4F33BD8F" w:rsidR="00D24528" w:rsidRPr="00D24528" w:rsidRDefault="00D24528" w:rsidP="00D24528">
      <w:pPr>
        <w:pStyle w:val="Paragraphedeliste"/>
        <w:numPr>
          <w:ilvl w:val="0"/>
          <w:numId w:val="28"/>
        </w:numPr>
        <w:autoSpaceDE w:val="0"/>
        <w:autoSpaceDN w:val="0"/>
        <w:adjustRightInd w:val="0"/>
        <w:ind w:left="284" w:hanging="284"/>
        <w:jc w:val="both"/>
        <w:rPr>
          <w:szCs w:val="24"/>
        </w:rPr>
      </w:pPr>
      <w:r w:rsidRPr="00D24528">
        <w:rPr>
          <w:szCs w:val="24"/>
        </w:rPr>
        <w:t xml:space="preserve">Chaque type de borne disposera de son PEP (Profil Environnemental Produit) ou d’un document équivalent qui détaillera notamment les points suivants : </w:t>
      </w:r>
    </w:p>
    <w:p w14:paraId="28C9CB8A" w14:textId="55697DAC" w:rsidR="00D24528" w:rsidRDefault="00D24528" w:rsidP="00D24528">
      <w:pPr>
        <w:pStyle w:val="Paragraphedeliste"/>
        <w:numPr>
          <w:ilvl w:val="0"/>
          <w:numId w:val="30"/>
        </w:numPr>
        <w:autoSpaceDE w:val="0"/>
        <w:autoSpaceDN w:val="0"/>
        <w:adjustRightInd w:val="0"/>
        <w:jc w:val="both"/>
        <w:rPr>
          <w:szCs w:val="24"/>
        </w:rPr>
      </w:pPr>
      <w:r w:rsidRPr="00D24528">
        <w:rPr>
          <w:szCs w:val="24"/>
        </w:rPr>
        <w:t>La présentation du produit, son unité fonctionnelle et sa durée de vie de référence ;</w:t>
      </w:r>
    </w:p>
    <w:p w14:paraId="090C0676" w14:textId="77777777" w:rsidR="00D24528" w:rsidRDefault="00D24528" w:rsidP="00D24528">
      <w:pPr>
        <w:pStyle w:val="Paragraphedeliste"/>
        <w:numPr>
          <w:ilvl w:val="0"/>
          <w:numId w:val="30"/>
        </w:numPr>
        <w:autoSpaceDE w:val="0"/>
        <w:autoSpaceDN w:val="0"/>
        <w:adjustRightInd w:val="0"/>
        <w:jc w:val="both"/>
        <w:rPr>
          <w:szCs w:val="24"/>
        </w:rPr>
      </w:pPr>
      <w:r w:rsidRPr="00D24528">
        <w:rPr>
          <w:szCs w:val="24"/>
        </w:rPr>
        <w:t>Les matériaux constitutifs du produit ;</w:t>
      </w:r>
    </w:p>
    <w:p w14:paraId="74E40FBA" w14:textId="77777777" w:rsidR="00D24528" w:rsidRDefault="00D24528" w:rsidP="00D24528">
      <w:pPr>
        <w:pStyle w:val="Paragraphedeliste"/>
        <w:numPr>
          <w:ilvl w:val="0"/>
          <w:numId w:val="30"/>
        </w:numPr>
        <w:autoSpaceDE w:val="0"/>
        <w:autoSpaceDN w:val="0"/>
        <w:adjustRightInd w:val="0"/>
        <w:jc w:val="both"/>
        <w:rPr>
          <w:szCs w:val="24"/>
        </w:rPr>
      </w:pPr>
      <w:r w:rsidRPr="00D24528">
        <w:rPr>
          <w:szCs w:val="24"/>
        </w:rPr>
        <w:t>La description des étapes du cycle de vie : fabrication, distribution, installation, utilisation, fin de vie ;</w:t>
      </w:r>
    </w:p>
    <w:p w14:paraId="058A3001" w14:textId="77777777" w:rsidR="00D24528" w:rsidRDefault="00D24528" w:rsidP="00D24528">
      <w:pPr>
        <w:pStyle w:val="Paragraphedeliste"/>
        <w:numPr>
          <w:ilvl w:val="0"/>
          <w:numId w:val="30"/>
        </w:numPr>
        <w:autoSpaceDE w:val="0"/>
        <w:autoSpaceDN w:val="0"/>
        <w:adjustRightInd w:val="0"/>
        <w:jc w:val="both"/>
        <w:rPr>
          <w:szCs w:val="24"/>
        </w:rPr>
      </w:pPr>
      <w:r w:rsidRPr="00D24528">
        <w:rPr>
          <w:szCs w:val="24"/>
        </w:rPr>
        <w:t>Les impacts environnementaux (dont l’impact carbone) ;</w:t>
      </w:r>
    </w:p>
    <w:p w14:paraId="0804A8BC" w14:textId="77777777" w:rsidR="00D24528" w:rsidRDefault="00D24528" w:rsidP="00D24528">
      <w:pPr>
        <w:pStyle w:val="Paragraphedeliste"/>
        <w:numPr>
          <w:ilvl w:val="0"/>
          <w:numId w:val="30"/>
        </w:numPr>
        <w:autoSpaceDE w:val="0"/>
        <w:autoSpaceDN w:val="0"/>
        <w:adjustRightInd w:val="0"/>
        <w:jc w:val="both"/>
        <w:rPr>
          <w:szCs w:val="24"/>
        </w:rPr>
      </w:pPr>
      <w:r w:rsidRPr="00D24528">
        <w:rPr>
          <w:szCs w:val="24"/>
        </w:rPr>
        <w:t xml:space="preserve">Éventuellement l’information sur les substances dangereuses selon les réglementations en vigueur (REACH, </w:t>
      </w:r>
      <w:proofErr w:type="spellStart"/>
      <w:r w:rsidRPr="00D24528">
        <w:rPr>
          <w:szCs w:val="24"/>
        </w:rPr>
        <w:t>RoHS</w:t>
      </w:r>
      <w:proofErr w:type="spellEnd"/>
      <w:r w:rsidRPr="00D24528">
        <w:rPr>
          <w:szCs w:val="24"/>
        </w:rPr>
        <w:t>, etc.) ;</w:t>
      </w:r>
    </w:p>
    <w:p w14:paraId="31EDEB27" w14:textId="732FB376" w:rsidR="00D24528" w:rsidRPr="00D24528" w:rsidRDefault="00D24528" w:rsidP="00D24528">
      <w:pPr>
        <w:pStyle w:val="Paragraphedeliste"/>
        <w:numPr>
          <w:ilvl w:val="0"/>
          <w:numId w:val="30"/>
        </w:numPr>
        <w:autoSpaceDE w:val="0"/>
        <w:autoSpaceDN w:val="0"/>
        <w:adjustRightInd w:val="0"/>
        <w:jc w:val="both"/>
        <w:rPr>
          <w:szCs w:val="24"/>
        </w:rPr>
      </w:pPr>
      <w:r w:rsidRPr="00D24528">
        <w:rPr>
          <w:szCs w:val="24"/>
        </w:rPr>
        <w:t xml:space="preserve">Éventuellement le taux de </w:t>
      </w:r>
      <w:proofErr w:type="spellStart"/>
      <w:r w:rsidRPr="00D24528">
        <w:rPr>
          <w:szCs w:val="24"/>
        </w:rPr>
        <w:t>recyclabilité</w:t>
      </w:r>
      <w:proofErr w:type="spellEnd"/>
      <w:r w:rsidRPr="00D24528">
        <w:rPr>
          <w:szCs w:val="24"/>
        </w:rPr>
        <w:t>.</w:t>
      </w:r>
    </w:p>
    <w:p w14:paraId="10E0AD4A" w14:textId="77777777" w:rsidR="00D706CB" w:rsidRPr="00D706CB" w:rsidRDefault="006922FC" w:rsidP="00D706CB">
      <w:pPr>
        <w:pStyle w:val="Paragraphedeliste"/>
        <w:numPr>
          <w:ilvl w:val="0"/>
          <w:numId w:val="28"/>
        </w:numPr>
        <w:autoSpaceDE w:val="0"/>
        <w:autoSpaceDN w:val="0"/>
        <w:adjustRightInd w:val="0"/>
        <w:ind w:left="284" w:hanging="284"/>
        <w:jc w:val="both"/>
        <w:rPr>
          <w:szCs w:val="24"/>
        </w:rPr>
      </w:pPr>
      <w:r w:rsidRPr="00D706CB">
        <w:rPr>
          <w:szCs w:val="24"/>
        </w:rPr>
        <w:t xml:space="preserve">Respect des modalités de mise en œuvre et de suivi </w:t>
      </w:r>
      <w:r w:rsidR="006E70B0" w:rsidRPr="00D706CB">
        <w:rPr>
          <w:szCs w:val="24"/>
        </w:rPr>
        <w:t xml:space="preserve">prévue par le </w:t>
      </w:r>
      <w:r w:rsidRPr="00D706CB">
        <w:rPr>
          <w:szCs w:val="24"/>
        </w:rPr>
        <w:t xml:space="preserve">schéma d’organisation et de gestion des déchets </w:t>
      </w:r>
      <w:r w:rsidR="006E70B0" w:rsidRPr="00D706CB">
        <w:rPr>
          <w:i/>
          <w:szCs w:val="24"/>
        </w:rPr>
        <w:t xml:space="preserve">(cf. </w:t>
      </w:r>
      <w:r w:rsidRPr="00D706CB">
        <w:rPr>
          <w:i/>
          <w:szCs w:val="24"/>
        </w:rPr>
        <w:t>article 20.1 du CCAP</w:t>
      </w:r>
      <w:r w:rsidR="006E70B0" w:rsidRPr="00D706CB">
        <w:rPr>
          <w:i/>
          <w:szCs w:val="24"/>
        </w:rPr>
        <w:t>)</w:t>
      </w:r>
      <w:r w:rsidRPr="00D706CB">
        <w:rPr>
          <w:i/>
          <w:szCs w:val="24"/>
        </w:rPr>
        <w:t>.</w:t>
      </w:r>
    </w:p>
    <w:p w14:paraId="48A4E08B" w14:textId="7456F97E" w:rsidR="00580DB5" w:rsidRPr="00D706CB" w:rsidRDefault="006E70B0" w:rsidP="00D706CB">
      <w:pPr>
        <w:pStyle w:val="Paragraphedeliste"/>
        <w:numPr>
          <w:ilvl w:val="0"/>
          <w:numId w:val="28"/>
        </w:numPr>
        <w:autoSpaceDE w:val="0"/>
        <w:autoSpaceDN w:val="0"/>
        <w:adjustRightInd w:val="0"/>
        <w:ind w:left="284" w:hanging="284"/>
        <w:jc w:val="both"/>
        <w:rPr>
          <w:szCs w:val="24"/>
        </w:rPr>
      </w:pPr>
      <w:r w:rsidRPr="00D706CB">
        <w:rPr>
          <w:szCs w:val="24"/>
        </w:rPr>
        <w:t>S'assurer de la traçabilité des déchets et matériaux issus du chantier, notamment grâce à l'usage de bordereaux de suivi ou de dépôt des d</w:t>
      </w:r>
      <w:r w:rsidR="00C22499">
        <w:rPr>
          <w:szCs w:val="24"/>
        </w:rPr>
        <w:t xml:space="preserve">échets de chantier à remettre au </w:t>
      </w:r>
      <w:r w:rsidRPr="00D706CB">
        <w:rPr>
          <w:szCs w:val="24"/>
        </w:rPr>
        <w:t>Maître d’Ouvrage ou au Maître d’œuvre</w:t>
      </w:r>
      <w:r w:rsidR="005F692D">
        <w:rPr>
          <w:szCs w:val="24"/>
        </w:rPr>
        <w:t xml:space="preserve">, ou directement sur la plateforme TRACKDECHETS du MOA </w:t>
      </w:r>
      <w:r w:rsidRPr="00D706CB">
        <w:rPr>
          <w:i/>
          <w:szCs w:val="24"/>
        </w:rPr>
        <w:t xml:space="preserve">(cf. </w:t>
      </w:r>
      <w:r w:rsidR="006922FC" w:rsidRPr="00D706CB">
        <w:rPr>
          <w:i/>
          <w:szCs w:val="24"/>
        </w:rPr>
        <w:t>article 2</w:t>
      </w:r>
      <w:r w:rsidRPr="00D706CB">
        <w:rPr>
          <w:i/>
          <w:szCs w:val="24"/>
        </w:rPr>
        <w:t>1.2</w:t>
      </w:r>
      <w:r w:rsidR="006922FC" w:rsidRPr="00D706CB">
        <w:rPr>
          <w:i/>
          <w:szCs w:val="24"/>
        </w:rPr>
        <w:t>.</w:t>
      </w:r>
      <w:r w:rsidRPr="00D706CB">
        <w:rPr>
          <w:i/>
          <w:szCs w:val="24"/>
        </w:rPr>
        <w:t>2</w:t>
      </w:r>
      <w:r w:rsidR="006922FC" w:rsidRPr="00D706CB">
        <w:rPr>
          <w:i/>
          <w:szCs w:val="24"/>
        </w:rPr>
        <w:t xml:space="preserve"> du CCAP</w:t>
      </w:r>
      <w:r w:rsidRPr="00D706CB">
        <w:rPr>
          <w:i/>
          <w:szCs w:val="24"/>
        </w:rPr>
        <w:t>)</w:t>
      </w:r>
      <w:r w:rsidR="006922FC" w:rsidRPr="00D706CB">
        <w:rPr>
          <w:i/>
          <w:szCs w:val="24"/>
        </w:rPr>
        <w:t>.</w:t>
      </w:r>
    </w:p>
    <w:p w14:paraId="276ED3CC" w14:textId="77777777" w:rsidR="003A5268" w:rsidRPr="003A5268" w:rsidRDefault="003A5268" w:rsidP="003A5268">
      <w:pPr>
        <w:pStyle w:val="Paragraphedeliste"/>
        <w:autoSpaceDE w:val="0"/>
        <w:autoSpaceDN w:val="0"/>
        <w:adjustRightInd w:val="0"/>
        <w:ind w:left="284"/>
        <w:contextualSpacing w:val="0"/>
        <w:jc w:val="both"/>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01D59" w:rsidRPr="00601D59" w14:paraId="53CAC479" w14:textId="77777777" w:rsidTr="00D24528">
        <w:trPr>
          <w:trHeight w:val="1122"/>
        </w:trPr>
        <w:tc>
          <w:tcPr>
            <w:tcW w:w="9606" w:type="dxa"/>
            <w:shd w:val="clear" w:color="auto" w:fill="auto"/>
          </w:tcPr>
          <w:p w14:paraId="1052CE8E" w14:textId="77777777" w:rsidR="00601D59" w:rsidRPr="00601D59" w:rsidRDefault="00601D59" w:rsidP="00601D59">
            <w:pPr>
              <w:autoSpaceDE w:val="0"/>
              <w:autoSpaceDN w:val="0"/>
              <w:adjustRightInd w:val="0"/>
              <w:jc w:val="both"/>
              <w:rPr>
                <w:rFonts w:cs="Arial"/>
                <w:bCs/>
                <w:szCs w:val="24"/>
              </w:rPr>
            </w:pPr>
          </w:p>
        </w:tc>
      </w:tr>
    </w:tbl>
    <w:p w14:paraId="24E03A37" w14:textId="0B41EC80" w:rsidR="00601D59" w:rsidRDefault="00601D59" w:rsidP="00601D59">
      <w:pPr>
        <w:tabs>
          <w:tab w:val="left" w:pos="5670"/>
        </w:tabs>
        <w:autoSpaceDE w:val="0"/>
        <w:autoSpaceDN w:val="0"/>
        <w:adjustRightInd w:val="0"/>
        <w:ind w:left="5670" w:hanging="5670"/>
        <w:jc w:val="both"/>
        <w:rPr>
          <w:rFonts w:cs="Arial"/>
          <w:bCs/>
          <w:sz w:val="18"/>
          <w:szCs w:val="18"/>
        </w:rPr>
      </w:pPr>
    </w:p>
    <w:p w14:paraId="59B76C41" w14:textId="5E6C0303" w:rsidR="003D068E" w:rsidRDefault="003D068E" w:rsidP="003D068E">
      <w:pPr>
        <w:tabs>
          <w:tab w:val="left" w:pos="1985"/>
          <w:tab w:val="left" w:pos="4536"/>
        </w:tabs>
      </w:pPr>
      <w:proofErr w:type="gramStart"/>
      <w:r>
        <w:t>à</w:t>
      </w:r>
      <w:proofErr w:type="gramEnd"/>
      <w:r>
        <w:t xml:space="preserve">                  </w:t>
      </w:r>
      <w:r>
        <w:tab/>
        <w:t>, Le</w:t>
      </w:r>
      <w:r>
        <w:tab/>
      </w:r>
    </w:p>
    <w:p w14:paraId="6CC0E522" w14:textId="77777777" w:rsidR="003D068E" w:rsidRDefault="003D068E" w:rsidP="003D068E">
      <w:r>
        <w:tab/>
      </w:r>
      <w:r>
        <w:tab/>
      </w:r>
      <w:r>
        <w:tab/>
      </w:r>
      <w:r>
        <w:tab/>
      </w:r>
    </w:p>
    <w:p w14:paraId="3F233C4B" w14:textId="7BD64539" w:rsidR="003D068E" w:rsidRDefault="003D068E" w:rsidP="003D068E">
      <w:pPr>
        <w:tabs>
          <w:tab w:val="left" w:pos="4536"/>
        </w:tabs>
      </w:pPr>
      <w:r>
        <w:t xml:space="preserve">La société : </w:t>
      </w:r>
      <w:r>
        <w:tab/>
      </w:r>
    </w:p>
    <w:p w14:paraId="45CCD54C" w14:textId="77777777" w:rsidR="003D068E" w:rsidRDefault="003D068E" w:rsidP="003D068E">
      <w:r>
        <w:tab/>
      </w:r>
      <w:r>
        <w:tab/>
      </w:r>
      <w:r>
        <w:tab/>
      </w:r>
      <w:r>
        <w:tab/>
      </w:r>
    </w:p>
    <w:p w14:paraId="5E1FAC75" w14:textId="54214814" w:rsidR="003D068E" w:rsidRDefault="003D068E" w:rsidP="003D068E">
      <w:pPr>
        <w:tabs>
          <w:tab w:val="left" w:pos="4536"/>
        </w:tabs>
      </w:pPr>
      <w:r>
        <w:t>Représentée par,</w:t>
      </w:r>
      <w:r>
        <w:tab/>
      </w:r>
      <w:r>
        <w:tab/>
      </w:r>
    </w:p>
    <w:p w14:paraId="0027FB45" w14:textId="77777777" w:rsidR="003D068E" w:rsidRDefault="003D068E" w:rsidP="003D068E">
      <w:r>
        <w:tab/>
      </w:r>
      <w:r>
        <w:tab/>
      </w:r>
      <w:r>
        <w:tab/>
      </w:r>
      <w:r>
        <w:tab/>
      </w:r>
    </w:p>
    <w:p w14:paraId="18DF35B9" w14:textId="0907F954" w:rsidR="003D068E" w:rsidRDefault="003D068E" w:rsidP="003D068E">
      <w:pPr>
        <w:tabs>
          <w:tab w:val="left" w:pos="4536"/>
        </w:tabs>
      </w:pPr>
      <w:r>
        <w:t>M. / Mme</w:t>
      </w:r>
      <w:r w:rsidR="00B00180">
        <w:tab/>
      </w:r>
    </w:p>
    <w:p w14:paraId="461CC1C4" w14:textId="77777777" w:rsidR="003D068E" w:rsidRDefault="003D068E" w:rsidP="003D068E">
      <w:r>
        <w:tab/>
      </w:r>
      <w:r>
        <w:tab/>
      </w:r>
      <w:r>
        <w:tab/>
      </w:r>
      <w:r>
        <w:tab/>
      </w:r>
    </w:p>
    <w:p w14:paraId="29BB7265" w14:textId="4486738C" w:rsidR="00D706CB" w:rsidRDefault="003D068E" w:rsidP="00B00180">
      <w:pPr>
        <w:tabs>
          <w:tab w:val="left" w:pos="4536"/>
        </w:tabs>
        <w:ind w:right="-1276"/>
      </w:pPr>
      <w:r>
        <w:t xml:space="preserve">En qualité de </w:t>
      </w:r>
    </w:p>
    <w:p w14:paraId="126752DD" w14:textId="406105B6" w:rsidR="00D706CB" w:rsidRDefault="00D706CB" w:rsidP="00B00180">
      <w:pPr>
        <w:tabs>
          <w:tab w:val="left" w:pos="4536"/>
        </w:tabs>
        <w:ind w:right="-1276"/>
      </w:pPr>
    </w:p>
    <w:p w14:paraId="3351022B" w14:textId="3CEB8BCB" w:rsidR="00D24528" w:rsidRDefault="00D24528" w:rsidP="00D706CB">
      <w:pPr>
        <w:tabs>
          <w:tab w:val="left" w:pos="5670"/>
        </w:tabs>
        <w:autoSpaceDE w:val="0"/>
        <w:autoSpaceDN w:val="0"/>
        <w:adjustRightInd w:val="0"/>
        <w:jc w:val="both"/>
        <w:rPr>
          <w:rFonts w:cs="Arial"/>
          <w:bCs/>
          <w:i/>
          <w:szCs w:val="24"/>
          <w:u w:val="single"/>
        </w:rPr>
      </w:pPr>
    </w:p>
    <w:p w14:paraId="5BB54744" w14:textId="13D6D25D" w:rsidR="00D706CB" w:rsidRPr="00601D59" w:rsidRDefault="00D706CB" w:rsidP="00D706CB">
      <w:pPr>
        <w:tabs>
          <w:tab w:val="left" w:pos="5670"/>
        </w:tabs>
        <w:autoSpaceDE w:val="0"/>
        <w:autoSpaceDN w:val="0"/>
        <w:adjustRightInd w:val="0"/>
        <w:jc w:val="both"/>
        <w:rPr>
          <w:rFonts w:cs="Arial"/>
          <w:bCs/>
          <w:szCs w:val="24"/>
          <w:u w:val="single"/>
        </w:rPr>
      </w:pPr>
      <w:r w:rsidRPr="00601D59">
        <w:rPr>
          <w:rFonts w:cs="Arial"/>
          <w:bCs/>
          <w:i/>
          <w:szCs w:val="24"/>
          <w:u w:val="single"/>
        </w:rPr>
        <w:t>Légende :</w:t>
      </w:r>
      <w:r w:rsidRPr="00601D59">
        <w:rPr>
          <w:rFonts w:cs="Arial"/>
          <w:bCs/>
          <w:szCs w:val="24"/>
          <w:u w:val="single"/>
        </w:rPr>
        <w:t xml:space="preserve"> </w:t>
      </w:r>
    </w:p>
    <w:p w14:paraId="547BE906" w14:textId="77777777" w:rsidR="00D706CB" w:rsidRPr="00601D59" w:rsidRDefault="00D706CB" w:rsidP="00D706CB">
      <w:pPr>
        <w:tabs>
          <w:tab w:val="left" w:pos="5670"/>
        </w:tabs>
        <w:autoSpaceDE w:val="0"/>
        <w:autoSpaceDN w:val="0"/>
        <w:adjustRightInd w:val="0"/>
        <w:jc w:val="both"/>
        <w:rPr>
          <w:rFonts w:cs="Arial"/>
          <w:bCs/>
          <w:sz w:val="14"/>
          <w:szCs w:val="14"/>
        </w:rPr>
      </w:pPr>
    </w:p>
    <w:tbl>
      <w:tblPr>
        <w:tblStyle w:val="Grilledutableau"/>
        <w:tblW w:w="0" w:type="auto"/>
        <w:tblLook w:val="04A0" w:firstRow="1" w:lastRow="0" w:firstColumn="1" w:lastColumn="0" w:noHBand="0" w:noVBand="1"/>
      </w:tblPr>
      <w:tblGrid>
        <w:gridCol w:w="767"/>
        <w:gridCol w:w="8305"/>
      </w:tblGrid>
      <w:tr w:rsidR="00D706CB" w:rsidRPr="00601D59" w14:paraId="1A7F7409" w14:textId="77777777" w:rsidTr="007829D6">
        <w:trPr>
          <w:trHeight w:val="95"/>
        </w:trPr>
        <w:tc>
          <w:tcPr>
            <w:tcW w:w="767" w:type="dxa"/>
            <w:tcBorders>
              <w:top w:val="nil"/>
              <w:left w:val="nil"/>
              <w:bottom w:val="nil"/>
              <w:right w:val="nil"/>
            </w:tcBorders>
            <w:shd w:val="clear" w:color="auto" w:fill="FF0000"/>
          </w:tcPr>
          <w:p w14:paraId="30A7658B" w14:textId="77777777" w:rsidR="00D706CB" w:rsidRPr="00601D59" w:rsidRDefault="00D706CB" w:rsidP="00B76340">
            <w:pPr>
              <w:tabs>
                <w:tab w:val="left" w:pos="709"/>
                <w:tab w:val="left" w:pos="5670"/>
              </w:tabs>
              <w:autoSpaceDE w:val="0"/>
              <w:autoSpaceDN w:val="0"/>
              <w:adjustRightInd w:val="0"/>
              <w:jc w:val="both"/>
              <w:rPr>
                <w:rFonts w:cs="Arial"/>
                <w:bCs/>
                <w:i/>
                <w:szCs w:val="24"/>
              </w:rPr>
            </w:pPr>
          </w:p>
        </w:tc>
        <w:tc>
          <w:tcPr>
            <w:tcW w:w="8305" w:type="dxa"/>
            <w:tcBorders>
              <w:top w:val="nil"/>
              <w:left w:val="nil"/>
              <w:bottom w:val="nil"/>
              <w:right w:val="nil"/>
            </w:tcBorders>
          </w:tcPr>
          <w:p w14:paraId="20EF6196" w14:textId="77777777" w:rsidR="00D706CB" w:rsidRPr="00601D59" w:rsidRDefault="00D706CB" w:rsidP="00B76340">
            <w:pPr>
              <w:tabs>
                <w:tab w:val="left" w:pos="709"/>
                <w:tab w:val="left" w:pos="5670"/>
              </w:tabs>
              <w:autoSpaceDE w:val="0"/>
              <w:autoSpaceDN w:val="0"/>
              <w:adjustRightInd w:val="0"/>
              <w:jc w:val="both"/>
              <w:rPr>
                <w:rFonts w:cs="Arial"/>
                <w:bCs/>
                <w:i/>
                <w:sz w:val="18"/>
                <w:szCs w:val="18"/>
              </w:rPr>
            </w:pPr>
            <w:r w:rsidRPr="00601D59">
              <w:rPr>
                <w:rFonts w:cs="Arial"/>
                <w:bCs/>
                <w:i/>
                <w:sz w:val="18"/>
                <w:szCs w:val="18"/>
              </w:rPr>
              <w:t>Point obligatoire (</w:t>
            </w:r>
            <w:r w:rsidRPr="00601D59">
              <w:rPr>
                <w:rFonts w:cs="Arial"/>
                <w:bCs/>
                <w:i/>
                <w:sz w:val="18"/>
                <w:szCs w:val="18"/>
                <w:u w:val="single"/>
              </w:rPr>
              <w:t>Rappel :</w:t>
            </w:r>
            <w:r w:rsidRPr="00601D59">
              <w:rPr>
                <w:rFonts w:cs="Arial"/>
                <w:bCs/>
                <w:i/>
                <w:sz w:val="18"/>
                <w:szCs w:val="18"/>
              </w:rPr>
              <w:t xml:space="preserve"> dans le cas où les renseignements ne sont pas fournis, le candidat se verra attribuer la note la plus faible, pour chaque point non renseigné).</w:t>
            </w:r>
          </w:p>
        </w:tc>
      </w:tr>
    </w:tbl>
    <w:p w14:paraId="095287F9" w14:textId="072EA702" w:rsidR="00D706CB" w:rsidRDefault="00D706CB" w:rsidP="00485335">
      <w:pPr>
        <w:tabs>
          <w:tab w:val="left" w:pos="4536"/>
        </w:tabs>
        <w:ind w:right="-1276"/>
      </w:pPr>
    </w:p>
    <w:sectPr w:rsidR="00D706CB" w:rsidSect="00D24528">
      <w:footerReference w:type="default" r:id="rId7"/>
      <w:headerReference w:type="first" r:id="rId8"/>
      <w:footerReference w:type="first" r:id="rId9"/>
      <w:pgSz w:w="11906" w:h="16838"/>
      <w:pgMar w:top="284" w:right="1417" w:bottom="851" w:left="1417" w:header="142" w:footer="4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ED504" w14:textId="77777777" w:rsidR="00544176" w:rsidRDefault="00544176" w:rsidP="00544176">
      <w:r>
        <w:separator/>
      </w:r>
    </w:p>
  </w:endnote>
  <w:endnote w:type="continuationSeparator" w:id="0">
    <w:p w14:paraId="41667FB9" w14:textId="77777777" w:rsidR="00544176" w:rsidRDefault="00544176" w:rsidP="00544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font>
  <w:font w:name="Arial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FF4FE" w14:textId="611B8FA9" w:rsidR="00544176" w:rsidRPr="00847F57" w:rsidRDefault="00847F57" w:rsidP="00847F57">
    <w:pPr>
      <w:pStyle w:val="Pieddepage"/>
    </w:pPr>
    <w:r w:rsidRPr="009A567B">
      <w:t>599/</w:t>
    </w:r>
    <w:r>
      <w:t>03/2025</w:t>
    </w:r>
    <w:r>
      <w:tab/>
      <w:t>AE</w:t>
    </w:r>
    <w:r w:rsidRPr="009A567B">
      <w:t>-Annexe2</w:t>
    </w:r>
    <w:r>
      <w:tab/>
    </w:r>
    <w:sdt>
      <w:sdtPr>
        <w:id w:val="-328751852"/>
        <w:docPartObj>
          <w:docPartGallery w:val="Page Numbers (Bottom of Page)"/>
          <w:docPartUnique/>
        </w:docPartObj>
      </w:sdtPr>
      <w:sdtEndPr/>
      <w:sdtContent>
        <w:sdt>
          <w:sdtPr>
            <w:id w:val="1402558520"/>
            <w:docPartObj>
              <w:docPartGallery w:val="Page Numbers (Top of Page)"/>
              <w:docPartUnique/>
            </w:docPartObj>
          </w:sdtPr>
          <w:sdtEndPr/>
          <w:sdtContent>
            <w:r>
              <w:t xml:space="preserve">Page </w:t>
            </w:r>
            <w:r>
              <w:rPr>
                <w:b/>
                <w:bCs/>
                <w:szCs w:val="24"/>
              </w:rPr>
              <w:fldChar w:fldCharType="begin"/>
            </w:r>
            <w:r>
              <w:rPr>
                <w:b/>
                <w:bCs/>
              </w:rPr>
              <w:instrText>PAGE</w:instrText>
            </w:r>
            <w:r>
              <w:rPr>
                <w:b/>
                <w:bCs/>
                <w:szCs w:val="24"/>
              </w:rPr>
              <w:fldChar w:fldCharType="separate"/>
            </w:r>
            <w:r w:rsidR="00C22499">
              <w:rPr>
                <w:b/>
                <w:bCs/>
                <w:noProof/>
              </w:rPr>
              <w:t>6</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C22499">
              <w:rPr>
                <w:b/>
                <w:bCs/>
                <w:noProof/>
              </w:rPr>
              <w:t>6</w:t>
            </w:r>
            <w:r>
              <w:rPr>
                <w:b/>
                <w:bCs/>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DBD0A" w14:textId="5E5F4986" w:rsidR="00544176" w:rsidRDefault="009A567B" w:rsidP="00544176">
    <w:pPr>
      <w:pStyle w:val="Pieddepage"/>
    </w:pPr>
    <w:r w:rsidRPr="009A567B">
      <w:t>599/</w:t>
    </w:r>
    <w:r w:rsidR="00847F57">
      <w:t>03/2025</w:t>
    </w:r>
    <w:r w:rsidR="00847F57">
      <w:tab/>
      <w:t>AE</w:t>
    </w:r>
    <w:r w:rsidRPr="009A567B">
      <w:t>-Annexe2</w:t>
    </w:r>
    <w:r w:rsidR="00544176">
      <w:tab/>
    </w:r>
    <w:sdt>
      <w:sdtPr>
        <w:id w:val="1251780059"/>
        <w:docPartObj>
          <w:docPartGallery w:val="Page Numbers (Bottom of Page)"/>
          <w:docPartUnique/>
        </w:docPartObj>
      </w:sdtPr>
      <w:sdtEndPr/>
      <w:sdtContent>
        <w:sdt>
          <w:sdtPr>
            <w:id w:val="860082579"/>
            <w:docPartObj>
              <w:docPartGallery w:val="Page Numbers (Top of Page)"/>
              <w:docPartUnique/>
            </w:docPartObj>
          </w:sdtPr>
          <w:sdtEndPr/>
          <w:sdtContent>
            <w:r w:rsidR="00544176">
              <w:t xml:space="preserve">Page </w:t>
            </w:r>
            <w:r w:rsidR="00544176">
              <w:rPr>
                <w:b/>
                <w:bCs/>
                <w:szCs w:val="24"/>
              </w:rPr>
              <w:fldChar w:fldCharType="begin"/>
            </w:r>
            <w:r w:rsidR="00544176">
              <w:rPr>
                <w:b/>
                <w:bCs/>
              </w:rPr>
              <w:instrText>PAGE</w:instrText>
            </w:r>
            <w:r w:rsidR="00544176">
              <w:rPr>
                <w:b/>
                <w:bCs/>
                <w:szCs w:val="24"/>
              </w:rPr>
              <w:fldChar w:fldCharType="separate"/>
            </w:r>
            <w:r w:rsidR="00C22499">
              <w:rPr>
                <w:b/>
                <w:bCs/>
                <w:noProof/>
              </w:rPr>
              <w:t>1</w:t>
            </w:r>
            <w:r w:rsidR="00544176">
              <w:rPr>
                <w:b/>
                <w:bCs/>
                <w:szCs w:val="24"/>
              </w:rPr>
              <w:fldChar w:fldCharType="end"/>
            </w:r>
            <w:r w:rsidR="00544176">
              <w:t xml:space="preserve"> sur </w:t>
            </w:r>
            <w:r w:rsidR="00544176">
              <w:rPr>
                <w:b/>
                <w:bCs/>
                <w:szCs w:val="24"/>
              </w:rPr>
              <w:fldChar w:fldCharType="begin"/>
            </w:r>
            <w:r w:rsidR="00544176">
              <w:rPr>
                <w:b/>
                <w:bCs/>
              </w:rPr>
              <w:instrText>NUMPAGES</w:instrText>
            </w:r>
            <w:r w:rsidR="00544176">
              <w:rPr>
                <w:b/>
                <w:bCs/>
                <w:szCs w:val="24"/>
              </w:rPr>
              <w:fldChar w:fldCharType="separate"/>
            </w:r>
            <w:r w:rsidR="00C22499">
              <w:rPr>
                <w:b/>
                <w:bCs/>
                <w:noProof/>
              </w:rPr>
              <w:t>6</w:t>
            </w:r>
            <w:r w:rsidR="00544176">
              <w:rPr>
                <w:b/>
                <w:bCs/>
                <w:szCs w:val="24"/>
              </w:rPr>
              <w:fldChar w:fldCharType="end"/>
            </w:r>
          </w:sdtContent>
        </w:sdt>
      </w:sdtContent>
    </w:sdt>
  </w:p>
  <w:p w14:paraId="61BA1B7F" w14:textId="77777777" w:rsidR="00544176" w:rsidRDefault="005441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1E523" w14:textId="77777777" w:rsidR="00544176" w:rsidRDefault="00544176" w:rsidP="00544176">
      <w:r>
        <w:separator/>
      </w:r>
    </w:p>
  </w:footnote>
  <w:footnote w:type="continuationSeparator" w:id="0">
    <w:p w14:paraId="4B0C3AE1" w14:textId="77777777" w:rsidR="00544176" w:rsidRDefault="00544176" w:rsidP="00544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BB2B3" w14:textId="77777777" w:rsidR="00544176" w:rsidRDefault="00544176">
    <w:pPr>
      <w:pStyle w:val="En-tte"/>
    </w:pPr>
    <w:r>
      <w:rPr>
        <w:noProof/>
      </w:rPr>
      <w:drawing>
        <wp:inline distT="0" distB="0" distL="0" distR="0" wp14:anchorId="140973B1" wp14:editId="49A7FFE1">
          <wp:extent cx="2524125" cy="762000"/>
          <wp:effectExtent l="0" t="0" r="952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E0612"/>
    <w:multiLevelType w:val="hybridMultilevel"/>
    <w:tmpl w:val="B0FAFC2A"/>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0AD25517"/>
    <w:multiLevelType w:val="hybridMultilevel"/>
    <w:tmpl w:val="117E77B8"/>
    <w:lvl w:ilvl="0" w:tplc="1CBA669E">
      <w:numFmt w:val="bullet"/>
      <w:lvlText w:val=""/>
      <w:lvlJc w:val="left"/>
      <w:pPr>
        <w:ind w:left="1004" w:hanging="360"/>
      </w:pPr>
      <w:rPr>
        <w:rFonts w:ascii="Wingdings" w:eastAsia="Times New Roman"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17583CC7"/>
    <w:multiLevelType w:val="hybridMultilevel"/>
    <w:tmpl w:val="B75A91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530C68"/>
    <w:multiLevelType w:val="hybridMultilevel"/>
    <w:tmpl w:val="6DEECF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645425"/>
    <w:multiLevelType w:val="hybridMultilevel"/>
    <w:tmpl w:val="60B21A52"/>
    <w:lvl w:ilvl="0" w:tplc="001EC370">
      <w:start w:val="1"/>
      <w:numFmt w:val="decimal"/>
      <w:lvlText w:val="%1."/>
      <w:lvlJc w:val="left"/>
      <w:pPr>
        <w:ind w:left="720" w:hanging="360"/>
      </w:pPr>
      <w:rPr>
        <w:rFonts w:hint="default"/>
        <w:b/>
        <w:i w:val="0"/>
        <w:sz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E22F9F"/>
    <w:multiLevelType w:val="hybridMultilevel"/>
    <w:tmpl w:val="A42E02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C07EF8"/>
    <w:multiLevelType w:val="hybridMultilevel"/>
    <w:tmpl w:val="60061BBC"/>
    <w:lvl w:ilvl="0" w:tplc="F1BEA0C2">
      <w:start w:val="1"/>
      <w:numFmt w:val="bullet"/>
      <w:lvlText w:val=""/>
      <w:lvlJc w:val="center"/>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1C7A20"/>
    <w:multiLevelType w:val="multilevel"/>
    <w:tmpl w:val="BB2280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F5D3D24"/>
    <w:multiLevelType w:val="hybridMultilevel"/>
    <w:tmpl w:val="86141854"/>
    <w:lvl w:ilvl="0" w:tplc="256ACD24">
      <w:start w:val="1"/>
      <w:numFmt w:val="decimal"/>
      <w:lvlText w:val="%1."/>
      <w:lvlJc w:val="left"/>
      <w:pPr>
        <w:ind w:left="720" w:hanging="360"/>
      </w:pPr>
      <w:rPr>
        <w:rFonts w:hint="default"/>
        <w:i w:val="0"/>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1612DA"/>
    <w:multiLevelType w:val="multilevel"/>
    <w:tmpl w:val="D788F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8338A7"/>
    <w:multiLevelType w:val="hybridMultilevel"/>
    <w:tmpl w:val="3346680C"/>
    <w:lvl w:ilvl="0" w:tplc="1CBA669E">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5047347"/>
    <w:multiLevelType w:val="hybridMultilevel"/>
    <w:tmpl w:val="53BE08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9A6CB4"/>
    <w:multiLevelType w:val="hybridMultilevel"/>
    <w:tmpl w:val="2F72831C"/>
    <w:lvl w:ilvl="0" w:tplc="75966F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236A99"/>
    <w:multiLevelType w:val="hybridMultilevel"/>
    <w:tmpl w:val="8B945010"/>
    <w:lvl w:ilvl="0" w:tplc="256ACD24">
      <w:start w:val="1"/>
      <w:numFmt w:val="decimal"/>
      <w:lvlText w:val="%1."/>
      <w:lvlJc w:val="left"/>
      <w:pPr>
        <w:ind w:left="720" w:hanging="360"/>
      </w:pPr>
      <w:rPr>
        <w:rFonts w:hint="default"/>
        <w:i w:val="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3A5266"/>
    <w:multiLevelType w:val="hybridMultilevel"/>
    <w:tmpl w:val="BC2201E6"/>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017794"/>
    <w:multiLevelType w:val="hybridMultilevel"/>
    <w:tmpl w:val="E830FC5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653F8"/>
    <w:multiLevelType w:val="multilevel"/>
    <w:tmpl w:val="8DA6BB46"/>
    <w:lvl w:ilvl="0">
      <w:start w:val="1"/>
      <w:numFmt w:val="decimal"/>
      <w:lvlText w:val="%1"/>
      <w:lvlJc w:val="left"/>
      <w:pPr>
        <w:ind w:left="360" w:hanging="360"/>
      </w:pPr>
      <w:rPr>
        <w:rFonts w:ascii="Garamond" w:hAnsi="Garamond" w:cs="Tahoma,Bold" w:hint="default"/>
        <w:b/>
        <w:sz w:val="24"/>
        <w:szCs w:val="24"/>
      </w:rPr>
    </w:lvl>
    <w:lvl w:ilvl="1">
      <w:start w:val="3"/>
      <w:numFmt w:val="decimal"/>
      <w:lvlText w:val="%1.%2"/>
      <w:lvlJc w:val="left"/>
      <w:pPr>
        <w:ind w:left="720" w:hanging="720"/>
      </w:pPr>
      <w:rPr>
        <w:rFonts w:ascii="Garamond" w:hAnsi="Garamond" w:cs="Tahoma,Bold" w:hint="default"/>
        <w:b w:val="0"/>
        <w:sz w:val="22"/>
        <w:szCs w:val="22"/>
      </w:rPr>
    </w:lvl>
    <w:lvl w:ilvl="2">
      <w:start w:val="1"/>
      <w:numFmt w:val="decimal"/>
      <w:lvlText w:val="%1.%2.%3"/>
      <w:lvlJc w:val="left"/>
      <w:pPr>
        <w:ind w:left="720" w:hanging="720"/>
      </w:pPr>
      <w:rPr>
        <w:rFonts w:ascii="Tahoma,Bold" w:hAnsi="Tahoma,Bold" w:cs="Tahoma,Bold" w:hint="default"/>
        <w:b/>
        <w:sz w:val="18"/>
      </w:rPr>
    </w:lvl>
    <w:lvl w:ilvl="3">
      <w:start w:val="1"/>
      <w:numFmt w:val="decimal"/>
      <w:lvlText w:val="%1.%2.%3.%4"/>
      <w:lvlJc w:val="left"/>
      <w:pPr>
        <w:ind w:left="1080" w:hanging="1080"/>
      </w:pPr>
      <w:rPr>
        <w:rFonts w:ascii="Tahoma,Bold" w:hAnsi="Tahoma,Bold" w:cs="Tahoma,Bold" w:hint="default"/>
        <w:b/>
        <w:sz w:val="18"/>
      </w:rPr>
    </w:lvl>
    <w:lvl w:ilvl="4">
      <w:start w:val="1"/>
      <w:numFmt w:val="decimal"/>
      <w:lvlText w:val="%1.%2.%3.%4.%5"/>
      <w:lvlJc w:val="left"/>
      <w:pPr>
        <w:ind w:left="1080" w:hanging="1080"/>
      </w:pPr>
      <w:rPr>
        <w:rFonts w:ascii="Tahoma,Bold" w:hAnsi="Tahoma,Bold" w:cs="Tahoma,Bold" w:hint="default"/>
        <w:b/>
        <w:sz w:val="18"/>
      </w:rPr>
    </w:lvl>
    <w:lvl w:ilvl="5">
      <w:start w:val="1"/>
      <w:numFmt w:val="decimal"/>
      <w:lvlText w:val="%1.%2.%3.%4.%5.%6"/>
      <w:lvlJc w:val="left"/>
      <w:pPr>
        <w:ind w:left="1440" w:hanging="1440"/>
      </w:pPr>
      <w:rPr>
        <w:rFonts w:ascii="Tahoma,Bold" w:hAnsi="Tahoma,Bold" w:cs="Tahoma,Bold" w:hint="default"/>
        <w:b/>
        <w:sz w:val="18"/>
      </w:rPr>
    </w:lvl>
    <w:lvl w:ilvl="6">
      <w:start w:val="1"/>
      <w:numFmt w:val="decimal"/>
      <w:lvlText w:val="%1.%2.%3.%4.%5.%6.%7"/>
      <w:lvlJc w:val="left"/>
      <w:pPr>
        <w:ind w:left="1440" w:hanging="1440"/>
      </w:pPr>
      <w:rPr>
        <w:rFonts w:ascii="Tahoma,Bold" w:hAnsi="Tahoma,Bold" w:cs="Tahoma,Bold" w:hint="default"/>
        <w:b/>
        <w:sz w:val="18"/>
      </w:rPr>
    </w:lvl>
    <w:lvl w:ilvl="7">
      <w:start w:val="1"/>
      <w:numFmt w:val="decimal"/>
      <w:lvlText w:val="%1.%2.%3.%4.%5.%6.%7.%8"/>
      <w:lvlJc w:val="left"/>
      <w:pPr>
        <w:ind w:left="1800" w:hanging="1800"/>
      </w:pPr>
      <w:rPr>
        <w:rFonts w:ascii="Tahoma,Bold" w:hAnsi="Tahoma,Bold" w:cs="Tahoma,Bold" w:hint="default"/>
        <w:b/>
        <w:sz w:val="18"/>
      </w:rPr>
    </w:lvl>
    <w:lvl w:ilvl="8">
      <w:start w:val="1"/>
      <w:numFmt w:val="decimal"/>
      <w:lvlText w:val="%1.%2.%3.%4.%5.%6.%7.%8.%9"/>
      <w:lvlJc w:val="left"/>
      <w:pPr>
        <w:ind w:left="2160" w:hanging="2160"/>
      </w:pPr>
      <w:rPr>
        <w:rFonts w:ascii="Tahoma,Bold" w:hAnsi="Tahoma,Bold" w:cs="Tahoma,Bold" w:hint="default"/>
        <w:b/>
        <w:sz w:val="18"/>
      </w:rPr>
    </w:lvl>
  </w:abstractNum>
  <w:abstractNum w:abstractNumId="17" w15:restartNumberingAfterBreak="0">
    <w:nsid w:val="4DEB79D2"/>
    <w:multiLevelType w:val="hybridMultilevel"/>
    <w:tmpl w:val="845E7132"/>
    <w:lvl w:ilvl="0" w:tplc="4C1AE64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3030DB"/>
    <w:multiLevelType w:val="multilevel"/>
    <w:tmpl w:val="EB166F5E"/>
    <w:lvl w:ilvl="0">
      <w:start w:val="1"/>
      <w:numFmt w:val="decimal"/>
      <w:lvlText w:val="%1"/>
      <w:lvlJc w:val="left"/>
      <w:pPr>
        <w:ind w:left="360" w:hanging="360"/>
      </w:pPr>
      <w:rPr>
        <w:rFonts w:cs="Times New Roman" w:hint="default"/>
        <w:color w:val="auto"/>
      </w:rPr>
    </w:lvl>
    <w:lvl w:ilvl="1">
      <w:start w:val="1"/>
      <w:numFmt w:val="decimal"/>
      <w:lvlText w:val="%1.%2"/>
      <w:lvlJc w:val="left"/>
      <w:pPr>
        <w:ind w:left="1080" w:hanging="720"/>
      </w:pPr>
      <w:rPr>
        <w:rFonts w:cs="Times New Roman" w:hint="default"/>
        <w:color w:val="auto"/>
      </w:rPr>
    </w:lvl>
    <w:lvl w:ilvl="2">
      <w:start w:val="1"/>
      <w:numFmt w:val="decimal"/>
      <w:lvlText w:val="%1.%2.%3"/>
      <w:lvlJc w:val="left"/>
      <w:pPr>
        <w:ind w:left="1440" w:hanging="720"/>
      </w:pPr>
      <w:rPr>
        <w:rFonts w:cs="Times New Roman" w:hint="default"/>
        <w:color w:val="auto"/>
      </w:rPr>
    </w:lvl>
    <w:lvl w:ilvl="3">
      <w:start w:val="1"/>
      <w:numFmt w:val="decimal"/>
      <w:lvlText w:val="%1.%2.%3.%4"/>
      <w:lvlJc w:val="left"/>
      <w:pPr>
        <w:ind w:left="2160" w:hanging="1080"/>
      </w:pPr>
      <w:rPr>
        <w:rFonts w:cs="Times New Roman" w:hint="default"/>
        <w:color w:val="auto"/>
      </w:rPr>
    </w:lvl>
    <w:lvl w:ilvl="4">
      <w:start w:val="1"/>
      <w:numFmt w:val="decimal"/>
      <w:lvlText w:val="%1.%2.%3.%4.%5"/>
      <w:lvlJc w:val="left"/>
      <w:pPr>
        <w:ind w:left="2520" w:hanging="1080"/>
      </w:pPr>
      <w:rPr>
        <w:rFonts w:cs="Times New Roman" w:hint="default"/>
        <w:color w:val="auto"/>
      </w:rPr>
    </w:lvl>
    <w:lvl w:ilvl="5">
      <w:start w:val="1"/>
      <w:numFmt w:val="decimal"/>
      <w:lvlText w:val="%1.%2.%3.%4.%5.%6"/>
      <w:lvlJc w:val="left"/>
      <w:pPr>
        <w:ind w:left="3240" w:hanging="1440"/>
      </w:pPr>
      <w:rPr>
        <w:rFonts w:cs="Times New Roman" w:hint="default"/>
        <w:color w:val="auto"/>
      </w:rPr>
    </w:lvl>
    <w:lvl w:ilvl="6">
      <w:start w:val="1"/>
      <w:numFmt w:val="decimal"/>
      <w:lvlText w:val="%1.%2.%3.%4.%5.%6.%7"/>
      <w:lvlJc w:val="left"/>
      <w:pPr>
        <w:ind w:left="3600" w:hanging="1440"/>
      </w:pPr>
      <w:rPr>
        <w:rFonts w:cs="Times New Roman" w:hint="default"/>
        <w:color w:val="auto"/>
      </w:rPr>
    </w:lvl>
    <w:lvl w:ilvl="7">
      <w:start w:val="1"/>
      <w:numFmt w:val="decimal"/>
      <w:lvlText w:val="%1.%2.%3.%4.%5.%6.%7.%8"/>
      <w:lvlJc w:val="left"/>
      <w:pPr>
        <w:ind w:left="4320" w:hanging="1800"/>
      </w:pPr>
      <w:rPr>
        <w:rFonts w:cs="Times New Roman" w:hint="default"/>
        <w:color w:val="auto"/>
      </w:rPr>
    </w:lvl>
    <w:lvl w:ilvl="8">
      <w:start w:val="1"/>
      <w:numFmt w:val="decimal"/>
      <w:lvlText w:val="%1.%2.%3.%4.%5.%6.%7.%8.%9"/>
      <w:lvlJc w:val="left"/>
      <w:pPr>
        <w:ind w:left="5040" w:hanging="2160"/>
      </w:pPr>
      <w:rPr>
        <w:rFonts w:cs="Times New Roman" w:hint="default"/>
        <w:color w:val="auto"/>
      </w:rPr>
    </w:lvl>
  </w:abstractNum>
  <w:abstractNum w:abstractNumId="19" w15:restartNumberingAfterBreak="0">
    <w:nsid w:val="535A5BCA"/>
    <w:multiLevelType w:val="hybridMultilevel"/>
    <w:tmpl w:val="19FE957E"/>
    <w:lvl w:ilvl="0" w:tplc="84D66A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E202E1"/>
    <w:multiLevelType w:val="hybridMultilevel"/>
    <w:tmpl w:val="30A8222C"/>
    <w:lvl w:ilvl="0" w:tplc="F1BEA0C2">
      <w:start w:val="1"/>
      <w:numFmt w:val="bullet"/>
      <w:lvlText w:val=""/>
      <w:lvlJc w:val="center"/>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5BB03A14"/>
    <w:multiLevelType w:val="hybridMultilevel"/>
    <w:tmpl w:val="8FAADE0A"/>
    <w:lvl w:ilvl="0" w:tplc="4C1AE640">
      <w:start w:val="1"/>
      <w:numFmt w:val="bullet"/>
      <w:lvlText w:val=""/>
      <w:lvlJc w:val="left"/>
      <w:pPr>
        <w:ind w:left="677" w:hanging="360"/>
      </w:pPr>
      <w:rPr>
        <w:rFonts w:ascii="Wingdings" w:hAnsi="Wingdings" w:hint="default"/>
      </w:rPr>
    </w:lvl>
    <w:lvl w:ilvl="1" w:tplc="040C0003" w:tentative="1">
      <w:start w:val="1"/>
      <w:numFmt w:val="bullet"/>
      <w:lvlText w:val="o"/>
      <w:lvlJc w:val="left"/>
      <w:pPr>
        <w:ind w:left="1397" w:hanging="360"/>
      </w:pPr>
      <w:rPr>
        <w:rFonts w:ascii="Courier New" w:hAnsi="Courier New" w:cs="Courier New" w:hint="default"/>
      </w:rPr>
    </w:lvl>
    <w:lvl w:ilvl="2" w:tplc="040C0005" w:tentative="1">
      <w:start w:val="1"/>
      <w:numFmt w:val="bullet"/>
      <w:lvlText w:val=""/>
      <w:lvlJc w:val="left"/>
      <w:pPr>
        <w:ind w:left="2117" w:hanging="360"/>
      </w:pPr>
      <w:rPr>
        <w:rFonts w:ascii="Wingdings" w:hAnsi="Wingdings" w:hint="default"/>
      </w:rPr>
    </w:lvl>
    <w:lvl w:ilvl="3" w:tplc="040C0001" w:tentative="1">
      <w:start w:val="1"/>
      <w:numFmt w:val="bullet"/>
      <w:lvlText w:val=""/>
      <w:lvlJc w:val="left"/>
      <w:pPr>
        <w:ind w:left="2837" w:hanging="360"/>
      </w:pPr>
      <w:rPr>
        <w:rFonts w:ascii="Symbol" w:hAnsi="Symbol" w:hint="default"/>
      </w:rPr>
    </w:lvl>
    <w:lvl w:ilvl="4" w:tplc="040C0003" w:tentative="1">
      <w:start w:val="1"/>
      <w:numFmt w:val="bullet"/>
      <w:lvlText w:val="o"/>
      <w:lvlJc w:val="left"/>
      <w:pPr>
        <w:ind w:left="3557" w:hanging="360"/>
      </w:pPr>
      <w:rPr>
        <w:rFonts w:ascii="Courier New" w:hAnsi="Courier New" w:cs="Courier New" w:hint="default"/>
      </w:rPr>
    </w:lvl>
    <w:lvl w:ilvl="5" w:tplc="040C0005" w:tentative="1">
      <w:start w:val="1"/>
      <w:numFmt w:val="bullet"/>
      <w:lvlText w:val=""/>
      <w:lvlJc w:val="left"/>
      <w:pPr>
        <w:ind w:left="4277" w:hanging="360"/>
      </w:pPr>
      <w:rPr>
        <w:rFonts w:ascii="Wingdings" w:hAnsi="Wingdings" w:hint="default"/>
      </w:rPr>
    </w:lvl>
    <w:lvl w:ilvl="6" w:tplc="040C0001" w:tentative="1">
      <w:start w:val="1"/>
      <w:numFmt w:val="bullet"/>
      <w:lvlText w:val=""/>
      <w:lvlJc w:val="left"/>
      <w:pPr>
        <w:ind w:left="4997" w:hanging="360"/>
      </w:pPr>
      <w:rPr>
        <w:rFonts w:ascii="Symbol" w:hAnsi="Symbol" w:hint="default"/>
      </w:rPr>
    </w:lvl>
    <w:lvl w:ilvl="7" w:tplc="040C0003" w:tentative="1">
      <w:start w:val="1"/>
      <w:numFmt w:val="bullet"/>
      <w:lvlText w:val="o"/>
      <w:lvlJc w:val="left"/>
      <w:pPr>
        <w:ind w:left="5717" w:hanging="360"/>
      </w:pPr>
      <w:rPr>
        <w:rFonts w:ascii="Courier New" w:hAnsi="Courier New" w:cs="Courier New" w:hint="default"/>
      </w:rPr>
    </w:lvl>
    <w:lvl w:ilvl="8" w:tplc="040C0005" w:tentative="1">
      <w:start w:val="1"/>
      <w:numFmt w:val="bullet"/>
      <w:lvlText w:val=""/>
      <w:lvlJc w:val="left"/>
      <w:pPr>
        <w:ind w:left="6437" w:hanging="360"/>
      </w:pPr>
      <w:rPr>
        <w:rFonts w:ascii="Wingdings" w:hAnsi="Wingdings" w:hint="default"/>
      </w:rPr>
    </w:lvl>
  </w:abstractNum>
  <w:abstractNum w:abstractNumId="22" w15:restartNumberingAfterBreak="0">
    <w:nsid w:val="626E59D8"/>
    <w:multiLevelType w:val="hybridMultilevel"/>
    <w:tmpl w:val="176286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2727A7"/>
    <w:multiLevelType w:val="hybridMultilevel"/>
    <w:tmpl w:val="CFC4279A"/>
    <w:lvl w:ilvl="0" w:tplc="1CBA669E">
      <w:numFmt w:val="bullet"/>
      <w:lvlText w:val=""/>
      <w:lvlJc w:val="left"/>
      <w:pPr>
        <w:tabs>
          <w:tab w:val="num" w:pos="720"/>
        </w:tabs>
        <w:ind w:left="720" w:hanging="360"/>
      </w:pPr>
      <w:rPr>
        <w:rFonts w:ascii="Wingdings" w:eastAsia="Times New Roman"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2E49CF"/>
    <w:multiLevelType w:val="hybridMultilevel"/>
    <w:tmpl w:val="7A2689C2"/>
    <w:lvl w:ilvl="0" w:tplc="F912CFBA">
      <w:numFmt w:val="bullet"/>
      <w:lvlText w:val=""/>
      <w:lvlJc w:val="left"/>
      <w:pPr>
        <w:ind w:left="720" w:hanging="360"/>
      </w:pPr>
      <w:rPr>
        <w:rFonts w:ascii="Wingdings" w:eastAsia="Times New Roman" w:hAnsi="Wingdings"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8E771A"/>
    <w:multiLevelType w:val="hybridMultilevel"/>
    <w:tmpl w:val="CCEC2BB0"/>
    <w:lvl w:ilvl="0" w:tplc="4C1AE64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6F1279"/>
    <w:multiLevelType w:val="hybridMultilevel"/>
    <w:tmpl w:val="F90E2F04"/>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BD77017"/>
    <w:multiLevelType w:val="hybridMultilevel"/>
    <w:tmpl w:val="04DAA046"/>
    <w:lvl w:ilvl="0" w:tplc="4C1AE64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4D24A7"/>
    <w:multiLevelType w:val="hybridMultilevel"/>
    <w:tmpl w:val="BC769D36"/>
    <w:lvl w:ilvl="0" w:tplc="010A1856">
      <w:numFmt w:val="bullet"/>
      <w:lvlText w:val=""/>
      <w:lvlJc w:val="left"/>
      <w:pPr>
        <w:ind w:left="1146"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79DB1C39"/>
    <w:multiLevelType w:val="multilevel"/>
    <w:tmpl w:val="30161220"/>
    <w:lvl w:ilvl="0">
      <w:start w:val="1"/>
      <w:numFmt w:val="decimal"/>
      <w:lvlText w:val="%1."/>
      <w:lvlJc w:val="left"/>
      <w:pPr>
        <w:ind w:left="930" w:hanging="570"/>
      </w:pPr>
      <w:rPr>
        <w:rFonts w:hint="default"/>
        <w:b/>
        <w:i w:val="0"/>
        <w:sz w:val="24"/>
        <w:szCs w:val="24"/>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29"/>
  </w:num>
  <w:num w:numId="3">
    <w:abstractNumId w:val="6"/>
  </w:num>
  <w:num w:numId="4">
    <w:abstractNumId w:val="23"/>
  </w:num>
  <w:num w:numId="5">
    <w:abstractNumId w:val="28"/>
  </w:num>
  <w:num w:numId="6">
    <w:abstractNumId w:val="26"/>
  </w:num>
  <w:num w:numId="7">
    <w:abstractNumId w:val="4"/>
  </w:num>
  <w:num w:numId="8">
    <w:abstractNumId w:val="7"/>
  </w:num>
  <w:num w:numId="9">
    <w:abstractNumId w:val="8"/>
  </w:num>
  <w:num w:numId="10">
    <w:abstractNumId w:val="20"/>
  </w:num>
  <w:num w:numId="11">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8"/>
  </w:num>
  <w:num w:numId="14">
    <w:abstractNumId w:val="0"/>
  </w:num>
  <w:num w:numId="15">
    <w:abstractNumId w:val="19"/>
  </w:num>
  <w:num w:numId="16">
    <w:abstractNumId w:val="25"/>
  </w:num>
  <w:num w:numId="17">
    <w:abstractNumId w:val="13"/>
  </w:num>
  <w:num w:numId="18">
    <w:abstractNumId w:val="27"/>
  </w:num>
  <w:num w:numId="19">
    <w:abstractNumId w:val="17"/>
  </w:num>
  <w:num w:numId="20">
    <w:abstractNumId w:val="21"/>
  </w:num>
  <w:num w:numId="21">
    <w:abstractNumId w:val="10"/>
  </w:num>
  <w:num w:numId="22">
    <w:abstractNumId w:val="1"/>
  </w:num>
  <w:num w:numId="23">
    <w:abstractNumId w:val="3"/>
  </w:num>
  <w:num w:numId="24">
    <w:abstractNumId w:val="24"/>
  </w:num>
  <w:num w:numId="25">
    <w:abstractNumId w:val="22"/>
  </w:num>
  <w:num w:numId="26">
    <w:abstractNumId w:val="12"/>
  </w:num>
  <w:num w:numId="27">
    <w:abstractNumId w:val="2"/>
  </w:num>
  <w:num w:numId="28">
    <w:abstractNumId w:val="15"/>
  </w:num>
  <w:num w:numId="29">
    <w:abstractNumId w:val="1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176"/>
    <w:rsid w:val="00032625"/>
    <w:rsid w:val="0004138B"/>
    <w:rsid w:val="00066F89"/>
    <w:rsid w:val="00080475"/>
    <w:rsid w:val="000B6DD9"/>
    <w:rsid w:val="000C7F34"/>
    <w:rsid w:val="000E0AA0"/>
    <w:rsid w:val="00124831"/>
    <w:rsid w:val="001303D9"/>
    <w:rsid w:val="001E1A9E"/>
    <w:rsid w:val="002B78EC"/>
    <w:rsid w:val="002C7A90"/>
    <w:rsid w:val="002F7C85"/>
    <w:rsid w:val="00327159"/>
    <w:rsid w:val="0034160E"/>
    <w:rsid w:val="0035674A"/>
    <w:rsid w:val="00362E8E"/>
    <w:rsid w:val="003A5268"/>
    <w:rsid w:val="003D068E"/>
    <w:rsid w:val="003D0810"/>
    <w:rsid w:val="00462C91"/>
    <w:rsid w:val="00485335"/>
    <w:rsid w:val="00486318"/>
    <w:rsid w:val="004B5A9C"/>
    <w:rsid w:val="00514D4F"/>
    <w:rsid w:val="00524C06"/>
    <w:rsid w:val="00544176"/>
    <w:rsid w:val="00560B58"/>
    <w:rsid w:val="00564F66"/>
    <w:rsid w:val="00565471"/>
    <w:rsid w:val="005F692D"/>
    <w:rsid w:val="00601D59"/>
    <w:rsid w:val="00610C5B"/>
    <w:rsid w:val="00627592"/>
    <w:rsid w:val="0063214D"/>
    <w:rsid w:val="00646043"/>
    <w:rsid w:val="0065560B"/>
    <w:rsid w:val="006922FC"/>
    <w:rsid w:val="006A08CC"/>
    <w:rsid w:val="006C4A5C"/>
    <w:rsid w:val="006E70B0"/>
    <w:rsid w:val="007240F5"/>
    <w:rsid w:val="0073793F"/>
    <w:rsid w:val="007829D6"/>
    <w:rsid w:val="00810BE7"/>
    <w:rsid w:val="008219C6"/>
    <w:rsid w:val="00825D33"/>
    <w:rsid w:val="008377C8"/>
    <w:rsid w:val="00847F57"/>
    <w:rsid w:val="008831E7"/>
    <w:rsid w:val="00914E6B"/>
    <w:rsid w:val="00930012"/>
    <w:rsid w:val="00940707"/>
    <w:rsid w:val="009A18A3"/>
    <w:rsid w:val="009A567B"/>
    <w:rsid w:val="009B0D60"/>
    <w:rsid w:val="009B43B8"/>
    <w:rsid w:val="009F1AAD"/>
    <w:rsid w:val="00A405F6"/>
    <w:rsid w:val="00A62536"/>
    <w:rsid w:val="00A62F88"/>
    <w:rsid w:val="00A66CFA"/>
    <w:rsid w:val="00A66F10"/>
    <w:rsid w:val="00B00180"/>
    <w:rsid w:val="00B11584"/>
    <w:rsid w:val="00B23B82"/>
    <w:rsid w:val="00B372EF"/>
    <w:rsid w:val="00B63C3C"/>
    <w:rsid w:val="00B775AA"/>
    <w:rsid w:val="00BF5B10"/>
    <w:rsid w:val="00C22499"/>
    <w:rsid w:val="00C33AFC"/>
    <w:rsid w:val="00C50907"/>
    <w:rsid w:val="00C65606"/>
    <w:rsid w:val="00CA2C96"/>
    <w:rsid w:val="00CC3D4A"/>
    <w:rsid w:val="00CD7BC1"/>
    <w:rsid w:val="00CF553F"/>
    <w:rsid w:val="00D24528"/>
    <w:rsid w:val="00D6003C"/>
    <w:rsid w:val="00D61D7D"/>
    <w:rsid w:val="00D63068"/>
    <w:rsid w:val="00D706CB"/>
    <w:rsid w:val="00D749BB"/>
    <w:rsid w:val="00DA1DCD"/>
    <w:rsid w:val="00DA4C31"/>
    <w:rsid w:val="00DC2729"/>
    <w:rsid w:val="00DE4CEF"/>
    <w:rsid w:val="00E275CF"/>
    <w:rsid w:val="00E440D1"/>
    <w:rsid w:val="00E460B9"/>
    <w:rsid w:val="00EB02FB"/>
    <w:rsid w:val="00EF4D9C"/>
    <w:rsid w:val="00F473E3"/>
    <w:rsid w:val="00F747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E62608"/>
  <w15:docId w15:val="{5DDAD3AC-F070-41D8-9D39-C865CC6EE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499"/>
    <w:pPr>
      <w:spacing w:after="0" w:line="240" w:lineRule="auto"/>
    </w:pPr>
    <w:rPr>
      <w:rFonts w:ascii="Arial" w:eastAsia="Times New Roman" w:hAnsi="Arial" w:cs="Times New Roman"/>
      <w:szCs w:val="20"/>
      <w:lang w:eastAsia="fr-FR"/>
    </w:rPr>
  </w:style>
  <w:style w:type="paragraph" w:styleId="Titre1">
    <w:name w:val="heading 1"/>
    <w:basedOn w:val="Normal"/>
    <w:next w:val="Normal"/>
    <w:link w:val="Titre1Car"/>
    <w:uiPriority w:val="9"/>
    <w:qFormat/>
    <w:rsid w:val="00D706CB"/>
    <w:pPr>
      <w:keepNext/>
      <w:keepLines/>
      <w:shd w:val="clear" w:color="auto" w:fill="FF0000"/>
      <w:outlineLvl w:val="0"/>
    </w:pPr>
    <w:rPr>
      <w:rFonts w:eastAsiaTheme="majorEastAsia" w:cstheme="majorBidi"/>
      <w:b/>
      <w:bCs/>
      <w:smallCaps/>
      <w:sz w:val="28"/>
      <w:szCs w:val="28"/>
      <w:u w:val="single"/>
    </w:rPr>
  </w:style>
  <w:style w:type="paragraph" w:styleId="Titre6">
    <w:name w:val="heading 6"/>
    <w:basedOn w:val="Normal"/>
    <w:next w:val="Normal"/>
    <w:link w:val="Titre6Car"/>
    <w:autoRedefine/>
    <w:uiPriority w:val="9"/>
    <w:unhideWhenUsed/>
    <w:rsid w:val="0004138B"/>
    <w:pPr>
      <w:overflowPunct w:val="0"/>
      <w:autoSpaceDE w:val="0"/>
      <w:autoSpaceDN w:val="0"/>
      <w:adjustRightInd w:val="0"/>
      <w:spacing w:before="240" w:after="60"/>
      <w:textAlignment w:val="baseline"/>
      <w:outlineLvl w:val="5"/>
    </w:pPr>
    <w:rPr>
      <w:rFonts w:ascii="Calibri" w:hAnsi="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link w:val="Titre6"/>
    <w:uiPriority w:val="9"/>
    <w:rsid w:val="0004138B"/>
    <w:rPr>
      <w:rFonts w:ascii="Calibri" w:hAnsi="Calibri"/>
      <w:b/>
      <w:bCs/>
    </w:rPr>
  </w:style>
  <w:style w:type="table" w:styleId="Grilledutableau">
    <w:name w:val="Table Grid"/>
    <w:basedOn w:val="TableauNormal"/>
    <w:rsid w:val="0054417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44176"/>
    <w:pPr>
      <w:ind w:left="720"/>
      <w:contextualSpacing/>
    </w:pPr>
  </w:style>
  <w:style w:type="paragraph" w:styleId="En-tte">
    <w:name w:val="header"/>
    <w:basedOn w:val="Normal"/>
    <w:link w:val="En-tteCar"/>
    <w:uiPriority w:val="99"/>
    <w:unhideWhenUsed/>
    <w:rsid w:val="00544176"/>
    <w:pPr>
      <w:tabs>
        <w:tab w:val="center" w:pos="4536"/>
        <w:tab w:val="right" w:pos="9072"/>
      </w:tabs>
    </w:pPr>
  </w:style>
  <w:style w:type="character" w:customStyle="1" w:styleId="En-tteCar">
    <w:name w:val="En-tête Car"/>
    <w:basedOn w:val="Policepardfaut"/>
    <w:link w:val="En-tte"/>
    <w:uiPriority w:val="99"/>
    <w:rsid w:val="00544176"/>
    <w:rPr>
      <w:rFonts w:ascii="Garamond" w:eastAsia="Times New Roman" w:hAnsi="Garamond" w:cs="Times New Roman"/>
      <w:sz w:val="24"/>
      <w:szCs w:val="20"/>
      <w:lang w:eastAsia="fr-FR"/>
    </w:rPr>
  </w:style>
  <w:style w:type="paragraph" w:styleId="Pieddepage">
    <w:name w:val="footer"/>
    <w:basedOn w:val="Normal"/>
    <w:link w:val="PieddepageCar"/>
    <w:uiPriority w:val="99"/>
    <w:unhideWhenUsed/>
    <w:rsid w:val="00544176"/>
    <w:pPr>
      <w:tabs>
        <w:tab w:val="center" w:pos="4536"/>
        <w:tab w:val="right" w:pos="9072"/>
      </w:tabs>
    </w:pPr>
  </w:style>
  <w:style w:type="character" w:customStyle="1" w:styleId="PieddepageCar">
    <w:name w:val="Pied de page Car"/>
    <w:basedOn w:val="Policepardfaut"/>
    <w:link w:val="Pieddepage"/>
    <w:uiPriority w:val="99"/>
    <w:rsid w:val="00544176"/>
    <w:rPr>
      <w:rFonts w:ascii="Garamond" w:eastAsia="Times New Roman" w:hAnsi="Garamond" w:cs="Times New Roman"/>
      <w:sz w:val="24"/>
      <w:szCs w:val="20"/>
      <w:lang w:eastAsia="fr-FR"/>
    </w:rPr>
  </w:style>
  <w:style w:type="paragraph" w:styleId="Textedebulles">
    <w:name w:val="Balloon Text"/>
    <w:basedOn w:val="Normal"/>
    <w:link w:val="TextedebullesCar"/>
    <w:uiPriority w:val="99"/>
    <w:semiHidden/>
    <w:unhideWhenUsed/>
    <w:rsid w:val="00544176"/>
    <w:rPr>
      <w:rFonts w:ascii="Tahoma" w:hAnsi="Tahoma" w:cs="Tahoma"/>
      <w:sz w:val="16"/>
      <w:szCs w:val="16"/>
    </w:rPr>
  </w:style>
  <w:style w:type="character" w:customStyle="1" w:styleId="TextedebullesCar">
    <w:name w:val="Texte de bulles Car"/>
    <w:basedOn w:val="Policepardfaut"/>
    <w:link w:val="Textedebulles"/>
    <w:uiPriority w:val="99"/>
    <w:semiHidden/>
    <w:rsid w:val="00544176"/>
    <w:rPr>
      <w:rFonts w:ascii="Tahoma" w:eastAsia="Times New Roman" w:hAnsi="Tahoma" w:cs="Tahoma"/>
      <w:sz w:val="16"/>
      <w:szCs w:val="16"/>
      <w:lang w:eastAsia="fr-FR"/>
    </w:rPr>
  </w:style>
  <w:style w:type="table" w:customStyle="1" w:styleId="Grilledutableau1">
    <w:name w:val="Grille du tableau1"/>
    <w:basedOn w:val="TableauNormal"/>
    <w:next w:val="Grilledutableau"/>
    <w:rsid w:val="00BF5B1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706CB"/>
    <w:rPr>
      <w:rFonts w:ascii="Garamond" w:eastAsiaTheme="majorEastAsia" w:hAnsi="Garamond" w:cstheme="majorBidi"/>
      <w:b/>
      <w:bCs/>
      <w:smallCaps/>
      <w:sz w:val="28"/>
      <w:szCs w:val="28"/>
      <w:u w:val="single"/>
      <w:shd w:val="clear" w:color="auto" w:fill="FF0000"/>
      <w:lang w:eastAsia="fr-FR"/>
    </w:rPr>
  </w:style>
  <w:style w:type="character" w:styleId="Marquedecommentaire">
    <w:name w:val="annotation reference"/>
    <w:basedOn w:val="Policepardfaut"/>
    <w:uiPriority w:val="99"/>
    <w:semiHidden/>
    <w:unhideWhenUsed/>
    <w:rsid w:val="002F7C85"/>
    <w:rPr>
      <w:sz w:val="16"/>
      <w:szCs w:val="16"/>
    </w:rPr>
  </w:style>
  <w:style w:type="paragraph" w:styleId="Commentaire">
    <w:name w:val="annotation text"/>
    <w:basedOn w:val="Normal"/>
    <w:link w:val="CommentaireCar"/>
    <w:uiPriority w:val="99"/>
    <w:unhideWhenUsed/>
    <w:rsid w:val="002F7C85"/>
    <w:rPr>
      <w:sz w:val="20"/>
    </w:rPr>
  </w:style>
  <w:style w:type="character" w:customStyle="1" w:styleId="CommentaireCar">
    <w:name w:val="Commentaire Car"/>
    <w:basedOn w:val="Policepardfaut"/>
    <w:link w:val="Commentaire"/>
    <w:uiPriority w:val="99"/>
    <w:rsid w:val="002F7C85"/>
    <w:rPr>
      <w:rFonts w:ascii="Garamond" w:eastAsia="Times New Roman" w:hAnsi="Garamond"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F7C85"/>
    <w:rPr>
      <w:b/>
      <w:bCs/>
    </w:rPr>
  </w:style>
  <w:style w:type="character" w:customStyle="1" w:styleId="ObjetducommentaireCar">
    <w:name w:val="Objet du commentaire Car"/>
    <w:basedOn w:val="CommentaireCar"/>
    <w:link w:val="Objetducommentaire"/>
    <w:uiPriority w:val="99"/>
    <w:semiHidden/>
    <w:rsid w:val="002F7C85"/>
    <w:rPr>
      <w:rFonts w:ascii="Garamond" w:eastAsia="Times New Roman" w:hAnsi="Garamond" w:cs="Times New Roman"/>
      <w:b/>
      <w:bCs/>
      <w:sz w:val="20"/>
      <w:szCs w:val="20"/>
      <w:lang w:eastAsia="fr-FR"/>
    </w:rPr>
  </w:style>
  <w:style w:type="paragraph" w:styleId="TM8">
    <w:name w:val="toc 8"/>
    <w:basedOn w:val="Normal"/>
    <w:next w:val="Normal"/>
    <w:autoRedefine/>
    <w:uiPriority w:val="39"/>
    <w:semiHidden/>
    <w:unhideWhenUsed/>
    <w:rsid w:val="00847F57"/>
    <w:pPr>
      <w:spacing w:after="100"/>
      <w:ind w:left="1680"/>
    </w:pPr>
  </w:style>
  <w:style w:type="paragraph" w:styleId="Retraitcorpsdetexte2">
    <w:name w:val="Body Text Indent 2"/>
    <w:basedOn w:val="Normal"/>
    <w:link w:val="Retraitcorpsdetexte2Car"/>
    <w:uiPriority w:val="99"/>
    <w:semiHidden/>
    <w:unhideWhenUsed/>
    <w:rsid w:val="0065560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5560B"/>
    <w:rPr>
      <w:rFonts w:ascii="Garamond" w:eastAsia="Times New Roman" w:hAnsi="Garamond"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6</Pages>
  <Words>1266</Words>
  <Characters>6963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RENAUX FABIEN (CPAM HAINAUT)</dc:creator>
  <cp:lastModifiedBy>RENAUX FABIEN (CPAM HAINAUT)</cp:lastModifiedBy>
  <cp:revision>16</cp:revision>
  <cp:lastPrinted>2023-07-27T14:09:00Z</cp:lastPrinted>
  <dcterms:created xsi:type="dcterms:W3CDTF">2024-02-12T10:33:00Z</dcterms:created>
  <dcterms:modified xsi:type="dcterms:W3CDTF">2025-03-10T10:31:00Z</dcterms:modified>
</cp:coreProperties>
</file>