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5B5DE7">
        <w:rPr>
          <w:rFonts w:ascii="Times New Roman" w:hAnsi="Times New Roman"/>
          <w:b/>
          <w:sz w:val="36"/>
          <w:szCs w:val="36"/>
        </w:rPr>
        <w:t>9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196461">
        <w:rPr>
          <w:rFonts w:ascii="Times New Roman" w:hAnsi="Times New Roman"/>
          <w:b/>
          <w:sz w:val="36"/>
          <w:szCs w:val="36"/>
        </w:rPr>
        <w:t xml:space="preserve"> </w:t>
      </w:r>
      <w:r w:rsidR="005B5DE7">
        <w:rPr>
          <w:rFonts w:ascii="Times New Roman" w:hAnsi="Times New Roman"/>
          <w:b/>
          <w:sz w:val="36"/>
          <w:szCs w:val="36"/>
        </w:rPr>
        <w:t>Condiments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196461">
        <w:rPr>
          <w:rFonts w:ascii="Times New Roman" w:hAnsi="Times New Roman"/>
          <w:sz w:val="22"/>
          <w:szCs w:val="22"/>
        </w:rPr>
        <w:t xml:space="preserve"> </w:t>
      </w:r>
      <w:r w:rsidR="005B5DE7">
        <w:rPr>
          <w:rFonts w:ascii="Times New Roman" w:hAnsi="Times New Roman"/>
          <w:sz w:val="22"/>
          <w:szCs w:val="22"/>
        </w:rPr>
        <w:t xml:space="preserve">condiments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6675F3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6675F3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6675F3">
        <w:rPr>
          <w:rFonts w:ascii="Times New Roman" w:hAnsi="Times New Roman"/>
          <w:sz w:val="22"/>
          <w:szCs w:val="22"/>
        </w:rPr>
        <w:t>fs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196461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6675F3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196461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5B5DE7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Condiments</w:t>
            </w:r>
          </w:p>
        </w:tc>
        <w:tc>
          <w:tcPr>
            <w:tcW w:w="2711" w:type="pct"/>
            <w:vAlign w:val="center"/>
          </w:tcPr>
          <w:p w:rsidR="0042443B" w:rsidRPr="00912BFE" w:rsidRDefault="00A73273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4 560</w:t>
            </w:r>
            <w:bookmarkStart w:id="11" w:name="_GoBack"/>
            <w:bookmarkEnd w:id="11"/>
            <w:r w:rsidR="0019646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055FCF" w:rsidRDefault="00055FCF" w:rsidP="00055FCF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055FCF" w:rsidRDefault="00055FCF" w:rsidP="00055FCF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055FCF" w:rsidRDefault="00055FCF" w:rsidP="00055FCF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055FCF" w:rsidRDefault="00055FCF" w:rsidP="00055FCF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5B5DE7">
      <w:rPr>
        <w:rFonts w:ascii="Times New Roman" w:hAnsi="Times New Roman" w:cs="Times New Roman"/>
        <w:sz w:val="16"/>
      </w:rPr>
      <w:t>9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09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5FCF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6461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B5DE7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675F3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273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white">
      <v:fill color="white"/>
    </o:shapedefaults>
    <o:shapelayout v:ext="edit">
      <o:idmap v:ext="edit" data="1"/>
    </o:shapelayout>
  </w:shapeDefaults>
  <w:decimalSymbol w:val=","/>
  <w:listSeparator w:val=";"/>
  <w14:docId w14:val="6D720577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8D304-A268-4932-AB45-D0BFD7BD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787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34</cp:revision>
  <cp:lastPrinted>2018-09-27T14:00:00Z</cp:lastPrinted>
  <dcterms:created xsi:type="dcterms:W3CDTF">2024-04-26T12:07:00Z</dcterms:created>
  <dcterms:modified xsi:type="dcterms:W3CDTF">2025-04-16T08:24:00Z</dcterms:modified>
</cp:coreProperties>
</file>