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bookmarkStart w:id="0" w:name="_GoBack"/>
      <w:bookmarkEnd w:id="0"/>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77777777" w:rsidR="007F1763" w:rsidRPr="00D15F32" w:rsidRDefault="007F1763" w:rsidP="007F1763">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147" w:type="dxa"/>
        <w:tblInd w:w="-5"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78"/>
        <w:gridCol w:w="6169"/>
      </w:tblGrid>
      <w:tr w:rsidR="00EC3375" w14:paraId="78E5B9B4" w14:textId="77777777" w:rsidTr="002F2457">
        <w:trPr>
          <w:trHeight w:val="652"/>
        </w:trPr>
        <w:tc>
          <w:tcPr>
            <w:tcW w:w="2978"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2D8C7144" w:rsidR="00EC3375" w:rsidRPr="00A14686" w:rsidRDefault="001A221E" w:rsidP="007E4F81">
            <w:pPr>
              <w:spacing w:before="60"/>
              <w:jc w:val="center"/>
              <w:outlineLvl w:val="0"/>
              <w:rPr>
                <w:rFonts w:ascii="Calibri" w:hAnsi="Calibri"/>
                <w:sz w:val="22"/>
                <w:szCs w:val="22"/>
              </w:rPr>
            </w:pPr>
            <w:r>
              <w:rPr>
                <w:rFonts w:ascii="Calibri" w:hAnsi="Calibri"/>
                <w:sz w:val="22"/>
                <w:szCs w:val="22"/>
              </w:rPr>
              <w:t xml:space="preserve">Expertise technique </w:t>
            </w:r>
            <w:r w:rsidR="002F2457">
              <w:rPr>
                <w:rFonts w:ascii="Calibri" w:hAnsi="Calibri"/>
                <w:sz w:val="22"/>
                <w:szCs w:val="22"/>
              </w:rPr>
              <w:t>pour la composante 5 du</w:t>
            </w:r>
            <w:r>
              <w:rPr>
                <w:rFonts w:ascii="Calibri" w:hAnsi="Calibri"/>
                <w:sz w:val="22"/>
                <w:szCs w:val="22"/>
              </w:rPr>
              <w:t xml:space="preserve"> projet européen </w:t>
            </w:r>
            <w:r w:rsidR="007E4F81">
              <w:rPr>
                <w:rFonts w:ascii="Calibri" w:hAnsi="Calibri"/>
                <w:sz w:val="22"/>
                <w:szCs w:val="22"/>
              </w:rPr>
              <w:t>« </w:t>
            </w:r>
            <w:r w:rsidR="002F2457" w:rsidRPr="002F2457">
              <w:rPr>
                <w:rFonts w:ascii="Calibri" w:hAnsi="Calibri"/>
                <w:i/>
                <w:sz w:val="22"/>
                <w:szCs w:val="22"/>
              </w:rPr>
              <w:t>Strengthening nuclear safety regulatory capacity in Africa</w:t>
            </w:r>
            <w:r w:rsidR="007E4F81">
              <w:rPr>
                <w:rFonts w:ascii="Calibri" w:hAnsi="Calibri"/>
                <w:i/>
                <w:sz w:val="22"/>
                <w:szCs w:val="22"/>
              </w:rPr>
              <w:t> »</w:t>
            </w:r>
          </w:p>
        </w:tc>
      </w:tr>
      <w:tr w:rsidR="00EC3375" w14:paraId="44A8582A" w14:textId="77777777" w:rsidTr="002F2457">
        <w:trPr>
          <w:trHeight w:val="315"/>
        </w:trPr>
        <w:tc>
          <w:tcPr>
            <w:tcW w:w="2978"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36C386EA" w:rsidR="00EC3375" w:rsidRPr="00A14686" w:rsidRDefault="008F669D" w:rsidP="00974795">
            <w:pPr>
              <w:spacing w:before="60"/>
              <w:jc w:val="center"/>
              <w:outlineLvl w:val="0"/>
              <w:rPr>
                <w:rFonts w:ascii="Calibri" w:hAnsi="Calibri"/>
                <w:sz w:val="22"/>
                <w:szCs w:val="22"/>
              </w:rPr>
            </w:pPr>
            <w:r>
              <w:rPr>
                <w:rFonts w:ascii="Calibri" w:hAnsi="Calibri"/>
                <w:sz w:val="22"/>
                <w:szCs w:val="22"/>
              </w:rPr>
              <w:t>Autorités régulatrices du nucléaire</w:t>
            </w:r>
            <w:r w:rsidR="00974795">
              <w:rPr>
                <w:rFonts w:ascii="Calibri" w:hAnsi="Calibri"/>
                <w:sz w:val="22"/>
                <w:szCs w:val="22"/>
              </w:rPr>
              <w:t xml:space="preserve"> des pays</w:t>
            </w:r>
          </w:p>
        </w:tc>
      </w:tr>
      <w:tr w:rsidR="00EC3375" w14:paraId="532DFD76" w14:textId="77777777" w:rsidTr="002F2457">
        <w:trPr>
          <w:trHeight w:val="330"/>
        </w:trPr>
        <w:tc>
          <w:tcPr>
            <w:tcW w:w="2978"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684443A3" w:rsidR="00EC3375" w:rsidRPr="00F7782D" w:rsidRDefault="008F669D" w:rsidP="008F669D">
            <w:pPr>
              <w:spacing w:before="60"/>
              <w:jc w:val="center"/>
              <w:outlineLvl w:val="0"/>
            </w:pPr>
            <w:r w:rsidRPr="008F669D">
              <w:rPr>
                <w:rFonts w:ascii="Calibri" w:hAnsi="Calibri"/>
                <w:sz w:val="22"/>
                <w:szCs w:val="22"/>
              </w:rPr>
              <w:t>Afrique du Sud, Egypte, Ghana, Kenya, Maroc et Nigeria</w:t>
            </w:r>
          </w:p>
        </w:tc>
      </w:tr>
      <w:tr w:rsidR="000972A8" w14:paraId="5FD02A78" w14:textId="77777777" w:rsidTr="002F2457">
        <w:trPr>
          <w:trHeight w:val="330"/>
        </w:trPr>
        <w:tc>
          <w:tcPr>
            <w:tcW w:w="2978" w:type="dxa"/>
            <w:tcBorders>
              <w:top w:val="dashSmallGap" w:sz="4" w:space="0" w:color="auto"/>
              <w:bottom w:val="dashSmallGap" w:sz="4" w:space="0" w:color="auto"/>
              <w:right w:val="single" w:sz="2" w:space="0" w:color="000000"/>
            </w:tcBorders>
            <w:shd w:val="clear" w:color="auto" w:fill="E6E6E6"/>
          </w:tcPr>
          <w:p w14:paraId="247930CE" w14:textId="77777777" w:rsidR="000972A8" w:rsidRDefault="000972A8" w:rsidP="001E5EB8">
            <w:pPr>
              <w:spacing w:before="60"/>
              <w:outlineLvl w:val="0"/>
              <w:rPr>
                <w:rFonts w:ascii="Calibri" w:hAnsi="Calibri"/>
                <w:sz w:val="22"/>
                <w:szCs w:val="22"/>
              </w:rPr>
            </w:pPr>
            <w:r>
              <w:rPr>
                <w:rFonts w:ascii="Calibri" w:hAnsi="Calibri"/>
                <w:sz w:val="22"/>
                <w:szCs w:val="22"/>
              </w:rPr>
              <w:t>Durée totale des jours prévus</w:t>
            </w:r>
          </w:p>
        </w:tc>
        <w:tc>
          <w:tcPr>
            <w:tcW w:w="6169" w:type="dxa"/>
            <w:tcBorders>
              <w:top w:val="dashSmallGap" w:sz="4" w:space="0" w:color="auto"/>
              <w:left w:val="single" w:sz="2" w:space="0" w:color="000000"/>
              <w:bottom w:val="dashSmallGap" w:sz="4" w:space="0" w:color="auto"/>
            </w:tcBorders>
          </w:tcPr>
          <w:p w14:paraId="585213D8" w14:textId="46225723" w:rsidR="000972A8" w:rsidRDefault="00D228BA" w:rsidP="008F669D">
            <w:pPr>
              <w:spacing w:before="60"/>
              <w:jc w:val="center"/>
              <w:outlineLvl w:val="0"/>
              <w:rPr>
                <w:rFonts w:ascii="Calibri" w:hAnsi="Calibri"/>
                <w:sz w:val="22"/>
                <w:szCs w:val="22"/>
              </w:rPr>
            </w:pPr>
            <w:r>
              <w:rPr>
                <w:rFonts w:ascii="Calibri" w:hAnsi="Calibri"/>
                <w:sz w:val="22"/>
                <w:szCs w:val="22"/>
              </w:rPr>
              <w:t>266</w:t>
            </w:r>
          </w:p>
        </w:tc>
      </w:tr>
    </w:tbl>
    <w:p w14:paraId="5639991B" w14:textId="77777777" w:rsidR="00671483" w:rsidRDefault="00671483" w:rsidP="00CE2850">
      <w:pPr>
        <w:spacing w:before="60"/>
        <w:jc w:val="both"/>
        <w:outlineLvl w:val="0"/>
        <w:rPr>
          <w:rFonts w:ascii="Calibri" w:hAnsi="Calibri"/>
          <w:sz w:val="22"/>
          <w:szCs w:val="22"/>
        </w:rPr>
      </w:pPr>
    </w:p>
    <w:p w14:paraId="7AB3782C" w14:textId="0A174CD8" w:rsidR="001D27F6" w:rsidRPr="00D15F32" w:rsidRDefault="000942EE" w:rsidP="00161C5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1D27F6">
      <w:pPr>
        <w:rPr>
          <w:rFonts w:ascii="Calibri" w:hAnsi="Calibri"/>
          <w:sz w:val="22"/>
          <w:szCs w:val="22"/>
        </w:rPr>
      </w:pPr>
    </w:p>
    <w:p w14:paraId="08D75437" w14:textId="583C7A0E" w:rsidR="009819EE" w:rsidRDefault="00173129" w:rsidP="009819EE">
      <w:pPr>
        <w:jc w:val="both"/>
        <w:rPr>
          <w:rFonts w:ascii="Calibri" w:hAnsi="Calibri"/>
          <w:sz w:val="22"/>
          <w:szCs w:val="22"/>
        </w:rPr>
      </w:pPr>
      <w:r>
        <w:rPr>
          <w:rFonts w:ascii="Calibri" w:hAnsi="Calibri"/>
          <w:sz w:val="22"/>
          <w:szCs w:val="22"/>
        </w:rPr>
        <w:t>Le projet de coopération internationale « </w:t>
      </w:r>
      <w:r w:rsidR="00017D4F" w:rsidRPr="002F2457">
        <w:rPr>
          <w:rFonts w:ascii="Calibri" w:hAnsi="Calibri"/>
          <w:i/>
          <w:sz w:val="22"/>
          <w:szCs w:val="22"/>
        </w:rPr>
        <w:t>Strengthening nuclear safety regulatory capacity in Africa</w:t>
      </w:r>
      <w:r w:rsidR="00017D4F">
        <w:rPr>
          <w:rFonts w:ascii="Calibri" w:hAnsi="Calibri"/>
          <w:i/>
          <w:sz w:val="22"/>
          <w:szCs w:val="22"/>
        </w:rPr>
        <w:t> </w:t>
      </w:r>
      <w:r>
        <w:rPr>
          <w:rFonts w:ascii="Calibri" w:hAnsi="Calibri"/>
          <w:sz w:val="22"/>
          <w:szCs w:val="22"/>
        </w:rPr>
        <w:t>» INSC</w:t>
      </w:r>
      <w:r w:rsidR="0018356E">
        <w:rPr>
          <w:rFonts w:ascii="Calibri" w:hAnsi="Calibri"/>
          <w:sz w:val="22"/>
          <w:szCs w:val="22"/>
        </w:rPr>
        <w:t>/2024/452-948,</w:t>
      </w:r>
      <w:r>
        <w:rPr>
          <w:rFonts w:ascii="Calibri" w:hAnsi="Calibri"/>
          <w:sz w:val="22"/>
          <w:szCs w:val="22"/>
        </w:rPr>
        <w:t xml:space="preserve"> signé entre l’Instrument pour la coopération de </w:t>
      </w:r>
      <w:r w:rsidR="00497E71">
        <w:rPr>
          <w:rFonts w:ascii="Calibri" w:hAnsi="Calibri"/>
          <w:sz w:val="22"/>
          <w:szCs w:val="22"/>
        </w:rPr>
        <w:t xml:space="preserve">la </w:t>
      </w:r>
      <w:r>
        <w:rPr>
          <w:rFonts w:ascii="Calibri" w:hAnsi="Calibri"/>
          <w:sz w:val="22"/>
          <w:szCs w:val="22"/>
        </w:rPr>
        <w:t xml:space="preserve">sûreté </w:t>
      </w:r>
      <w:r w:rsidR="00497E71">
        <w:rPr>
          <w:rFonts w:ascii="Calibri" w:hAnsi="Calibri"/>
          <w:sz w:val="22"/>
          <w:szCs w:val="22"/>
        </w:rPr>
        <w:t>nucléaire (INSC) et Expertise France</w:t>
      </w:r>
      <w:r w:rsidR="0018356E">
        <w:rPr>
          <w:rFonts w:ascii="Calibri" w:hAnsi="Calibri"/>
          <w:sz w:val="22"/>
          <w:szCs w:val="22"/>
        </w:rPr>
        <w:t>,</w:t>
      </w:r>
      <w:r w:rsidR="00497E71">
        <w:rPr>
          <w:rFonts w:ascii="Calibri" w:hAnsi="Calibri"/>
          <w:sz w:val="22"/>
          <w:szCs w:val="22"/>
        </w:rPr>
        <w:t xml:space="preserve"> a </w:t>
      </w:r>
      <w:r w:rsidR="00497E71" w:rsidRPr="00211137">
        <w:rPr>
          <w:rFonts w:ascii="Calibri" w:hAnsi="Calibri"/>
          <w:sz w:val="22"/>
          <w:szCs w:val="22"/>
        </w:rPr>
        <w:t>pour objectif principal</w:t>
      </w:r>
      <w:r w:rsidR="00211137" w:rsidRPr="00211137">
        <w:rPr>
          <w:rFonts w:ascii="Calibri" w:hAnsi="Calibri"/>
          <w:sz w:val="22"/>
          <w:szCs w:val="22"/>
        </w:rPr>
        <w:t xml:space="preserve"> de</w:t>
      </w:r>
      <w:r w:rsidR="00211137" w:rsidRPr="009819EE">
        <w:rPr>
          <w:rFonts w:ascii="Calibri" w:hAnsi="Calibri"/>
          <w:sz w:val="22"/>
          <w:szCs w:val="22"/>
        </w:rPr>
        <w:t xml:space="preserve"> contribuer à une culture de sûreté nucléaire efficace et à des normes de radioprotection et de sûreté nucléaire </w:t>
      </w:r>
      <w:r w:rsidR="00211137">
        <w:rPr>
          <w:rFonts w:ascii="Calibri" w:hAnsi="Calibri"/>
          <w:sz w:val="22"/>
          <w:szCs w:val="22"/>
        </w:rPr>
        <w:t>pour</w:t>
      </w:r>
      <w:r w:rsidR="00211137" w:rsidRPr="009819EE">
        <w:rPr>
          <w:rFonts w:ascii="Calibri" w:hAnsi="Calibri"/>
          <w:sz w:val="22"/>
          <w:szCs w:val="22"/>
        </w:rPr>
        <w:t xml:space="preserve"> les pays </w:t>
      </w:r>
      <w:r w:rsidR="00211137">
        <w:rPr>
          <w:rFonts w:ascii="Calibri" w:hAnsi="Calibri"/>
          <w:sz w:val="22"/>
          <w:szCs w:val="22"/>
        </w:rPr>
        <w:t>bénéficiaires.</w:t>
      </w:r>
      <w:r w:rsidR="008C6BAB">
        <w:rPr>
          <w:rFonts w:ascii="Calibri" w:hAnsi="Calibri"/>
          <w:sz w:val="22"/>
          <w:szCs w:val="22"/>
        </w:rPr>
        <w:br/>
        <w:t>Les bénéficiaires sont les autorités régulatrices du nucléaire des 6 pays suivants : Afrique du Sud, Egypte, Ghana, Kenya, Maroc et Nigeria.</w:t>
      </w:r>
    </w:p>
    <w:p w14:paraId="47C670BC" w14:textId="77777777" w:rsidR="009819EE" w:rsidRDefault="009819EE" w:rsidP="009819EE">
      <w:pPr>
        <w:jc w:val="both"/>
        <w:rPr>
          <w:rFonts w:ascii="Calibri" w:hAnsi="Calibri"/>
          <w:sz w:val="22"/>
          <w:szCs w:val="22"/>
        </w:rPr>
      </w:pPr>
    </w:p>
    <w:p w14:paraId="688BC9CA" w14:textId="37F0F1E0" w:rsidR="007B5372" w:rsidRDefault="007B5372" w:rsidP="009819EE">
      <w:pPr>
        <w:jc w:val="both"/>
        <w:rPr>
          <w:rFonts w:ascii="Calibri" w:hAnsi="Calibri"/>
          <w:sz w:val="22"/>
          <w:szCs w:val="22"/>
        </w:rPr>
      </w:pPr>
      <w:r w:rsidRPr="007B5372">
        <w:rPr>
          <w:rFonts w:ascii="Calibri" w:hAnsi="Calibri"/>
          <w:sz w:val="22"/>
          <w:szCs w:val="22"/>
        </w:rPr>
        <w:t>La coopération avec les pays cibles est menée conformément aux normes les plus élevées et aux meilleures pratiques utilisées dans l'U</w:t>
      </w:r>
      <w:r>
        <w:rPr>
          <w:rFonts w:ascii="Calibri" w:hAnsi="Calibri"/>
          <w:sz w:val="22"/>
          <w:szCs w:val="22"/>
        </w:rPr>
        <w:t>nion européenne</w:t>
      </w:r>
      <w:r w:rsidRPr="007B5372">
        <w:rPr>
          <w:rFonts w:ascii="Calibri" w:hAnsi="Calibri"/>
          <w:sz w:val="22"/>
          <w:szCs w:val="22"/>
        </w:rPr>
        <w:t xml:space="preserve"> pour améliorer et renforcer la sûreté nucléaire, la radioprotection et la préparation aux situations d'urgence des partenaires.</w:t>
      </w:r>
    </w:p>
    <w:p w14:paraId="05630DCE" w14:textId="77777777" w:rsidR="007B5372" w:rsidRPr="009819EE" w:rsidRDefault="007B5372" w:rsidP="009819EE">
      <w:pPr>
        <w:jc w:val="both"/>
        <w:rPr>
          <w:rFonts w:ascii="Calibri" w:hAnsi="Calibri"/>
          <w:sz w:val="22"/>
          <w:szCs w:val="22"/>
        </w:rPr>
      </w:pPr>
    </w:p>
    <w:p w14:paraId="4B783A0B" w14:textId="20B82044" w:rsidR="00D228BA" w:rsidRDefault="00D228BA" w:rsidP="009819EE">
      <w:pPr>
        <w:jc w:val="both"/>
        <w:rPr>
          <w:rFonts w:ascii="Calibri" w:hAnsi="Calibri"/>
          <w:sz w:val="22"/>
          <w:szCs w:val="22"/>
        </w:rPr>
      </w:pPr>
      <w:r w:rsidRPr="009819EE">
        <w:rPr>
          <w:rFonts w:ascii="Calibri" w:hAnsi="Calibri"/>
          <w:sz w:val="22"/>
          <w:szCs w:val="22"/>
        </w:rPr>
        <w:t>La coopération avec l'Afrique se concentre sur le renforcement de la capacité réglementaire dans plusieurs pays africains intéressés par</w:t>
      </w:r>
      <w:r w:rsidR="004E717B">
        <w:rPr>
          <w:rFonts w:ascii="Calibri" w:hAnsi="Calibri"/>
          <w:sz w:val="22"/>
          <w:szCs w:val="22"/>
        </w:rPr>
        <w:t xml:space="preserve"> l'énergie nucléaire (tels que </w:t>
      </w:r>
      <w:r w:rsidRPr="009819EE">
        <w:rPr>
          <w:rFonts w:ascii="Calibri" w:hAnsi="Calibri"/>
          <w:sz w:val="22"/>
          <w:szCs w:val="22"/>
        </w:rPr>
        <w:t>l'Égypte, le Ghana, le Kenya, le Maroc, le Nigeria et l'Afrique du Sud), en partie par le biais d'une coopération bilatérale et en partie par le biais d'une coopération régionale dans le cadre d'organismes régionaux et internationaux représentatifs et compétents.</w:t>
      </w:r>
      <w:r w:rsidR="00D64BE9">
        <w:rPr>
          <w:rFonts w:ascii="Calibri" w:hAnsi="Calibri"/>
          <w:sz w:val="22"/>
          <w:szCs w:val="22"/>
        </w:rPr>
        <w:br/>
        <w:t>Le projet reste flexible pour intégrer d’autres pays africains sous certaines conditions.</w:t>
      </w:r>
    </w:p>
    <w:p w14:paraId="52BA81B5" w14:textId="77777777" w:rsidR="009A2214" w:rsidRPr="009819EE" w:rsidRDefault="009A2214" w:rsidP="009819EE">
      <w:pPr>
        <w:jc w:val="both"/>
        <w:rPr>
          <w:rFonts w:ascii="Calibri" w:hAnsi="Calibri"/>
          <w:sz w:val="22"/>
          <w:szCs w:val="22"/>
        </w:rPr>
      </w:pPr>
    </w:p>
    <w:p w14:paraId="3C818A50" w14:textId="77777777" w:rsidR="00AF703C" w:rsidRDefault="00AF703C" w:rsidP="009819EE">
      <w:pPr>
        <w:jc w:val="both"/>
        <w:rPr>
          <w:rFonts w:ascii="Calibri" w:hAnsi="Calibri"/>
          <w:sz w:val="22"/>
          <w:szCs w:val="22"/>
        </w:rPr>
      </w:pPr>
    </w:p>
    <w:p w14:paraId="5E57A205" w14:textId="40C3762D" w:rsidR="00D228BA" w:rsidRDefault="00497E71" w:rsidP="009819EE">
      <w:pPr>
        <w:jc w:val="both"/>
        <w:rPr>
          <w:rFonts w:ascii="Calibri" w:hAnsi="Calibri"/>
          <w:sz w:val="22"/>
          <w:szCs w:val="22"/>
        </w:rPr>
      </w:pPr>
      <w:r>
        <w:rPr>
          <w:rFonts w:ascii="Calibri" w:hAnsi="Calibri"/>
          <w:sz w:val="22"/>
          <w:szCs w:val="22"/>
        </w:rPr>
        <w:t xml:space="preserve">La composante 5 de </w:t>
      </w:r>
      <w:r w:rsidR="008C6BAB">
        <w:rPr>
          <w:rFonts w:ascii="Calibri" w:hAnsi="Calibri"/>
          <w:sz w:val="22"/>
          <w:szCs w:val="22"/>
        </w:rPr>
        <w:t>ce projet</w:t>
      </w:r>
      <w:r>
        <w:rPr>
          <w:rFonts w:ascii="Calibri" w:hAnsi="Calibri"/>
          <w:sz w:val="22"/>
          <w:szCs w:val="22"/>
        </w:rPr>
        <w:t xml:space="preserve"> porte sur l</w:t>
      </w:r>
      <w:r w:rsidR="008C6BAB">
        <w:rPr>
          <w:rFonts w:ascii="Calibri" w:hAnsi="Calibri"/>
          <w:sz w:val="22"/>
          <w:szCs w:val="22"/>
        </w:rPr>
        <w:t>e support technique aux pays cibles en matière d’</w:t>
      </w:r>
      <w:r>
        <w:rPr>
          <w:rFonts w:ascii="Calibri" w:hAnsi="Calibri"/>
          <w:sz w:val="22"/>
          <w:szCs w:val="22"/>
        </w:rPr>
        <w:t>harmonisation des réglementations des installations nucléaires et des meilleur</w:t>
      </w:r>
      <w:r w:rsidR="008C6BAB">
        <w:rPr>
          <w:rFonts w:ascii="Calibri" w:hAnsi="Calibri"/>
          <w:sz w:val="22"/>
          <w:szCs w:val="22"/>
        </w:rPr>
        <w:t>e</w:t>
      </w:r>
      <w:r>
        <w:rPr>
          <w:rFonts w:ascii="Calibri" w:hAnsi="Calibri"/>
          <w:sz w:val="22"/>
          <w:szCs w:val="22"/>
        </w:rPr>
        <w:t>s pratiques internationales</w:t>
      </w:r>
      <w:r w:rsidR="008C6BAB">
        <w:rPr>
          <w:rFonts w:ascii="Calibri" w:hAnsi="Calibri"/>
          <w:sz w:val="22"/>
          <w:szCs w:val="22"/>
        </w:rPr>
        <w:t xml:space="preserve">. Le prestataire </w:t>
      </w:r>
      <w:r w:rsidR="004E717B">
        <w:rPr>
          <w:rFonts w:ascii="Calibri" w:hAnsi="Calibri"/>
          <w:sz w:val="22"/>
          <w:szCs w:val="22"/>
        </w:rPr>
        <w:t>nommera un expert sur sera le chef de tâche (Task leader)</w:t>
      </w:r>
      <w:r w:rsidR="008C6BAB">
        <w:rPr>
          <w:rFonts w:ascii="Calibri" w:hAnsi="Calibri"/>
          <w:sz w:val="22"/>
          <w:szCs w:val="22"/>
        </w:rPr>
        <w:t xml:space="preserve"> de cette composante</w:t>
      </w:r>
      <w:r w:rsidR="004E717B">
        <w:rPr>
          <w:rFonts w:ascii="Calibri" w:hAnsi="Calibri"/>
          <w:sz w:val="22"/>
          <w:szCs w:val="22"/>
        </w:rPr>
        <w:t>.</w:t>
      </w:r>
    </w:p>
    <w:p w14:paraId="5BDC986F" w14:textId="77777777" w:rsidR="00CB7AA1" w:rsidRDefault="00CB7AA1" w:rsidP="00CB7AA1">
      <w:pPr>
        <w:jc w:val="both"/>
        <w:rPr>
          <w:rFonts w:cs="Calibri"/>
        </w:rPr>
      </w:pPr>
    </w:p>
    <w:p w14:paraId="38D0CCF7" w14:textId="77777777" w:rsidR="001D27F6" w:rsidRPr="00D15F32" w:rsidRDefault="00965444" w:rsidP="007A6963">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C85939">
      <w:pPr>
        <w:jc w:val="both"/>
        <w:rPr>
          <w:rFonts w:ascii="Calibri" w:hAnsi="Calibri"/>
          <w:sz w:val="22"/>
          <w:szCs w:val="22"/>
        </w:rPr>
      </w:pPr>
    </w:p>
    <w:p w14:paraId="5915EDA9" w14:textId="3AEBBDC1" w:rsidR="00475709" w:rsidRPr="00D15F32" w:rsidRDefault="001D27F6" w:rsidP="00C85939">
      <w:pPr>
        <w:numPr>
          <w:ilvl w:val="1"/>
          <w:numId w:val="14"/>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 général</w:t>
      </w:r>
      <w:r w:rsidR="0076595C" w:rsidRPr="00D15F32">
        <w:rPr>
          <w:rFonts w:ascii="Calibri" w:eastAsia="Arial Unicode MS" w:hAnsi="Calibri" w:cs="Arial Unicode MS"/>
          <w:b/>
          <w:sz w:val="22"/>
          <w:szCs w:val="22"/>
          <w:lang w:eastAsia="en-US"/>
        </w:rPr>
        <w:t xml:space="preserve"> </w:t>
      </w:r>
    </w:p>
    <w:p w14:paraId="394B4389" w14:textId="77777777" w:rsidR="009236DE" w:rsidRDefault="009236DE" w:rsidP="009236DE">
      <w:pPr>
        <w:jc w:val="both"/>
        <w:rPr>
          <w:rFonts w:ascii="Calibri" w:hAnsi="Calibri"/>
          <w:sz w:val="22"/>
          <w:szCs w:val="22"/>
        </w:rPr>
      </w:pPr>
    </w:p>
    <w:p w14:paraId="176AC221" w14:textId="36196594" w:rsidR="0019451A" w:rsidRPr="00C96EB6" w:rsidRDefault="009236DE" w:rsidP="009236DE">
      <w:pPr>
        <w:jc w:val="both"/>
        <w:rPr>
          <w:rFonts w:ascii="Calibri" w:hAnsi="Calibri"/>
          <w:sz w:val="22"/>
          <w:szCs w:val="22"/>
        </w:rPr>
      </w:pPr>
      <w:r w:rsidRPr="00C96EB6">
        <w:rPr>
          <w:rFonts w:ascii="Calibri" w:hAnsi="Calibri"/>
          <w:sz w:val="22"/>
          <w:szCs w:val="22"/>
        </w:rPr>
        <w:t>La mission a pour objectif d</w:t>
      </w:r>
      <w:r w:rsidR="00195B2A">
        <w:rPr>
          <w:rFonts w:ascii="Calibri" w:hAnsi="Calibri"/>
          <w:sz w:val="22"/>
          <w:szCs w:val="22"/>
        </w:rPr>
        <w:t>e fournir le support technique en matière d’harmonisation des réglementations dans le domaine du nucléaire et des meilleures pratiques internationales</w:t>
      </w:r>
      <w:r w:rsidR="00FC7AC9">
        <w:rPr>
          <w:rFonts w:ascii="Calibri" w:hAnsi="Calibri"/>
          <w:sz w:val="22"/>
          <w:szCs w:val="22"/>
        </w:rPr>
        <w:t>.</w:t>
      </w:r>
      <w:r w:rsidR="00FC7AC9">
        <w:rPr>
          <w:rFonts w:ascii="Calibri" w:hAnsi="Calibri"/>
          <w:sz w:val="22"/>
          <w:szCs w:val="22"/>
        </w:rPr>
        <w:br/>
        <w:t xml:space="preserve">La composante 5 du projet est liée </w:t>
      </w:r>
      <w:r w:rsidR="00B84BF1">
        <w:rPr>
          <w:rFonts w:ascii="Calibri" w:hAnsi="Calibri"/>
          <w:sz w:val="22"/>
          <w:szCs w:val="22"/>
        </w:rPr>
        <w:t>à la sûreté nucléaire des installations de production nucléaire.</w:t>
      </w:r>
      <w:r w:rsidR="00B84BF1">
        <w:rPr>
          <w:rFonts w:ascii="Calibri" w:hAnsi="Calibri"/>
          <w:sz w:val="22"/>
          <w:szCs w:val="22"/>
        </w:rPr>
        <w:br/>
        <w:t>Les activités seront validées par un plan d’action annuel</w:t>
      </w:r>
      <w:r w:rsidR="000405A8">
        <w:rPr>
          <w:rFonts w:ascii="Calibri" w:hAnsi="Calibri"/>
          <w:sz w:val="22"/>
          <w:szCs w:val="22"/>
        </w:rPr>
        <w:t xml:space="preserve"> et seront à adapter en fonction des besoins </w:t>
      </w:r>
      <w:r w:rsidR="0035218F">
        <w:rPr>
          <w:rFonts w:ascii="Calibri" w:hAnsi="Calibri"/>
          <w:sz w:val="22"/>
          <w:szCs w:val="22"/>
        </w:rPr>
        <w:t xml:space="preserve">et priorités </w:t>
      </w:r>
      <w:r w:rsidR="000405A8">
        <w:rPr>
          <w:rFonts w:ascii="Calibri" w:hAnsi="Calibri"/>
          <w:sz w:val="22"/>
          <w:szCs w:val="22"/>
        </w:rPr>
        <w:t xml:space="preserve">de chaque pays bénéficiaire en suivant l’approche de l’Agence internationale de l’énergie </w:t>
      </w:r>
      <w:r w:rsidR="000405A8">
        <w:rPr>
          <w:rFonts w:ascii="Calibri" w:hAnsi="Calibri"/>
          <w:sz w:val="22"/>
          <w:szCs w:val="22"/>
        </w:rPr>
        <w:lastRenderedPageBreak/>
        <w:t>atomique (AIEA)</w:t>
      </w:r>
      <w:r w:rsidR="0086461A">
        <w:rPr>
          <w:rFonts w:ascii="Calibri" w:hAnsi="Calibri"/>
          <w:sz w:val="22"/>
          <w:szCs w:val="22"/>
        </w:rPr>
        <w:t xml:space="preserve"> pour la mise ne place de l’infrastructure d’un programme d’énergie nucléaire en trois phases progressives de développement.</w:t>
      </w:r>
    </w:p>
    <w:p w14:paraId="003D337A" w14:textId="77777777" w:rsidR="001D27F6" w:rsidRPr="00D15F32" w:rsidRDefault="001D27F6" w:rsidP="00C85939">
      <w:pPr>
        <w:numPr>
          <w:ilvl w:val="1"/>
          <w:numId w:val="14"/>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46EC8066" w14:textId="77777777" w:rsidR="00CB7AA1" w:rsidRDefault="00CB7AA1" w:rsidP="00C85939">
      <w:pPr>
        <w:jc w:val="both"/>
        <w:rPr>
          <w:rFonts w:cs="Calibri"/>
        </w:rPr>
      </w:pPr>
    </w:p>
    <w:p w14:paraId="48154A9B" w14:textId="0F070F3B" w:rsidR="000942EE" w:rsidRDefault="00195B2A" w:rsidP="000942EE">
      <w:pPr>
        <w:pStyle w:val="Paragraphedeliste"/>
        <w:numPr>
          <w:ilvl w:val="0"/>
          <w:numId w:val="42"/>
        </w:numPr>
        <w:jc w:val="both"/>
        <w:rPr>
          <w:rFonts w:ascii="Calibri" w:hAnsi="Calibri"/>
          <w:sz w:val="22"/>
          <w:szCs w:val="22"/>
        </w:rPr>
      </w:pPr>
      <w:r>
        <w:rPr>
          <w:rFonts w:ascii="Calibri" w:hAnsi="Calibri"/>
          <w:sz w:val="22"/>
          <w:szCs w:val="22"/>
        </w:rPr>
        <w:t>H</w:t>
      </w:r>
      <w:r w:rsidR="00472E9B">
        <w:rPr>
          <w:rFonts w:ascii="Calibri" w:hAnsi="Calibri"/>
          <w:sz w:val="22"/>
          <w:szCs w:val="22"/>
        </w:rPr>
        <w:t>armonisation les procédures d’autorisation et la</w:t>
      </w:r>
      <w:r>
        <w:rPr>
          <w:rFonts w:ascii="Calibri" w:hAnsi="Calibri"/>
          <w:sz w:val="22"/>
          <w:szCs w:val="22"/>
        </w:rPr>
        <w:t xml:space="preserve"> réglementation</w:t>
      </w:r>
      <w:r w:rsidR="00472E9B">
        <w:rPr>
          <w:rFonts w:ascii="Calibri" w:hAnsi="Calibri"/>
          <w:sz w:val="22"/>
          <w:szCs w:val="22"/>
        </w:rPr>
        <w:t xml:space="preserve"> des installations nucléaires avec les acquis de l’Union européenne</w:t>
      </w:r>
    </w:p>
    <w:p w14:paraId="62D8B635" w14:textId="64C86FD1" w:rsidR="000942EE" w:rsidRDefault="00472E9B" w:rsidP="000942EE">
      <w:pPr>
        <w:pStyle w:val="Paragraphedeliste"/>
        <w:numPr>
          <w:ilvl w:val="0"/>
          <w:numId w:val="42"/>
        </w:numPr>
        <w:jc w:val="both"/>
        <w:rPr>
          <w:rFonts w:ascii="Calibri" w:hAnsi="Calibri"/>
          <w:sz w:val="22"/>
          <w:szCs w:val="22"/>
        </w:rPr>
      </w:pPr>
      <w:r>
        <w:rPr>
          <w:rFonts w:ascii="Calibri" w:hAnsi="Calibri"/>
          <w:sz w:val="22"/>
          <w:szCs w:val="22"/>
        </w:rPr>
        <w:t>Le développement de procédures et guides</w:t>
      </w:r>
      <w:r w:rsidR="00B263A5">
        <w:rPr>
          <w:rFonts w:ascii="Calibri" w:hAnsi="Calibri"/>
          <w:sz w:val="22"/>
          <w:szCs w:val="22"/>
        </w:rPr>
        <w:t xml:space="preserve"> en priorisant les décisions de l’autorité régulatrice</w:t>
      </w:r>
    </w:p>
    <w:p w14:paraId="26BB6850" w14:textId="7D67B24C" w:rsidR="00024D10" w:rsidRDefault="00024D10" w:rsidP="000942EE">
      <w:pPr>
        <w:pStyle w:val="Paragraphedeliste"/>
        <w:numPr>
          <w:ilvl w:val="0"/>
          <w:numId w:val="42"/>
        </w:numPr>
        <w:jc w:val="both"/>
        <w:rPr>
          <w:rFonts w:ascii="Calibri" w:hAnsi="Calibri"/>
          <w:sz w:val="22"/>
          <w:szCs w:val="22"/>
        </w:rPr>
      </w:pPr>
      <w:r w:rsidRPr="00DB3685">
        <w:rPr>
          <w:rFonts w:asciiTheme="minorHAnsi" w:hAnsiTheme="minorHAnsi" w:cstheme="minorHAnsi"/>
          <w:sz w:val="22"/>
        </w:rPr>
        <w:t>Soutien au renforcement de la capacité réglementaire pour évaluer les mesures de radioprotection dans le domaine de la radiothérapie, de la production d'isotopes et de la médecine nucléaire</w:t>
      </w:r>
    </w:p>
    <w:p w14:paraId="06BAF1FF" w14:textId="77777777" w:rsidR="00024D10" w:rsidRPr="00DB3685" w:rsidRDefault="00024D10" w:rsidP="00024D10">
      <w:pPr>
        <w:pStyle w:val="Paragraphedeliste"/>
        <w:numPr>
          <w:ilvl w:val="0"/>
          <w:numId w:val="42"/>
        </w:numPr>
        <w:rPr>
          <w:rFonts w:asciiTheme="minorHAnsi" w:hAnsiTheme="minorHAnsi" w:cstheme="minorHAnsi"/>
          <w:sz w:val="22"/>
        </w:rPr>
      </w:pPr>
      <w:r w:rsidRPr="00DB3685">
        <w:rPr>
          <w:rFonts w:asciiTheme="minorHAnsi" w:hAnsiTheme="minorHAnsi" w:cstheme="minorHAnsi"/>
          <w:sz w:val="22"/>
        </w:rPr>
        <w:t>Développement et amélioration des capacités techniques des régulateurs dans le domaine de la surveillance des rayonnements dans l’environnement</w:t>
      </w:r>
    </w:p>
    <w:p w14:paraId="70428A63" w14:textId="77777777" w:rsidR="00475709" w:rsidRDefault="00475709" w:rsidP="00C85939">
      <w:pPr>
        <w:jc w:val="both"/>
        <w:rPr>
          <w:rFonts w:ascii="Calibri" w:hAnsi="Calibri"/>
          <w:sz w:val="22"/>
          <w:szCs w:val="22"/>
        </w:rPr>
      </w:pPr>
    </w:p>
    <w:p w14:paraId="43C3EFA0" w14:textId="77777777" w:rsidR="00965444" w:rsidRDefault="00965444" w:rsidP="00965444">
      <w:pPr>
        <w:numPr>
          <w:ilvl w:val="1"/>
          <w:numId w:val="14"/>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Résultats à atteindre</w:t>
      </w:r>
    </w:p>
    <w:p w14:paraId="4ECCAA1C" w14:textId="77777777" w:rsidR="00965444" w:rsidRDefault="00965444" w:rsidP="00C85939">
      <w:pPr>
        <w:jc w:val="both"/>
        <w:rPr>
          <w:rFonts w:ascii="Calibri" w:hAnsi="Calibri"/>
          <w:sz w:val="22"/>
          <w:szCs w:val="22"/>
        </w:rPr>
      </w:pPr>
    </w:p>
    <w:p w14:paraId="489E5F37" w14:textId="0F28FB37" w:rsidR="009236DE" w:rsidRDefault="006F7366" w:rsidP="00F67FE7">
      <w:pPr>
        <w:pStyle w:val="Paragraphedeliste"/>
        <w:numPr>
          <w:ilvl w:val="0"/>
          <w:numId w:val="47"/>
        </w:numPr>
        <w:ind w:left="0" w:firstLine="0"/>
        <w:jc w:val="both"/>
        <w:rPr>
          <w:rFonts w:ascii="Calibri" w:hAnsi="Calibri"/>
          <w:sz w:val="22"/>
          <w:szCs w:val="22"/>
        </w:rPr>
      </w:pPr>
      <w:r>
        <w:rPr>
          <w:rFonts w:ascii="Calibri" w:hAnsi="Calibri"/>
          <w:sz w:val="22"/>
          <w:szCs w:val="22"/>
        </w:rPr>
        <w:t>Réglementations développées disponibles pour les pays bénéficiaires</w:t>
      </w:r>
    </w:p>
    <w:p w14:paraId="703CE91B" w14:textId="49E4238C" w:rsidR="006F7366" w:rsidRDefault="006F7366" w:rsidP="00F67FE7">
      <w:pPr>
        <w:pStyle w:val="Paragraphedeliste"/>
        <w:numPr>
          <w:ilvl w:val="0"/>
          <w:numId w:val="47"/>
        </w:numPr>
        <w:ind w:left="709" w:hanging="709"/>
        <w:jc w:val="both"/>
        <w:rPr>
          <w:rFonts w:ascii="Calibri" w:hAnsi="Calibri"/>
          <w:sz w:val="22"/>
          <w:szCs w:val="22"/>
        </w:rPr>
      </w:pPr>
      <w:r>
        <w:rPr>
          <w:rFonts w:ascii="Calibri" w:hAnsi="Calibri"/>
          <w:sz w:val="22"/>
          <w:szCs w:val="22"/>
        </w:rPr>
        <w:t>L’accroissement de l’harmonisation des pratiques des autorités régulatrices avec les meilleur</w:t>
      </w:r>
      <w:r w:rsidR="00D16202">
        <w:rPr>
          <w:rFonts w:ascii="Calibri" w:hAnsi="Calibri"/>
          <w:sz w:val="22"/>
          <w:szCs w:val="22"/>
        </w:rPr>
        <w:t>e</w:t>
      </w:r>
      <w:r>
        <w:rPr>
          <w:rFonts w:ascii="Calibri" w:hAnsi="Calibri"/>
          <w:sz w:val="22"/>
          <w:szCs w:val="22"/>
        </w:rPr>
        <w:t>s pratiques européennes et internationales</w:t>
      </w:r>
    </w:p>
    <w:p w14:paraId="323A14C5" w14:textId="4337AC92" w:rsidR="006F7366" w:rsidRPr="0035218F" w:rsidRDefault="00D16202" w:rsidP="00F67FE7">
      <w:pPr>
        <w:pStyle w:val="Paragraphedeliste"/>
        <w:numPr>
          <w:ilvl w:val="0"/>
          <w:numId w:val="47"/>
        </w:numPr>
        <w:ind w:left="709" w:hanging="709"/>
        <w:jc w:val="both"/>
        <w:rPr>
          <w:rFonts w:ascii="Calibri" w:hAnsi="Calibri"/>
          <w:sz w:val="22"/>
          <w:szCs w:val="22"/>
        </w:rPr>
      </w:pPr>
      <w:r>
        <w:rPr>
          <w:rFonts w:ascii="Calibri" w:hAnsi="Calibri"/>
          <w:sz w:val="22"/>
          <w:szCs w:val="22"/>
        </w:rPr>
        <w:t xml:space="preserve">Le développement des compétences et connaissances dans les domaines de l’autorisation, de la sécurité des transports, de l’évaluation des sites, de la pré-autorisation des SMR. </w:t>
      </w:r>
    </w:p>
    <w:p w14:paraId="7EB79EF0" w14:textId="77777777" w:rsidR="00965444" w:rsidRDefault="00965444" w:rsidP="00C85939">
      <w:pPr>
        <w:jc w:val="both"/>
        <w:rPr>
          <w:rFonts w:ascii="Calibri" w:hAnsi="Calibri"/>
          <w:sz w:val="22"/>
          <w:szCs w:val="22"/>
        </w:rPr>
      </w:pPr>
    </w:p>
    <w:p w14:paraId="655954D9" w14:textId="77777777" w:rsidR="00AF63C1" w:rsidRDefault="00AF63C1" w:rsidP="00C85939">
      <w:pPr>
        <w:jc w:val="both"/>
        <w:rPr>
          <w:rFonts w:ascii="Calibri" w:hAnsi="Calibri"/>
          <w:sz w:val="22"/>
          <w:szCs w:val="22"/>
        </w:rPr>
      </w:pPr>
    </w:p>
    <w:p w14:paraId="2F18E5D2" w14:textId="77777777" w:rsidR="00965444" w:rsidRPr="00D15F32" w:rsidRDefault="00965444" w:rsidP="0096544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69356CB9" w14:textId="77777777" w:rsidR="00965444" w:rsidRPr="00D15F32" w:rsidRDefault="00965444" w:rsidP="00C85939">
      <w:pPr>
        <w:jc w:val="both"/>
        <w:rPr>
          <w:rFonts w:ascii="Calibri" w:hAnsi="Calibri"/>
          <w:sz w:val="22"/>
          <w:szCs w:val="22"/>
        </w:rPr>
      </w:pPr>
    </w:p>
    <w:p w14:paraId="4198E154" w14:textId="77777777" w:rsidR="001D27F6" w:rsidRPr="00D15F32" w:rsidRDefault="00965444" w:rsidP="00C85939">
      <w:pPr>
        <w:numPr>
          <w:ilvl w:val="1"/>
          <w:numId w:val="14"/>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Activités prévues</w:t>
      </w:r>
    </w:p>
    <w:p w14:paraId="2109317A" w14:textId="77777777" w:rsidR="00475709" w:rsidRPr="00D15F32" w:rsidRDefault="00475709" w:rsidP="00C85939">
      <w:pPr>
        <w:tabs>
          <w:tab w:val="num" w:pos="900"/>
        </w:tabs>
        <w:ind w:left="900" w:hanging="360"/>
        <w:jc w:val="both"/>
        <w:rPr>
          <w:rFonts w:ascii="Calibri" w:hAnsi="Calibri"/>
          <w:sz w:val="22"/>
          <w:szCs w:val="22"/>
        </w:rPr>
      </w:pPr>
    </w:p>
    <w:p w14:paraId="78BBE69D" w14:textId="77777777" w:rsidR="00C558B8" w:rsidRPr="00C858E7" w:rsidRDefault="00C558B8" w:rsidP="00C85939">
      <w:pPr>
        <w:jc w:val="both"/>
        <w:rPr>
          <w:rFonts w:ascii="Calibri" w:hAnsi="Calibri" w:cs="Calibri"/>
          <w:i/>
          <w:sz w:val="8"/>
          <w:szCs w:val="8"/>
        </w:rPr>
      </w:pPr>
    </w:p>
    <w:p w14:paraId="5B8B184F" w14:textId="1B0628B9" w:rsidR="00F17A78" w:rsidRPr="00DB3685" w:rsidRDefault="00BB4335" w:rsidP="00F17A78">
      <w:pPr>
        <w:jc w:val="both"/>
        <w:rPr>
          <w:rFonts w:ascii="Calibri" w:hAnsi="Calibri"/>
          <w:sz w:val="22"/>
          <w:szCs w:val="22"/>
        </w:rPr>
      </w:pPr>
      <w:r w:rsidRPr="00DB3685">
        <w:rPr>
          <w:rFonts w:ascii="Calibri" w:hAnsi="Calibri"/>
          <w:sz w:val="22"/>
          <w:szCs w:val="22"/>
        </w:rPr>
        <w:t>Les activités seront validées annuellement par un plan d’action lors du comité de pilotage.</w:t>
      </w:r>
      <w:r w:rsidRPr="00DB3685">
        <w:rPr>
          <w:rFonts w:ascii="Calibri" w:hAnsi="Calibri"/>
          <w:sz w:val="22"/>
          <w:szCs w:val="22"/>
        </w:rPr>
        <w:br/>
      </w:r>
      <w:r w:rsidR="00BF1DCD" w:rsidRPr="00DB3685">
        <w:rPr>
          <w:rFonts w:ascii="Calibri" w:hAnsi="Calibri"/>
          <w:sz w:val="22"/>
          <w:szCs w:val="22"/>
        </w:rPr>
        <w:t>Le</w:t>
      </w:r>
      <w:r w:rsidR="00631124" w:rsidRPr="00DB3685">
        <w:rPr>
          <w:rFonts w:ascii="Calibri" w:hAnsi="Calibri"/>
          <w:sz w:val="22"/>
          <w:szCs w:val="22"/>
        </w:rPr>
        <w:t xml:space="preserve"> prestataire devra </w:t>
      </w:r>
      <w:r w:rsidR="00AC0DEF" w:rsidRPr="00DB3685">
        <w:rPr>
          <w:rFonts w:ascii="Calibri" w:hAnsi="Calibri"/>
          <w:sz w:val="22"/>
          <w:szCs w:val="22"/>
        </w:rPr>
        <w:t xml:space="preserve">accompagner </w:t>
      </w:r>
      <w:r w:rsidRPr="00DB3685">
        <w:rPr>
          <w:rFonts w:ascii="Calibri" w:hAnsi="Calibri"/>
          <w:sz w:val="22"/>
          <w:szCs w:val="22"/>
        </w:rPr>
        <w:t>les autorités régulatrices du nucléaire de chaque pays</w:t>
      </w:r>
      <w:r w:rsidR="00EE5780" w:rsidRPr="00DB3685">
        <w:rPr>
          <w:rFonts w:ascii="Calibri" w:hAnsi="Calibri"/>
          <w:sz w:val="22"/>
          <w:szCs w:val="22"/>
        </w:rPr>
        <w:t xml:space="preserve"> pour chaque activité</w:t>
      </w:r>
      <w:r w:rsidR="00F84B62" w:rsidRPr="00DB3685">
        <w:rPr>
          <w:rFonts w:ascii="Calibri" w:hAnsi="Calibri"/>
          <w:sz w:val="22"/>
          <w:szCs w:val="22"/>
        </w:rPr>
        <w:t>.</w:t>
      </w:r>
    </w:p>
    <w:p w14:paraId="70132D27" w14:textId="77777777" w:rsidR="006C7BE3" w:rsidRPr="00DB3685" w:rsidRDefault="006C7BE3" w:rsidP="00F17A78">
      <w:pPr>
        <w:jc w:val="both"/>
        <w:rPr>
          <w:rFonts w:ascii="Calibri" w:hAnsi="Calibri"/>
          <w:sz w:val="22"/>
          <w:szCs w:val="22"/>
        </w:rPr>
      </w:pPr>
    </w:p>
    <w:p w14:paraId="6A342838" w14:textId="324CC213" w:rsidR="006C7BE3" w:rsidRPr="00DB3685" w:rsidRDefault="006C7BE3" w:rsidP="00906C4E">
      <w:pPr>
        <w:pStyle w:val="Paragraphedeliste"/>
        <w:numPr>
          <w:ilvl w:val="0"/>
          <w:numId w:val="49"/>
        </w:numPr>
        <w:rPr>
          <w:rFonts w:asciiTheme="minorHAnsi" w:hAnsiTheme="minorHAnsi" w:cstheme="minorHAnsi"/>
          <w:sz w:val="20"/>
          <w:szCs w:val="22"/>
        </w:rPr>
      </w:pPr>
      <w:r w:rsidRPr="00DB3685">
        <w:rPr>
          <w:rFonts w:asciiTheme="minorHAnsi" w:hAnsiTheme="minorHAnsi" w:cstheme="minorHAnsi"/>
          <w:sz w:val="22"/>
        </w:rPr>
        <w:t>Soutien à l'amélioration des capacités d'expertise technique dans le domaine de l'harmonisation des réglementations relatives aux installations nucléaires, et des meilleures pratiques internationales.</w:t>
      </w:r>
    </w:p>
    <w:p w14:paraId="6DF7D444" w14:textId="5FC37327" w:rsidR="006C7BE3" w:rsidRPr="00DB3685" w:rsidRDefault="006C7BE3" w:rsidP="006C7BE3">
      <w:pPr>
        <w:rPr>
          <w:rFonts w:asciiTheme="minorHAnsi" w:hAnsiTheme="minorHAnsi" w:cstheme="minorHAnsi"/>
          <w:sz w:val="22"/>
        </w:rPr>
      </w:pPr>
      <w:r w:rsidRPr="00DB3685">
        <w:rPr>
          <w:rFonts w:asciiTheme="minorHAnsi" w:hAnsiTheme="minorHAnsi" w:cstheme="minorHAnsi"/>
          <w:sz w:val="22"/>
        </w:rPr>
        <w:t xml:space="preserve">L'objectif de cette </w:t>
      </w:r>
      <w:r w:rsidR="00DB3685" w:rsidRPr="00DB3685">
        <w:rPr>
          <w:rFonts w:asciiTheme="minorHAnsi" w:hAnsiTheme="minorHAnsi" w:cstheme="minorHAnsi"/>
          <w:sz w:val="22"/>
        </w:rPr>
        <w:t>sous-</w:t>
      </w:r>
      <w:r w:rsidRPr="00DB3685">
        <w:rPr>
          <w:rFonts w:asciiTheme="minorHAnsi" w:hAnsiTheme="minorHAnsi" w:cstheme="minorHAnsi"/>
          <w:sz w:val="22"/>
        </w:rPr>
        <w:t>tâche est de soutenir l'amélioration des capacités d'expertise technique dans les pays africains identifiés dans le domaine de l'harmonisation des réglementations pour les installations nucléaires et selon les meilleures pratiques internationales :</w:t>
      </w:r>
    </w:p>
    <w:p w14:paraId="5797326F"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Harmonisation de procédures d'autorisation et de la réglementation des installations nucléaires</w:t>
      </w:r>
    </w:p>
    <w:p w14:paraId="5E769E5F"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Développement de procédures et guides techniques, en mettant l'accent sur la prise de décision par le régulateur</w:t>
      </w:r>
    </w:p>
    <w:p w14:paraId="07A67862"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Développement et harmonisation d’une réglementation relative aux petits réacteurs nucléaires modulaires (SMR)</w:t>
      </w:r>
    </w:p>
    <w:p w14:paraId="14F55E9D" w14:textId="2B7C8AAA" w:rsidR="006C7BE3" w:rsidRPr="00DB3685" w:rsidRDefault="006C7BE3" w:rsidP="00A0658C">
      <w:pPr>
        <w:pStyle w:val="Paragraphedeliste"/>
        <w:numPr>
          <w:ilvl w:val="0"/>
          <w:numId w:val="49"/>
        </w:numPr>
        <w:jc w:val="both"/>
        <w:rPr>
          <w:rFonts w:asciiTheme="minorHAnsi" w:hAnsiTheme="minorHAnsi" w:cstheme="minorHAnsi"/>
          <w:sz w:val="22"/>
        </w:rPr>
      </w:pPr>
      <w:r w:rsidRPr="00DB3685">
        <w:rPr>
          <w:rFonts w:asciiTheme="minorHAnsi" w:hAnsiTheme="minorHAnsi" w:cstheme="minorHAnsi"/>
          <w:sz w:val="22"/>
        </w:rPr>
        <w:t>Soutien au renforcement de</w:t>
      </w:r>
      <w:r w:rsidR="000D3809">
        <w:rPr>
          <w:rFonts w:asciiTheme="minorHAnsi" w:hAnsiTheme="minorHAnsi" w:cstheme="minorHAnsi"/>
          <w:sz w:val="22"/>
        </w:rPr>
        <w:t xml:space="preserve">s capacités </w:t>
      </w:r>
      <w:r w:rsidRPr="00DB3685">
        <w:rPr>
          <w:rFonts w:asciiTheme="minorHAnsi" w:hAnsiTheme="minorHAnsi" w:cstheme="minorHAnsi"/>
          <w:sz w:val="22"/>
        </w:rPr>
        <w:t>réglementaire</w:t>
      </w:r>
      <w:r w:rsidR="000D3809">
        <w:rPr>
          <w:rFonts w:asciiTheme="minorHAnsi" w:hAnsiTheme="minorHAnsi" w:cstheme="minorHAnsi"/>
          <w:sz w:val="22"/>
        </w:rPr>
        <w:t>s</w:t>
      </w:r>
      <w:r w:rsidRPr="00DB3685">
        <w:rPr>
          <w:rFonts w:asciiTheme="minorHAnsi" w:hAnsiTheme="minorHAnsi" w:cstheme="minorHAnsi"/>
          <w:sz w:val="22"/>
        </w:rPr>
        <w:t xml:space="preserve"> pour évaluer les mesures de radioprotection dans le domaine de la radiothérapie, de la production d'isotopes et de la médecine nucléaire.</w:t>
      </w:r>
    </w:p>
    <w:p w14:paraId="243B73B2" w14:textId="3A04A890" w:rsidR="006C7BE3" w:rsidRPr="00DB3685" w:rsidRDefault="006C7BE3" w:rsidP="00A0658C">
      <w:pPr>
        <w:jc w:val="both"/>
        <w:rPr>
          <w:rFonts w:asciiTheme="minorHAnsi" w:hAnsiTheme="minorHAnsi" w:cstheme="minorHAnsi"/>
          <w:sz w:val="22"/>
        </w:rPr>
      </w:pPr>
      <w:r w:rsidRPr="00DB3685">
        <w:rPr>
          <w:rFonts w:asciiTheme="minorHAnsi" w:hAnsiTheme="minorHAnsi" w:cstheme="minorHAnsi"/>
          <w:sz w:val="22"/>
        </w:rPr>
        <w:lastRenderedPageBreak/>
        <w:t xml:space="preserve">L'objectif de cette </w:t>
      </w:r>
      <w:r w:rsidR="00DB3685" w:rsidRPr="00DB3685">
        <w:rPr>
          <w:rFonts w:asciiTheme="minorHAnsi" w:hAnsiTheme="minorHAnsi" w:cstheme="minorHAnsi"/>
          <w:sz w:val="22"/>
        </w:rPr>
        <w:t>sous-</w:t>
      </w:r>
      <w:r w:rsidRPr="00DB3685">
        <w:rPr>
          <w:rFonts w:asciiTheme="minorHAnsi" w:hAnsiTheme="minorHAnsi" w:cstheme="minorHAnsi"/>
          <w:sz w:val="22"/>
        </w:rPr>
        <w:t>tâche est de développer et d'améliorer les capacités techniques des régulateurs dans les pays cibles, dans le domaine de l’évaluation technique et du contrôle réglementaire de mesures de radioprotection dans différents types de pratiques médicales :</w:t>
      </w:r>
    </w:p>
    <w:p w14:paraId="17D23228"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La radiothérapie (y compris l'utilisation d'accélérateurs linéaires et la brachythérapie)</w:t>
      </w:r>
    </w:p>
    <w:p w14:paraId="75DAEEBC"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 xml:space="preserve">L’utilisation de cyclotrons pour la production d'isotopes </w:t>
      </w:r>
    </w:p>
    <w:p w14:paraId="6B05AA11"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Les pratiques de médecine nucléaire (y compris la thérapie et le PET-CT)</w:t>
      </w:r>
    </w:p>
    <w:p w14:paraId="535A2D1C" w14:textId="77777777" w:rsidR="006C7BE3" w:rsidRPr="00DB3685" w:rsidRDefault="006C7BE3" w:rsidP="006C7BE3">
      <w:pPr>
        <w:rPr>
          <w:rFonts w:asciiTheme="minorHAnsi" w:hAnsiTheme="minorHAnsi" w:cstheme="minorHAnsi"/>
          <w:sz w:val="22"/>
        </w:rPr>
      </w:pPr>
    </w:p>
    <w:p w14:paraId="45816A68" w14:textId="5BC50C7C" w:rsidR="006C7BE3" w:rsidRPr="00DB3685" w:rsidRDefault="006C7BE3" w:rsidP="00A0658C">
      <w:pPr>
        <w:pStyle w:val="Paragraphedeliste"/>
        <w:numPr>
          <w:ilvl w:val="0"/>
          <w:numId w:val="49"/>
        </w:numPr>
        <w:jc w:val="both"/>
        <w:rPr>
          <w:rFonts w:asciiTheme="minorHAnsi" w:hAnsiTheme="minorHAnsi" w:cstheme="minorHAnsi"/>
          <w:sz w:val="22"/>
        </w:rPr>
      </w:pPr>
      <w:r w:rsidRPr="00DB3685">
        <w:rPr>
          <w:rFonts w:asciiTheme="minorHAnsi" w:hAnsiTheme="minorHAnsi" w:cstheme="minorHAnsi"/>
          <w:sz w:val="22"/>
        </w:rPr>
        <w:t xml:space="preserve"> Développement et amélioration des capacités techniques des régulateurs dans le domaine de la surveillance des rayonnements dans l’environnement</w:t>
      </w:r>
    </w:p>
    <w:p w14:paraId="10DBEC74" w14:textId="55C84EBA" w:rsidR="006C7BE3" w:rsidRPr="00DB3685" w:rsidRDefault="006C7BE3" w:rsidP="00A0658C">
      <w:pPr>
        <w:jc w:val="both"/>
        <w:rPr>
          <w:rFonts w:asciiTheme="minorHAnsi" w:hAnsiTheme="minorHAnsi" w:cstheme="minorHAnsi"/>
          <w:sz w:val="22"/>
        </w:rPr>
      </w:pPr>
      <w:r w:rsidRPr="00DB3685">
        <w:rPr>
          <w:rFonts w:asciiTheme="minorHAnsi" w:hAnsiTheme="minorHAnsi" w:cstheme="minorHAnsi"/>
          <w:sz w:val="22"/>
        </w:rPr>
        <w:t xml:space="preserve">L'objectif principal de cette </w:t>
      </w:r>
      <w:r w:rsidR="00906C4E" w:rsidRPr="00DB3685">
        <w:rPr>
          <w:rFonts w:asciiTheme="minorHAnsi" w:hAnsiTheme="minorHAnsi" w:cstheme="minorHAnsi"/>
          <w:sz w:val="22"/>
        </w:rPr>
        <w:t>sous-</w:t>
      </w:r>
      <w:r w:rsidRPr="00DB3685">
        <w:rPr>
          <w:rFonts w:asciiTheme="minorHAnsi" w:hAnsiTheme="minorHAnsi" w:cstheme="minorHAnsi"/>
          <w:sz w:val="22"/>
        </w:rPr>
        <w:t>tâche est de développer et d'améliorer les capacités techniques dans les pays africains cibles dans le domaine des systèmes de surveillance des rayonnements dans l’environnement.</w:t>
      </w:r>
    </w:p>
    <w:p w14:paraId="600ADB5B"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Analyse des instruments portables de radiologie et de laboratoire nécessaires et disponibles dans les pays africains</w:t>
      </w:r>
    </w:p>
    <w:p w14:paraId="1B8E1B43" w14:textId="77777777" w:rsidR="006C7BE3" w:rsidRPr="00DB3685" w:rsidRDefault="006C7BE3" w:rsidP="00A0658C">
      <w:pPr>
        <w:numPr>
          <w:ilvl w:val="0"/>
          <w:numId w:val="48"/>
        </w:numPr>
        <w:spacing w:after="160" w:line="256" w:lineRule="auto"/>
        <w:jc w:val="both"/>
        <w:rPr>
          <w:rFonts w:asciiTheme="minorHAnsi" w:hAnsiTheme="minorHAnsi" w:cstheme="minorHAnsi"/>
          <w:sz w:val="22"/>
        </w:rPr>
      </w:pPr>
      <w:r w:rsidRPr="00DB3685">
        <w:rPr>
          <w:rFonts w:asciiTheme="minorHAnsi" w:hAnsiTheme="minorHAnsi" w:cstheme="minorHAnsi"/>
          <w:sz w:val="22"/>
        </w:rPr>
        <w:t>Analyse de la situation et des besoins concernant le développement de systèmes nationaux de surveillance des rayonnements (système d'alerte anticipée, etc.)</w:t>
      </w:r>
    </w:p>
    <w:p w14:paraId="35B88DB7" w14:textId="77777777" w:rsidR="006C7BE3" w:rsidRPr="00DB3685" w:rsidRDefault="006C7BE3" w:rsidP="006C7BE3">
      <w:pPr>
        <w:numPr>
          <w:ilvl w:val="0"/>
          <w:numId w:val="48"/>
        </w:numPr>
        <w:spacing w:after="160" w:line="256" w:lineRule="auto"/>
        <w:rPr>
          <w:rFonts w:asciiTheme="minorHAnsi" w:hAnsiTheme="minorHAnsi" w:cstheme="minorHAnsi"/>
          <w:sz w:val="22"/>
        </w:rPr>
      </w:pPr>
      <w:r w:rsidRPr="00DB3685">
        <w:rPr>
          <w:rFonts w:asciiTheme="minorHAnsi" w:hAnsiTheme="minorHAnsi" w:cstheme="minorHAnsi"/>
          <w:sz w:val="22"/>
        </w:rPr>
        <w:t>Formation</w:t>
      </w:r>
    </w:p>
    <w:p w14:paraId="109B2B86" w14:textId="77777777" w:rsidR="00F67012" w:rsidRPr="00966F8F" w:rsidRDefault="00F67012" w:rsidP="00BF1DCD">
      <w:pPr>
        <w:pStyle w:val="Paragraphedeliste2"/>
        <w:spacing w:line="276" w:lineRule="auto"/>
        <w:ind w:left="0"/>
        <w:contextualSpacing/>
        <w:jc w:val="both"/>
        <w:rPr>
          <w:rFonts w:ascii="Calibri" w:hAnsi="Calibri"/>
          <w:sz w:val="22"/>
          <w:szCs w:val="22"/>
        </w:rPr>
      </w:pPr>
    </w:p>
    <w:p w14:paraId="2BE17D43" w14:textId="77777777" w:rsidR="00965444" w:rsidRPr="00D15F32" w:rsidRDefault="00965444" w:rsidP="00AF63C1">
      <w:pPr>
        <w:numPr>
          <w:ilvl w:val="1"/>
          <w:numId w:val="14"/>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p>
    <w:p w14:paraId="048F350E" w14:textId="77777777" w:rsidR="00965444" w:rsidRDefault="00965444" w:rsidP="009236DE">
      <w:pPr>
        <w:jc w:val="both"/>
        <w:rPr>
          <w:rFonts w:ascii="Calibri" w:eastAsia="Arial Unicode MS" w:hAnsi="Calibri" w:cs="Arial Unicode MS"/>
          <w:b/>
          <w:sz w:val="22"/>
          <w:szCs w:val="22"/>
          <w:lang w:eastAsia="en-US"/>
        </w:rPr>
      </w:pPr>
    </w:p>
    <w:tbl>
      <w:tblPr>
        <w:tblStyle w:val="Grilledutableau"/>
        <w:tblW w:w="0" w:type="auto"/>
        <w:tblInd w:w="360" w:type="dxa"/>
        <w:tblLook w:val="04A0" w:firstRow="1" w:lastRow="0" w:firstColumn="1" w:lastColumn="0" w:noHBand="0" w:noVBand="1"/>
      </w:tblPr>
      <w:tblGrid>
        <w:gridCol w:w="5872"/>
        <w:gridCol w:w="2830"/>
      </w:tblGrid>
      <w:tr w:rsidR="000630CD" w14:paraId="06F4BD3E" w14:textId="77777777" w:rsidTr="000630CD">
        <w:tc>
          <w:tcPr>
            <w:tcW w:w="5872" w:type="dxa"/>
          </w:tcPr>
          <w:p w14:paraId="00060501" w14:textId="5D8D1EDB" w:rsidR="000630CD" w:rsidRDefault="000630CD" w:rsidP="000630CD">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Livrables</w:t>
            </w:r>
          </w:p>
        </w:tc>
        <w:tc>
          <w:tcPr>
            <w:tcW w:w="2830" w:type="dxa"/>
          </w:tcPr>
          <w:p w14:paraId="01FAA0BA" w14:textId="09E5990B" w:rsidR="000630CD" w:rsidRDefault="000630CD" w:rsidP="000630CD">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Date de livraison</w:t>
            </w:r>
          </w:p>
        </w:tc>
      </w:tr>
      <w:tr w:rsidR="000630CD" w14:paraId="2FBD2C5B" w14:textId="77777777" w:rsidTr="000630CD">
        <w:tc>
          <w:tcPr>
            <w:tcW w:w="5872" w:type="dxa"/>
          </w:tcPr>
          <w:p w14:paraId="50BAB746" w14:textId="4168D1B5" w:rsidR="000630CD" w:rsidRPr="000630CD" w:rsidRDefault="00066835" w:rsidP="005A0EBB">
            <w:pPr>
              <w:pStyle w:val="Paragraphedeliste"/>
              <w:numPr>
                <w:ilvl w:val="0"/>
                <w:numId w:val="4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Documents ou supports de présentation</w:t>
            </w:r>
            <w:r w:rsidR="005A0EBB">
              <w:rPr>
                <w:rFonts w:ascii="Calibri" w:eastAsia="Arial Unicode MS" w:hAnsi="Calibri" w:cs="Arial Unicode MS"/>
                <w:sz w:val="22"/>
                <w:szCs w:val="22"/>
                <w:lang w:eastAsia="en-US"/>
              </w:rPr>
              <w:t xml:space="preserve"> </w:t>
            </w:r>
          </w:p>
        </w:tc>
        <w:tc>
          <w:tcPr>
            <w:tcW w:w="2830" w:type="dxa"/>
          </w:tcPr>
          <w:p w14:paraId="2615DC9D" w14:textId="11E784E8" w:rsidR="000630CD" w:rsidRDefault="000630CD" w:rsidP="00066835">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T0 + </w:t>
            </w:r>
            <w:r w:rsidR="00066835">
              <w:rPr>
                <w:rFonts w:ascii="Calibri" w:eastAsia="Arial Unicode MS" w:hAnsi="Calibri" w:cs="Arial Unicode MS"/>
                <w:sz w:val="22"/>
                <w:szCs w:val="22"/>
                <w:lang w:eastAsia="en-US"/>
              </w:rPr>
              <w:t>07</w:t>
            </w:r>
            <w:r>
              <w:rPr>
                <w:rFonts w:ascii="Calibri" w:eastAsia="Arial Unicode MS" w:hAnsi="Calibri" w:cs="Arial Unicode MS"/>
                <w:sz w:val="22"/>
                <w:szCs w:val="22"/>
                <w:lang w:eastAsia="en-US"/>
              </w:rPr>
              <w:t xml:space="preserve"> jours</w:t>
            </w:r>
          </w:p>
        </w:tc>
      </w:tr>
      <w:tr w:rsidR="00066835" w14:paraId="3A55F80D" w14:textId="77777777" w:rsidTr="000630CD">
        <w:tc>
          <w:tcPr>
            <w:tcW w:w="5872" w:type="dxa"/>
          </w:tcPr>
          <w:p w14:paraId="6BEF692E" w14:textId="11E6F1B1" w:rsidR="00066835" w:rsidRPr="000630CD" w:rsidRDefault="00066835" w:rsidP="00066835">
            <w:pPr>
              <w:pStyle w:val="Paragraphedeliste"/>
              <w:numPr>
                <w:ilvl w:val="0"/>
                <w:numId w:val="4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Liste de présence</w:t>
            </w:r>
          </w:p>
        </w:tc>
        <w:tc>
          <w:tcPr>
            <w:tcW w:w="2830" w:type="dxa"/>
          </w:tcPr>
          <w:p w14:paraId="5AA30079" w14:textId="0D2508DC" w:rsidR="00066835" w:rsidRDefault="00066835" w:rsidP="00066835">
            <w:pPr>
              <w:jc w:val="both"/>
              <w:rPr>
                <w:rFonts w:ascii="Calibri" w:eastAsia="Arial Unicode MS" w:hAnsi="Calibri" w:cs="Arial Unicode MS"/>
                <w:sz w:val="22"/>
                <w:szCs w:val="22"/>
                <w:lang w:eastAsia="en-US"/>
              </w:rPr>
            </w:pPr>
            <w:r w:rsidRPr="00344345">
              <w:rPr>
                <w:rFonts w:ascii="Calibri" w:eastAsia="Arial Unicode MS" w:hAnsi="Calibri" w:cs="Arial Unicode MS"/>
                <w:sz w:val="22"/>
                <w:szCs w:val="22"/>
                <w:lang w:eastAsia="en-US"/>
              </w:rPr>
              <w:t>T0 + 07 jours</w:t>
            </w:r>
          </w:p>
        </w:tc>
      </w:tr>
      <w:tr w:rsidR="00066835" w14:paraId="743FEB43" w14:textId="77777777" w:rsidTr="005443AB">
        <w:tc>
          <w:tcPr>
            <w:tcW w:w="5872" w:type="dxa"/>
          </w:tcPr>
          <w:p w14:paraId="406BB8BC" w14:textId="17E04BBA" w:rsidR="00066835" w:rsidRDefault="00066835" w:rsidP="00066835">
            <w:pPr>
              <w:pStyle w:val="Paragraphedeliste"/>
              <w:numPr>
                <w:ilvl w:val="0"/>
                <w:numId w:val="4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Photos de l’activité  </w:t>
            </w:r>
          </w:p>
        </w:tc>
        <w:tc>
          <w:tcPr>
            <w:tcW w:w="2830" w:type="dxa"/>
          </w:tcPr>
          <w:p w14:paraId="7F9AE494" w14:textId="65C8226D" w:rsidR="00066835" w:rsidRDefault="00066835" w:rsidP="00066835">
            <w:pPr>
              <w:jc w:val="both"/>
              <w:rPr>
                <w:rFonts w:ascii="Calibri" w:eastAsia="Arial Unicode MS" w:hAnsi="Calibri" w:cs="Arial Unicode MS"/>
                <w:sz w:val="22"/>
                <w:szCs w:val="22"/>
                <w:lang w:eastAsia="en-US"/>
              </w:rPr>
            </w:pPr>
            <w:r w:rsidRPr="00344345">
              <w:rPr>
                <w:rFonts w:ascii="Calibri" w:eastAsia="Arial Unicode MS" w:hAnsi="Calibri" w:cs="Arial Unicode MS"/>
                <w:sz w:val="22"/>
                <w:szCs w:val="22"/>
                <w:lang w:eastAsia="en-US"/>
              </w:rPr>
              <w:t>T0 + 07 jours</w:t>
            </w:r>
          </w:p>
        </w:tc>
      </w:tr>
      <w:tr w:rsidR="00066835" w14:paraId="750EF7E0" w14:textId="77777777" w:rsidTr="005443AB">
        <w:tc>
          <w:tcPr>
            <w:tcW w:w="5872" w:type="dxa"/>
          </w:tcPr>
          <w:p w14:paraId="53315FF3" w14:textId="259E90F6" w:rsidR="00066835" w:rsidRDefault="00066835" w:rsidP="00066835">
            <w:pPr>
              <w:pStyle w:val="Paragraphedeliste"/>
              <w:numPr>
                <w:ilvl w:val="0"/>
                <w:numId w:val="4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Rapport d’activité </w:t>
            </w:r>
          </w:p>
        </w:tc>
        <w:tc>
          <w:tcPr>
            <w:tcW w:w="2830" w:type="dxa"/>
          </w:tcPr>
          <w:p w14:paraId="283ADBCC" w14:textId="58A29DA9" w:rsidR="00066835" w:rsidRDefault="00066835" w:rsidP="00066835">
            <w:pPr>
              <w:jc w:val="both"/>
              <w:rPr>
                <w:rFonts w:ascii="Calibri" w:eastAsia="Arial Unicode MS" w:hAnsi="Calibri" w:cs="Arial Unicode MS"/>
                <w:sz w:val="22"/>
                <w:szCs w:val="22"/>
                <w:lang w:eastAsia="en-US"/>
              </w:rPr>
            </w:pPr>
            <w:r w:rsidRPr="00344345">
              <w:rPr>
                <w:rFonts w:ascii="Calibri" w:eastAsia="Arial Unicode MS" w:hAnsi="Calibri" w:cs="Arial Unicode MS"/>
                <w:sz w:val="22"/>
                <w:szCs w:val="22"/>
                <w:lang w:eastAsia="en-US"/>
              </w:rPr>
              <w:t>T0 + 07 jours</w:t>
            </w:r>
          </w:p>
        </w:tc>
      </w:tr>
      <w:tr w:rsidR="00DB3685" w14:paraId="3291A498" w14:textId="77777777" w:rsidTr="005443AB">
        <w:tc>
          <w:tcPr>
            <w:tcW w:w="5872" w:type="dxa"/>
          </w:tcPr>
          <w:p w14:paraId="1E7BE2C2" w14:textId="69EB0E26" w:rsidR="00DB3685" w:rsidRDefault="00DB3685" w:rsidP="00066835">
            <w:pPr>
              <w:pStyle w:val="Paragraphedeliste"/>
              <w:numPr>
                <w:ilvl w:val="0"/>
                <w:numId w:val="43"/>
              </w:num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Rédaction du progress report pour la composante 5</w:t>
            </w:r>
          </w:p>
        </w:tc>
        <w:tc>
          <w:tcPr>
            <w:tcW w:w="2830" w:type="dxa"/>
          </w:tcPr>
          <w:p w14:paraId="11B6F2EA" w14:textId="798ABDF7" w:rsidR="00DB3685" w:rsidRPr="00344345" w:rsidRDefault="00DB3685" w:rsidP="00066835">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annuel</w:t>
            </w:r>
          </w:p>
        </w:tc>
      </w:tr>
    </w:tbl>
    <w:p w14:paraId="068BBA85" w14:textId="6F49E162" w:rsidR="00AF63C1" w:rsidRDefault="00AF63C1" w:rsidP="00E61983">
      <w:pPr>
        <w:jc w:val="both"/>
        <w:rPr>
          <w:rFonts w:ascii="Calibri" w:eastAsia="Arial Unicode MS" w:hAnsi="Calibri" w:cs="Arial Unicode MS"/>
          <w:b/>
          <w:sz w:val="22"/>
          <w:szCs w:val="22"/>
          <w:lang w:eastAsia="en-US"/>
        </w:rPr>
      </w:pPr>
    </w:p>
    <w:p w14:paraId="5FADFEFF" w14:textId="77777777" w:rsidR="00002DEF" w:rsidRDefault="00002DEF" w:rsidP="00E61983">
      <w:pPr>
        <w:jc w:val="both"/>
        <w:rPr>
          <w:rFonts w:ascii="Calibri" w:eastAsia="Arial Unicode MS" w:hAnsi="Calibri" w:cs="Arial Unicode MS"/>
          <w:sz w:val="22"/>
          <w:szCs w:val="22"/>
          <w:lang w:eastAsia="en-US"/>
        </w:rPr>
      </w:pPr>
      <w:r w:rsidRPr="00BE5DC1">
        <w:rPr>
          <w:rFonts w:ascii="Calibri" w:eastAsia="Arial Unicode MS" w:hAnsi="Calibri" w:cs="Arial Unicode MS"/>
          <w:sz w:val="22"/>
          <w:szCs w:val="22"/>
          <w:lang w:eastAsia="en-US"/>
        </w:rPr>
        <w:t>Les délais de livraison précisées ci-dessous courent à compter de l’émission de chaque bon de commande.</w:t>
      </w:r>
    </w:p>
    <w:p w14:paraId="0F901347" w14:textId="77777777" w:rsidR="00002DEF" w:rsidRDefault="00002DEF" w:rsidP="00E61983">
      <w:pPr>
        <w:jc w:val="both"/>
        <w:rPr>
          <w:rFonts w:ascii="Calibri" w:eastAsia="Arial Unicode MS" w:hAnsi="Calibri" w:cs="Arial Unicode MS"/>
          <w:sz w:val="22"/>
          <w:szCs w:val="22"/>
          <w:lang w:eastAsia="en-US"/>
        </w:rPr>
      </w:pPr>
    </w:p>
    <w:p w14:paraId="00585B6D" w14:textId="5C19835B" w:rsidR="00002DEF" w:rsidRPr="00BE5DC1" w:rsidRDefault="00002DEF" w:rsidP="00E61983">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Expertise France, se réserve la possibilité de passer des marchés subséquents afin de préciser de nouvelles prestations, et des nouveaux livrables. Les prescriptions techniques, délais, modalités et/ou niveaux d’exigences seront précisés dans chaque marché</w:t>
      </w:r>
      <w:r w:rsidRPr="00002DEF">
        <w:rPr>
          <w:rFonts w:ascii="Calibri" w:eastAsia="Arial Unicode MS" w:hAnsi="Calibri" w:cs="Arial Unicode MS"/>
          <w:sz w:val="22"/>
          <w:szCs w:val="22"/>
          <w:lang w:eastAsia="en-US"/>
        </w:rPr>
        <w:t xml:space="preserve"> subséquent</w:t>
      </w:r>
      <w:r>
        <w:rPr>
          <w:rFonts w:ascii="Calibri" w:eastAsia="Arial Unicode MS" w:hAnsi="Calibri" w:cs="Arial Unicode MS"/>
          <w:sz w:val="22"/>
          <w:szCs w:val="22"/>
          <w:lang w:eastAsia="en-US"/>
        </w:rPr>
        <w:t xml:space="preserve">. </w:t>
      </w:r>
    </w:p>
    <w:p w14:paraId="26CB878E" w14:textId="77777777" w:rsidR="00002DEF" w:rsidRDefault="00002DEF" w:rsidP="00E61983">
      <w:pPr>
        <w:jc w:val="both"/>
        <w:rPr>
          <w:rFonts w:ascii="Calibri" w:eastAsia="Arial Unicode MS" w:hAnsi="Calibri" w:cs="Arial Unicode MS"/>
          <w:b/>
          <w:sz w:val="22"/>
          <w:szCs w:val="22"/>
          <w:lang w:eastAsia="en-US"/>
        </w:rPr>
      </w:pPr>
    </w:p>
    <w:p w14:paraId="397F2D33" w14:textId="77777777" w:rsidR="00965444" w:rsidRPr="009236DE" w:rsidRDefault="00965444" w:rsidP="009236DE">
      <w:pPr>
        <w:numPr>
          <w:ilvl w:val="1"/>
          <w:numId w:val="14"/>
        </w:numPr>
        <w:tabs>
          <w:tab w:val="clear" w:pos="1440"/>
          <w:tab w:val="num" w:pos="900"/>
        </w:tabs>
        <w:ind w:left="900"/>
        <w:jc w:val="both"/>
        <w:rPr>
          <w:rFonts w:ascii="Calibri" w:eastAsia="Arial Unicode MS" w:hAnsi="Calibri" w:cs="Arial Unicode MS"/>
          <w:b/>
          <w:sz w:val="22"/>
          <w:szCs w:val="22"/>
          <w:lang w:eastAsia="en-US"/>
        </w:rPr>
      </w:pPr>
      <w:r w:rsidRPr="009236DE">
        <w:rPr>
          <w:rFonts w:ascii="Calibri" w:eastAsia="Arial Unicode MS" w:hAnsi="Calibri" w:cs="Arial Unicode MS"/>
          <w:b/>
          <w:sz w:val="22"/>
          <w:szCs w:val="22"/>
          <w:lang w:eastAsia="en-US"/>
        </w:rPr>
        <w:t xml:space="preserve">Coordination </w:t>
      </w:r>
    </w:p>
    <w:p w14:paraId="5EF5CFCC" w14:textId="77777777" w:rsidR="00965444" w:rsidRPr="009724D1" w:rsidRDefault="00965444" w:rsidP="009236DE">
      <w:pPr>
        <w:jc w:val="both"/>
        <w:rPr>
          <w:rFonts w:ascii="Calibri" w:hAnsi="Calibri"/>
          <w:sz w:val="22"/>
          <w:szCs w:val="22"/>
          <w:highlight w:val="cyan"/>
        </w:rPr>
      </w:pPr>
    </w:p>
    <w:p w14:paraId="1731AFE3" w14:textId="1F9AEE2D" w:rsidR="001C6D6C" w:rsidRDefault="009236DE" w:rsidP="009236DE">
      <w:pPr>
        <w:jc w:val="both"/>
        <w:rPr>
          <w:rFonts w:ascii="Calibri" w:hAnsi="Calibri"/>
          <w:sz w:val="22"/>
          <w:szCs w:val="22"/>
        </w:rPr>
      </w:pPr>
      <w:r w:rsidRPr="00966F8F">
        <w:rPr>
          <w:rFonts w:ascii="Calibri" w:hAnsi="Calibri"/>
          <w:sz w:val="22"/>
          <w:szCs w:val="22"/>
        </w:rPr>
        <w:t>L</w:t>
      </w:r>
      <w:r w:rsidR="00EF6139">
        <w:rPr>
          <w:rFonts w:ascii="Calibri" w:hAnsi="Calibri"/>
          <w:sz w:val="22"/>
          <w:szCs w:val="22"/>
        </w:rPr>
        <w:t>e prestataire désignera un interlocuteur unique pour la mise en œuvre de projet.</w:t>
      </w:r>
    </w:p>
    <w:p w14:paraId="15B00772" w14:textId="27EF4902" w:rsidR="00EF6139" w:rsidRDefault="006B5831" w:rsidP="009236DE">
      <w:pPr>
        <w:jc w:val="both"/>
        <w:rPr>
          <w:rFonts w:ascii="Calibri" w:hAnsi="Calibri"/>
          <w:sz w:val="22"/>
          <w:szCs w:val="22"/>
        </w:rPr>
      </w:pPr>
      <w:r>
        <w:rPr>
          <w:rFonts w:ascii="Calibri" w:hAnsi="Calibri"/>
          <w:sz w:val="22"/>
          <w:szCs w:val="22"/>
        </w:rPr>
        <w:t>M</w:t>
      </w:r>
      <w:r w:rsidR="00CA05A7">
        <w:rPr>
          <w:rFonts w:ascii="Calibri" w:hAnsi="Calibri"/>
          <w:sz w:val="22"/>
          <w:szCs w:val="22"/>
        </w:rPr>
        <w:t>me BOUCHEREAU</w:t>
      </w:r>
      <w:r>
        <w:rPr>
          <w:rFonts w:ascii="Calibri" w:hAnsi="Calibri"/>
          <w:sz w:val="22"/>
          <w:szCs w:val="22"/>
        </w:rPr>
        <w:t xml:space="preserve">, du département </w:t>
      </w:r>
      <w:r w:rsidR="00CA05A7">
        <w:rPr>
          <w:rFonts w:ascii="Calibri" w:hAnsi="Calibri"/>
          <w:sz w:val="22"/>
          <w:szCs w:val="22"/>
        </w:rPr>
        <w:t>Paix, Stabilité et Sécurité</w:t>
      </w:r>
      <w:r>
        <w:rPr>
          <w:rFonts w:ascii="Calibri" w:hAnsi="Calibri"/>
          <w:sz w:val="22"/>
          <w:szCs w:val="22"/>
        </w:rPr>
        <w:t xml:space="preserve"> sera l’interlocuteur unique du prestataire pour Expertise France</w:t>
      </w:r>
    </w:p>
    <w:p w14:paraId="0B09E6EA" w14:textId="58C95F98" w:rsidR="006B5831" w:rsidRDefault="006B5831" w:rsidP="009236DE">
      <w:pPr>
        <w:jc w:val="both"/>
        <w:rPr>
          <w:rFonts w:ascii="Calibri" w:hAnsi="Calibri"/>
          <w:sz w:val="22"/>
          <w:szCs w:val="22"/>
        </w:rPr>
      </w:pPr>
      <w:r>
        <w:rPr>
          <w:rFonts w:ascii="Calibri" w:hAnsi="Calibri"/>
          <w:sz w:val="22"/>
          <w:szCs w:val="22"/>
        </w:rPr>
        <w:t>Téléphone :</w:t>
      </w:r>
      <w:r w:rsidR="00CA05A7">
        <w:rPr>
          <w:rFonts w:ascii="Calibri" w:hAnsi="Calibri"/>
          <w:sz w:val="22"/>
          <w:szCs w:val="22"/>
        </w:rPr>
        <w:t xml:space="preserve"> +33 6 11 68 54 09</w:t>
      </w:r>
    </w:p>
    <w:p w14:paraId="332108AF" w14:textId="54FC8269" w:rsidR="006B5831" w:rsidRDefault="006B5831" w:rsidP="009236DE">
      <w:pPr>
        <w:jc w:val="both"/>
        <w:rPr>
          <w:rFonts w:ascii="Calibri" w:hAnsi="Calibri"/>
          <w:sz w:val="22"/>
          <w:szCs w:val="22"/>
        </w:rPr>
      </w:pPr>
      <w:r>
        <w:rPr>
          <w:rFonts w:ascii="Calibri" w:hAnsi="Calibri"/>
          <w:sz w:val="22"/>
          <w:szCs w:val="22"/>
        </w:rPr>
        <w:t>Courriel :</w:t>
      </w:r>
      <w:r w:rsidR="00CA05A7">
        <w:rPr>
          <w:rFonts w:ascii="Calibri" w:hAnsi="Calibri"/>
          <w:sz w:val="22"/>
          <w:szCs w:val="22"/>
        </w:rPr>
        <w:t xml:space="preserve"> claire.bouchereau@expertisefrance.fr</w:t>
      </w:r>
    </w:p>
    <w:p w14:paraId="43B2751D" w14:textId="77777777" w:rsidR="006B5831" w:rsidRDefault="006B5831" w:rsidP="009236DE">
      <w:pPr>
        <w:jc w:val="both"/>
        <w:rPr>
          <w:rFonts w:ascii="Calibri" w:hAnsi="Calibri"/>
          <w:sz w:val="22"/>
          <w:szCs w:val="22"/>
        </w:rPr>
      </w:pPr>
    </w:p>
    <w:p w14:paraId="1B49D83B" w14:textId="77777777" w:rsidR="000A4A82" w:rsidRDefault="000326B8" w:rsidP="009236DE">
      <w:pPr>
        <w:jc w:val="both"/>
        <w:rPr>
          <w:rFonts w:ascii="Calibri" w:hAnsi="Calibri"/>
          <w:sz w:val="22"/>
          <w:szCs w:val="22"/>
        </w:rPr>
      </w:pPr>
      <w:r>
        <w:rPr>
          <w:rFonts w:ascii="Calibri" w:hAnsi="Calibri"/>
          <w:sz w:val="22"/>
          <w:szCs w:val="22"/>
        </w:rPr>
        <w:t xml:space="preserve">Le team leader est responsable de la coordination et des aspects techniques des activités, il sera en coordination </w:t>
      </w:r>
      <w:r w:rsidR="00A0658C">
        <w:rPr>
          <w:rFonts w:ascii="Calibri" w:hAnsi="Calibri"/>
          <w:sz w:val="22"/>
          <w:szCs w:val="22"/>
        </w:rPr>
        <w:t>étroite</w:t>
      </w:r>
      <w:r>
        <w:rPr>
          <w:rFonts w:ascii="Calibri" w:hAnsi="Calibri"/>
          <w:sz w:val="22"/>
          <w:szCs w:val="22"/>
        </w:rPr>
        <w:t xml:space="preserve"> avec le </w:t>
      </w:r>
      <w:r w:rsidR="00A0658C">
        <w:rPr>
          <w:rFonts w:ascii="Calibri" w:hAnsi="Calibri"/>
          <w:sz w:val="22"/>
          <w:szCs w:val="22"/>
        </w:rPr>
        <w:t xml:space="preserve">chef de tâche de la composante </w:t>
      </w:r>
      <w:r>
        <w:rPr>
          <w:rFonts w:ascii="Calibri" w:hAnsi="Calibri"/>
          <w:sz w:val="22"/>
          <w:szCs w:val="22"/>
        </w:rPr>
        <w:t xml:space="preserve">5. </w:t>
      </w:r>
    </w:p>
    <w:p w14:paraId="3E562AA9" w14:textId="62CADB3F" w:rsidR="000A4A82" w:rsidRDefault="002128B3" w:rsidP="009236DE">
      <w:pPr>
        <w:jc w:val="both"/>
        <w:rPr>
          <w:rFonts w:ascii="Calibri" w:hAnsi="Calibri"/>
          <w:sz w:val="22"/>
          <w:szCs w:val="22"/>
        </w:rPr>
      </w:pPr>
      <w:r>
        <w:rPr>
          <w:rFonts w:ascii="Calibri" w:hAnsi="Calibri"/>
          <w:sz w:val="22"/>
          <w:szCs w:val="22"/>
        </w:rPr>
        <w:lastRenderedPageBreak/>
        <w:br/>
        <w:t>Le task leader sera en coordination constante avec la chargée de projet Expertise France pour les aspects logistiques et administratifs des activités.</w:t>
      </w:r>
    </w:p>
    <w:p w14:paraId="683544B8" w14:textId="1264C13E" w:rsidR="009236DE" w:rsidRDefault="00CA05A7" w:rsidP="009236DE">
      <w:pPr>
        <w:jc w:val="both"/>
        <w:rPr>
          <w:rFonts w:ascii="Calibri" w:hAnsi="Calibri"/>
          <w:sz w:val="22"/>
          <w:szCs w:val="22"/>
        </w:rPr>
      </w:pPr>
      <w:r>
        <w:rPr>
          <w:rFonts w:ascii="Calibri" w:hAnsi="Calibri"/>
          <w:sz w:val="22"/>
          <w:szCs w:val="22"/>
        </w:rPr>
        <w:br/>
      </w:r>
      <w:r w:rsidR="009236DE" w:rsidRPr="00F67012">
        <w:rPr>
          <w:rFonts w:ascii="Calibri" w:hAnsi="Calibri"/>
          <w:sz w:val="22"/>
          <w:szCs w:val="22"/>
        </w:rPr>
        <w:t xml:space="preserve">En outre, des échanges réguliers avec </w:t>
      </w:r>
      <w:r w:rsidR="002128B3">
        <w:rPr>
          <w:rFonts w:ascii="Calibri" w:hAnsi="Calibri"/>
          <w:sz w:val="22"/>
          <w:szCs w:val="22"/>
        </w:rPr>
        <w:t xml:space="preserve">l’équipe projet </w:t>
      </w:r>
      <w:r w:rsidR="009236DE" w:rsidRPr="00F67012">
        <w:rPr>
          <w:rFonts w:ascii="Calibri" w:hAnsi="Calibri"/>
          <w:sz w:val="22"/>
          <w:szCs w:val="22"/>
        </w:rPr>
        <w:t>seront à prévoir sur l’état d’avancement de</w:t>
      </w:r>
      <w:r w:rsidR="0076221F">
        <w:rPr>
          <w:rFonts w:ascii="Calibri" w:hAnsi="Calibri"/>
          <w:sz w:val="22"/>
          <w:szCs w:val="22"/>
        </w:rPr>
        <w:t>s</w:t>
      </w:r>
      <w:r w:rsidR="009236DE" w:rsidRPr="00F67012">
        <w:rPr>
          <w:rFonts w:ascii="Calibri" w:hAnsi="Calibri"/>
          <w:sz w:val="22"/>
          <w:szCs w:val="22"/>
        </w:rPr>
        <w:t xml:space="preserve"> mission</w:t>
      </w:r>
      <w:r w:rsidR="00257A40">
        <w:rPr>
          <w:rFonts w:ascii="Calibri" w:hAnsi="Calibri"/>
          <w:sz w:val="22"/>
          <w:szCs w:val="22"/>
        </w:rPr>
        <w:t>s</w:t>
      </w:r>
      <w:r w:rsidR="009236DE" w:rsidRPr="00F67012">
        <w:rPr>
          <w:rFonts w:ascii="Calibri" w:hAnsi="Calibri"/>
          <w:sz w:val="22"/>
          <w:szCs w:val="22"/>
        </w:rPr>
        <w:t xml:space="preserve"> et éventuellement les difficultés rencontrées.</w:t>
      </w:r>
    </w:p>
    <w:p w14:paraId="5DB63B0E" w14:textId="77777777" w:rsidR="005C491B" w:rsidRDefault="005C491B" w:rsidP="009236DE">
      <w:pPr>
        <w:jc w:val="both"/>
        <w:rPr>
          <w:rFonts w:ascii="Calibri" w:hAnsi="Calibri"/>
          <w:sz w:val="22"/>
          <w:szCs w:val="22"/>
        </w:rPr>
      </w:pPr>
    </w:p>
    <w:p w14:paraId="5DFAFC2C" w14:textId="77777777" w:rsidR="003A7507" w:rsidRPr="00D15F32" w:rsidRDefault="003A7507" w:rsidP="003A7507">
      <w:pPr>
        <w:rPr>
          <w:rFonts w:ascii="Calibri" w:hAnsi="Calibri"/>
          <w:sz w:val="22"/>
          <w:szCs w:val="22"/>
        </w:rPr>
      </w:pPr>
    </w:p>
    <w:p w14:paraId="00A8F97B" w14:textId="77777777" w:rsidR="003A7507" w:rsidRPr="00D15F32" w:rsidRDefault="003A7507" w:rsidP="003A7507">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D77A0D3" w14:textId="77777777" w:rsidR="003A7507" w:rsidRDefault="003A7507" w:rsidP="003A7507">
      <w:pPr>
        <w:rPr>
          <w:rFonts w:ascii="Calibri" w:hAnsi="Calibri"/>
          <w:sz w:val="22"/>
          <w:szCs w:val="22"/>
          <w:highlight w:val="cyan"/>
        </w:rPr>
      </w:pPr>
    </w:p>
    <w:p w14:paraId="2161A0E3" w14:textId="5C89823D" w:rsidR="003A7507" w:rsidRPr="00AF63C1" w:rsidRDefault="003A7507" w:rsidP="003A7507">
      <w:pPr>
        <w:numPr>
          <w:ilvl w:val="1"/>
          <w:numId w:val="14"/>
        </w:numPr>
        <w:tabs>
          <w:tab w:val="clear" w:pos="1440"/>
          <w:tab w:val="num" w:pos="900"/>
        </w:tabs>
        <w:ind w:left="900"/>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de mise en œuvre : </w:t>
      </w:r>
      <w:r w:rsidR="004901F0">
        <w:rPr>
          <w:rFonts w:ascii="Calibri" w:eastAsia="Arial Unicode MS" w:hAnsi="Calibri" w:cs="Arial Unicode MS"/>
          <w:b/>
          <w:sz w:val="22"/>
          <w:szCs w:val="22"/>
          <w:lang w:eastAsia="en-US"/>
        </w:rPr>
        <w:t>4</w:t>
      </w:r>
      <w:r w:rsidR="00002DEF">
        <w:rPr>
          <w:rFonts w:ascii="Calibri" w:eastAsia="Arial Unicode MS" w:hAnsi="Calibri" w:cs="Arial Unicode MS"/>
          <w:b/>
          <w:sz w:val="22"/>
          <w:szCs w:val="22"/>
          <w:lang w:eastAsia="en-US"/>
        </w:rPr>
        <w:t>4</w:t>
      </w:r>
      <w:r w:rsidR="004901F0">
        <w:rPr>
          <w:rFonts w:ascii="Calibri" w:eastAsia="Arial Unicode MS" w:hAnsi="Calibri" w:cs="Arial Unicode MS"/>
          <w:b/>
          <w:sz w:val="22"/>
          <w:szCs w:val="22"/>
          <w:lang w:eastAsia="en-US"/>
        </w:rPr>
        <w:t xml:space="preserve"> mois</w:t>
      </w:r>
    </w:p>
    <w:p w14:paraId="3965E893" w14:textId="77777777" w:rsidR="003A7507" w:rsidRPr="00AF63C1" w:rsidRDefault="003A7507" w:rsidP="003A7507">
      <w:pPr>
        <w:ind w:left="1080"/>
        <w:rPr>
          <w:rFonts w:ascii="Calibri" w:hAnsi="Calibri"/>
          <w:sz w:val="22"/>
          <w:szCs w:val="22"/>
        </w:rPr>
      </w:pPr>
    </w:p>
    <w:p w14:paraId="15982D84" w14:textId="614D428F" w:rsidR="003A7507" w:rsidRPr="00AC0DEF" w:rsidRDefault="003A7507" w:rsidP="003A7507">
      <w:pPr>
        <w:numPr>
          <w:ilvl w:val="1"/>
          <w:numId w:val="14"/>
        </w:numPr>
        <w:tabs>
          <w:tab w:val="clear" w:pos="1440"/>
          <w:tab w:val="num" w:pos="900"/>
        </w:tabs>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060146" w:rsidRPr="00AC0DEF">
        <w:rPr>
          <w:rFonts w:ascii="Calibri" w:eastAsia="Arial Unicode MS" w:hAnsi="Calibri" w:cs="Arial Unicode MS"/>
          <w:b/>
          <w:sz w:val="22"/>
          <w:szCs w:val="22"/>
          <w:lang w:eastAsia="en-US"/>
        </w:rPr>
        <w:t xml:space="preserve"> </w:t>
      </w:r>
      <w:r w:rsidR="00C7456A">
        <w:rPr>
          <w:rFonts w:ascii="Calibri" w:eastAsia="Arial Unicode MS" w:hAnsi="Calibri" w:cs="Arial Unicode MS"/>
          <w:b/>
          <w:sz w:val="22"/>
          <w:szCs w:val="22"/>
          <w:lang w:eastAsia="en-US"/>
        </w:rPr>
        <w:t>11</w:t>
      </w:r>
      <w:r w:rsidR="004901F0">
        <w:rPr>
          <w:rFonts w:ascii="Calibri" w:eastAsia="Arial Unicode MS" w:hAnsi="Calibri" w:cs="Arial Unicode MS"/>
          <w:b/>
          <w:sz w:val="22"/>
          <w:szCs w:val="22"/>
          <w:lang w:eastAsia="en-US"/>
        </w:rPr>
        <w:t>/0</w:t>
      </w:r>
      <w:r w:rsidR="000A4A82">
        <w:rPr>
          <w:rFonts w:ascii="Calibri" w:eastAsia="Arial Unicode MS" w:hAnsi="Calibri" w:cs="Arial Unicode MS"/>
          <w:b/>
          <w:sz w:val="22"/>
          <w:szCs w:val="22"/>
          <w:lang w:eastAsia="en-US"/>
        </w:rPr>
        <w:t>4</w:t>
      </w:r>
      <w:r w:rsidR="004901F0">
        <w:rPr>
          <w:rFonts w:ascii="Calibri" w:eastAsia="Arial Unicode MS" w:hAnsi="Calibri" w:cs="Arial Unicode MS"/>
          <w:b/>
          <w:sz w:val="22"/>
          <w:szCs w:val="22"/>
          <w:lang w:eastAsia="en-US"/>
        </w:rPr>
        <w:t>/2025</w:t>
      </w:r>
    </w:p>
    <w:p w14:paraId="0A16D9D4" w14:textId="77777777" w:rsidR="00AC0DEF" w:rsidRPr="00AC0DEF" w:rsidRDefault="00AC0DEF" w:rsidP="00AC0DEF">
      <w:pPr>
        <w:jc w:val="both"/>
        <w:rPr>
          <w:rFonts w:ascii="Calibri" w:hAnsi="Calibri"/>
          <w:sz w:val="22"/>
          <w:szCs w:val="22"/>
        </w:rPr>
      </w:pPr>
    </w:p>
    <w:p w14:paraId="4476555E" w14:textId="6015926A" w:rsidR="003A7507" w:rsidRPr="006B5831" w:rsidRDefault="003A7507" w:rsidP="00EA3F26">
      <w:pPr>
        <w:numPr>
          <w:ilvl w:val="1"/>
          <w:numId w:val="14"/>
        </w:numPr>
        <w:tabs>
          <w:tab w:val="clear" w:pos="1440"/>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sidR="004901F0">
        <w:rPr>
          <w:rFonts w:ascii="Calibri" w:eastAsia="Arial Unicode MS" w:hAnsi="Calibri" w:cs="Arial Unicode MS"/>
          <w:b/>
          <w:sz w:val="22"/>
          <w:szCs w:val="22"/>
          <w:lang w:eastAsia="en-US"/>
        </w:rPr>
        <w:t>10/12/2028</w:t>
      </w:r>
    </w:p>
    <w:p w14:paraId="68133FA5" w14:textId="77777777" w:rsidR="006B5831" w:rsidRDefault="006B5831" w:rsidP="006B5831">
      <w:pPr>
        <w:pStyle w:val="Paragraphedeliste"/>
        <w:rPr>
          <w:rFonts w:ascii="Calibri" w:hAnsi="Calibri"/>
          <w:sz w:val="22"/>
          <w:szCs w:val="22"/>
        </w:rPr>
      </w:pPr>
    </w:p>
    <w:p w14:paraId="7E6C9111" w14:textId="64072F85" w:rsidR="003A7507" w:rsidRPr="006B5831" w:rsidRDefault="003A7507" w:rsidP="00B46229">
      <w:pPr>
        <w:numPr>
          <w:ilvl w:val="1"/>
          <w:numId w:val="14"/>
        </w:numPr>
        <w:tabs>
          <w:tab w:val="clear" w:pos="1440"/>
          <w:tab w:val="num" w:pos="900"/>
        </w:tabs>
        <w:ind w:left="900"/>
        <w:jc w:val="both"/>
        <w:rPr>
          <w:rFonts w:ascii="Calibri" w:hAnsi="Calibri"/>
          <w:sz w:val="22"/>
          <w:szCs w:val="22"/>
        </w:rPr>
      </w:pPr>
      <w:r w:rsidRPr="00257A40">
        <w:rPr>
          <w:rFonts w:ascii="Calibri" w:eastAsia="Arial Unicode MS" w:hAnsi="Calibri" w:cs="Arial Unicode MS"/>
          <w:b/>
          <w:sz w:val="22"/>
          <w:szCs w:val="22"/>
          <w:lang w:eastAsia="en-US"/>
        </w:rPr>
        <w:t>Durée effective</w:t>
      </w:r>
      <w:r w:rsidR="00BB0137" w:rsidRPr="00257A40">
        <w:rPr>
          <w:rFonts w:ascii="Calibri" w:eastAsia="Arial Unicode MS" w:hAnsi="Calibri" w:cs="Arial Unicode MS"/>
          <w:b/>
          <w:sz w:val="22"/>
          <w:szCs w:val="22"/>
          <w:lang w:eastAsia="en-US"/>
        </w:rPr>
        <w:t xml:space="preserve"> par mission</w:t>
      </w:r>
      <w:r w:rsidRPr="00257A40">
        <w:rPr>
          <w:rFonts w:ascii="Calibri" w:eastAsia="Arial Unicode MS" w:hAnsi="Calibri" w:cs="Arial Unicode MS"/>
          <w:b/>
          <w:sz w:val="22"/>
          <w:szCs w:val="22"/>
          <w:lang w:eastAsia="en-US"/>
        </w:rPr>
        <w:t> :</w:t>
      </w:r>
      <w:r w:rsidR="004901F0">
        <w:rPr>
          <w:rFonts w:ascii="Calibri" w:eastAsia="Arial Unicode MS" w:hAnsi="Calibri" w:cs="Arial Unicode MS"/>
          <w:b/>
          <w:sz w:val="22"/>
          <w:szCs w:val="22"/>
          <w:lang w:eastAsia="en-US"/>
        </w:rPr>
        <w:t xml:space="preserve"> à définir</w:t>
      </w:r>
    </w:p>
    <w:p w14:paraId="05A36279" w14:textId="77777777" w:rsidR="006B5831" w:rsidRDefault="006B5831" w:rsidP="006B5831">
      <w:pPr>
        <w:pStyle w:val="Paragraphedeliste"/>
        <w:rPr>
          <w:rFonts w:ascii="Calibri" w:hAnsi="Calibri"/>
          <w:sz w:val="22"/>
          <w:szCs w:val="22"/>
        </w:rPr>
      </w:pPr>
    </w:p>
    <w:p w14:paraId="2606381B" w14:textId="6FC608A6" w:rsidR="003A7507" w:rsidRDefault="003A7507" w:rsidP="003A7507">
      <w:pPr>
        <w:numPr>
          <w:ilvl w:val="1"/>
          <w:numId w:val="14"/>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Planning/calendrier : </w:t>
      </w:r>
      <w:r w:rsidR="004901F0">
        <w:rPr>
          <w:rFonts w:ascii="Calibri" w:eastAsia="Arial Unicode MS" w:hAnsi="Calibri" w:cs="Arial Unicode MS"/>
          <w:b/>
          <w:sz w:val="22"/>
          <w:szCs w:val="22"/>
          <w:lang w:eastAsia="en-US"/>
        </w:rPr>
        <w:t>il sera confirmé annuellement lors du comité de pilotage</w:t>
      </w:r>
    </w:p>
    <w:p w14:paraId="6DF7CF53" w14:textId="77777777" w:rsidR="00DA1FA1" w:rsidRDefault="00DA1FA1" w:rsidP="00DA1FA1">
      <w:pPr>
        <w:pStyle w:val="Paragraphedeliste"/>
        <w:rPr>
          <w:rFonts w:ascii="Calibri" w:eastAsia="Arial Unicode MS" w:hAnsi="Calibri" w:cs="Arial Unicode MS"/>
          <w:b/>
          <w:sz w:val="22"/>
          <w:szCs w:val="22"/>
          <w:lang w:eastAsia="en-US"/>
        </w:rPr>
      </w:pPr>
    </w:p>
    <w:p w14:paraId="57A33242" w14:textId="0B7A32A3" w:rsidR="003A7507" w:rsidRPr="00C7456A" w:rsidRDefault="00DA1FA1" w:rsidP="00BE5DC1">
      <w:pPr>
        <w:numPr>
          <w:ilvl w:val="1"/>
          <w:numId w:val="14"/>
        </w:numPr>
        <w:tabs>
          <w:tab w:val="clear" w:pos="1440"/>
          <w:tab w:val="num" w:pos="900"/>
        </w:tabs>
        <w:ind w:left="900"/>
        <w:jc w:val="both"/>
        <w:rPr>
          <w:rFonts w:ascii="Calibri" w:hAnsi="Calibri"/>
          <w:sz w:val="22"/>
          <w:szCs w:val="22"/>
        </w:rPr>
      </w:pPr>
      <w:r w:rsidRPr="00C7456A">
        <w:rPr>
          <w:rFonts w:ascii="Calibri" w:eastAsia="Arial Unicode MS" w:hAnsi="Calibri" w:cs="Arial Unicode MS"/>
          <w:b/>
          <w:sz w:val="22"/>
          <w:szCs w:val="22"/>
          <w:lang w:eastAsia="en-US"/>
        </w:rPr>
        <w:t xml:space="preserve">Nombre de jours d’expertise : 266 jours </w:t>
      </w:r>
    </w:p>
    <w:p w14:paraId="0011CEB2" w14:textId="77777777" w:rsidR="00AC0DEF" w:rsidRDefault="00AC0DEF" w:rsidP="003A7507">
      <w:pPr>
        <w:rPr>
          <w:rFonts w:ascii="Calibri" w:hAnsi="Calibri"/>
          <w:b/>
          <w:sz w:val="22"/>
          <w:szCs w:val="22"/>
          <w:u w:val="single"/>
        </w:rPr>
      </w:pPr>
    </w:p>
    <w:p w14:paraId="149B0105" w14:textId="77777777" w:rsidR="003A0700" w:rsidRPr="00D15F32" w:rsidRDefault="003A0700" w:rsidP="001D27F6">
      <w:pPr>
        <w:rPr>
          <w:rFonts w:ascii="Calibri" w:hAnsi="Calibri"/>
          <w:sz w:val="22"/>
          <w:szCs w:val="22"/>
        </w:rPr>
      </w:pPr>
    </w:p>
    <w:p w14:paraId="1982EB1F" w14:textId="7C6CF04B" w:rsidR="001D27F6" w:rsidRPr="00D15F32" w:rsidRDefault="0047117E" w:rsidP="00161C5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p>
    <w:p w14:paraId="4E82B09E" w14:textId="77777777" w:rsidR="001441C8" w:rsidRPr="00D15F32" w:rsidRDefault="001441C8" w:rsidP="00C85939">
      <w:pPr>
        <w:ind w:left="540"/>
        <w:jc w:val="both"/>
        <w:rPr>
          <w:rFonts w:ascii="Calibri" w:eastAsia="Arial Unicode MS" w:hAnsi="Calibri" w:cs="Arial Unicode MS"/>
          <w:b/>
          <w:sz w:val="22"/>
          <w:szCs w:val="22"/>
          <w:lang w:eastAsia="en-US"/>
        </w:rPr>
      </w:pPr>
    </w:p>
    <w:p w14:paraId="56FF0DA7" w14:textId="77777777" w:rsidR="003A7185" w:rsidRPr="00D15F32" w:rsidRDefault="003A7185" w:rsidP="00C85939">
      <w:pPr>
        <w:jc w:val="both"/>
        <w:rPr>
          <w:rFonts w:ascii="Calibri" w:eastAsia="Arial Unicode MS" w:hAnsi="Calibri" w:cs="Arial Unicode MS"/>
          <w:b/>
          <w:sz w:val="22"/>
          <w:szCs w:val="22"/>
          <w:lang w:eastAsia="en-US"/>
        </w:rPr>
      </w:pPr>
    </w:p>
    <w:p w14:paraId="11BBB708" w14:textId="2BB66D36" w:rsidR="003A7185" w:rsidRPr="00D15F32" w:rsidRDefault="00B66BE6" w:rsidP="00182A64">
      <w:pPr>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Profil d</w:t>
      </w:r>
      <w:r w:rsidR="00C90734">
        <w:rPr>
          <w:rFonts w:ascii="Calibri" w:eastAsia="Arial Unicode MS" w:hAnsi="Calibri" w:cs="Arial Unicode MS"/>
          <w:b/>
          <w:sz w:val="22"/>
          <w:szCs w:val="22"/>
          <w:lang w:eastAsia="en-US"/>
        </w:rPr>
        <w:t>e l</w:t>
      </w:r>
      <w:r w:rsidRPr="00D15F32">
        <w:rPr>
          <w:rFonts w:ascii="Calibri" w:eastAsia="Arial Unicode MS" w:hAnsi="Calibri" w:cs="Arial Unicode MS"/>
          <w:b/>
          <w:sz w:val="22"/>
          <w:szCs w:val="22"/>
          <w:lang w:eastAsia="en-US"/>
        </w:rPr>
        <w:t>’expert</w:t>
      </w:r>
      <w:r w:rsidR="00182A64">
        <w:rPr>
          <w:rFonts w:ascii="Calibri" w:eastAsia="Arial Unicode MS" w:hAnsi="Calibri" w:cs="Arial Unicode MS"/>
          <w:b/>
          <w:sz w:val="22"/>
          <w:szCs w:val="22"/>
          <w:lang w:eastAsia="en-US"/>
        </w:rPr>
        <w:t>ise</w:t>
      </w:r>
      <w:r w:rsidR="00C90734">
        <w:rPr>
          <w:rFonts w:ascii="Calibri" w:eastAsia="Arial Unicode MS" w:hAnsi="Calibri" w:cs="Arial Unicode MS"/>
          <w:b/>
          <w:sz w:val="22"/>
          <w:szCs w:val="22"/>
          <w:lang w:eastAsia="en-US"/>
        </w:rPr>
        <w:t xml:space="preserve"> </w:t>
      </w:r>
      <w:r w:rsidR="00647C95">
        <w:rPr>
          <w:rFonts w:ascii="Calibri" w:eastAsia="Arial Unicode MS" w:hAnsi="Calibri" w:cs="Arial Unicode MS"/>
          <w:b/>
          <w:sz w:val="22"/>
          <w:szCs w:val="22"/>
          <w:lang w:eastAsia="en-US"/>
        </w:rPr>
        <w:t>attendue pour</w:t>
      </w:r>
      <w:r w:rsidR="00C90734">
        <w:rPr>
          <w:rFonts w:ascii="Calibri" w:eastAsia="Arial Unicode MS" w:hAnsi="Calibri" w:cs="Arial Unicode MS"/>
          <w:b/>
          <w:sz w:val="22"/>
          <w:szCs w:val="22"/>
          <w:lang w:eastAsia="en-US"/>
        </w:rPr>
        <w:t xml:space="preserve"> l’exécution du contrat</w:t>
      </w:r>
      <w:r w:rsidR="00647C95">
        <w:rPr>
          <w:rFonts w:ascii="Calibri" w:eastAsia="Arial Unicode MS" w:hAnsi="Calibri" w:cs="Arial Unicode MS"/>
          <w:b/>
          <w:sz w:val="22"/>
          <w:szCs w:val="22"/>
          <w:lang w:eastAsia="en-US"/>
        </w:rPr>
        <w:t> :</w:t>
      </w:r>
    </w:p>
    <w:p w14:paraId="69696EF1" w14:textId="77777777" w:rsidR="003A7185" w:rsidRDefault="003A7185" w:rsidP="00C85939">
      <w:pPr>
        <w:jc w:val="both"/>
        <w:rPr>
          <w:rFonts w:ascii="Calibri" w:hAnsi="Calibri"/>
          <w:sz w:val="22"/>
          <w:szCs w:val="22"/>
          <w:u w:val="single"/>
        </w:rPr>
      </w:pPr>
    </w:p>
    <w:p w14:paraId="0CEFDF66" w14:textId="77777777" w:rsidR="000B7D24" w:rsidRDefault="000B7D24" w:rsidP="000B7D24">
      <w:pPr>
        <w:jc w:val="both"/>
        <w:rPr>
          <w:rFonts w:ascii="Calibri" w:hAnsi="Calibri"/>
          <w:sz w:val="22"/>
          <w:szCs w:val="22"/>
        </w:rPr>
      </w:pPr>
    </w:p>
    <w:p w14:paraId="207755A1" w14:textId="77777777" w:rsidR="009236DE" w:rsidRPr="00966F8F" w:rsidRDefault="009236DE" w:rsidP="009236DE">
      <w:pPr>
        <w:numPr>
          <w:ilvl w:val="0"/>
          <w:numId w:val="35"/>
        </w:numPr>
        <w:tabs>
          <w:tab w:val="num" w:pos="720"/>
        </w:tabs>
        <w:jc w:val="both"/>
        <w:rPr>
          <w:rFonts w:ascii="Calibri" w:hAnsi="Calibri"/>
          <w:iCs/>
          <w:sz w:val="22"/>
          <w:szCs w:val="22"/>
          <w:u w:val="single"/>
        </w:rPr>
      </w:pPr>
      <w:r w:rsidRPr="00966F8F">
        <w:rPr>
          <w:rFonts w:ascii="Calibri" w:hAnsi="Calibri"/>
          <w:iCs/>
          <w:sz w:val="22"/>
          <w:szCs w:val="22"/>
          <w:u w:val="single"/>
        </w:rPr>
        <w:t>Expérience professionnelle générale</w:t>
      </w:r>
    </w:p>
    <w:p w14:paraId="50D80717" w14:textId="332F8777" w:rsidR="00F444BD" w:rsidRPr="00F444BD" w:rsidRDefault="00F444BD" w:rsidP="00F444BD">
      <w:pPr>
        <w:numPr>
          <w:ilvl w:val="0"/>
          <w:numId w:val="7"/>
        </w:numPr>
        <w:jc w:val="both"/>
        <w:rPr>
          <w:rFonts w:ascii="Calibri" w:hAnsi="Calibri"/>
          <w:sz w:val="22"/>
          <w:szCs w:val="22"/>
        </w:rPr>
      </w:pPr>
      <w:r w:rsidRPr="00F444BD">
        <w:rPr>
          <w:rFonts w:ascii="Calibri" w:hAnsi="Calibri"/>
          <w:sz w:val="22"/>
          <w:szCs w:val="22"/>
        </w:rPr>
        <w:t xml:space="preserve">Le </w:t>
      </w:r>
      <w:r w:rsidR="009452F3">
        <w:rPr>
          <w:rFonts w:ascii="Calibri" w:hAnsi="Calibri"/>
          <w:sz w:val="22"/>
          <w:szCs w:val="22"/>
        </w:rPr>
        <w:t>prestataire</w:t>
      </w:r>
      <w:r w:rsidRPr="00F444BD">
        <w:rPr>
          <w:rFonts w:ascii="Calibri" w:hAnsi="Calibri"/>
          <w:sz w:val="22"/>
          <w:szCs w:val="22"/>
        </w:rPr>
        <w:t xml:space="preserve"> doit disposer d'au moins quatre membres permanents du personnel expérimentés dans le domaine (1) du support technique aux autorités de sûreté nucléaire et à leurs organisations de soutien technique, et (2) de la gestion et de l'évaluation de la sûreté des installations nucléaires.</w:t>
      </w:r>
    </w:p>
    <w:p w14:paraId="0A94ED74" w14:textId="155A6DD6" w:rsidR="00F444BD" w:rsidRPr="00F444BD" w:rsidRDefault="00F444BD" w:rsidP="00F444BD">
      <w:pPr>
        <w:numPr>
          <w:ilvl w:val="0"/>
          <w:numId w:val="7"/>
        </w:numPr>
        <w:jc w:val="both"/>
        <w:rPr>
          <w:rFonts w:ascii="Calibri" w:hAnsi="Calibri"/>
          <w:sz w:val="22"/>
          <w:szCs w:val="22"/>
        </w:rPr>
      </w:pPr>
      <w:r w:rsidRPr="00F444BD">
        <w:rPr>
          <w:rFonts w:ascii="Calibri" w:hAnsi="Calibri"/>
          <w:sz w:val="22"/>
          <w:szCs w:val="22"/>
        </w:rPr>
        <w:t xml:space="preserve">Le </w:t>
      </w:r>
      <w:r w:rsidR="009452F3">
        <w:rPr>
          <w:rFonts w:ascii="Calibri" w:hAnsi="Calibri"/>
          <w:sz w:val="22"/>
          <w:szCs w:val="22"/>
        </w:rPr>
        <w:t>prestataire</w:t>
      </w:r>
      <w:r w:rsidRPr="00F444BD">
        <w:rPr>
          <w:rFonts w:ascii="Calibri" w:hAnsi="Calibri"/>
          <w:sz w:val="22"/>
          <w:szCs w:val="22"/>
        </w:rPr>
        <w:t xml:space="preserve"> doit avoir une représentation permanente dans au moins </w:t>
      </w:r>
      <w:r w:rsidR="009452F3">
        <w:rPr>
          <w:rFonts w:ascii="Calibri" w:hAnsi="Calibri"/>
          <w:sz w:val="22"/>
          <w:szCs w:val="22"/>
        </w:rPr>
        <w:t>quatre</w:t>
      </w:r>
      <w:r w:rsidRPr="00F444BD">
        <w:rPr>
          <w:rFonts w:ascii="Calibri" w:hAnsi="Calibri"/>
          <w:sz w:val="22"/>
          <w:szCs w:val="22"/>
        </w:rPr>
        <w:t xml:space="preserve"> des pays suivants : Afrique du Sud, Égypte, Ghana, Kenya, Maroc, Nigeria.</w:t>
      </w:r>
    </w:p>
    <w:p w14:paraId="0E66246E" w14:textId="36FCD6A3" w:rsidR="00F444BD" w:rsidRDefault="00F444BD" w:rsidP="00F444BD">
      <w:pPr>
        <w:numPr>
          <w:ilvl w:val="0"/>
          <w:numId w:val="7"/>
        </w:numPr>
        <w:jc w:val="both"/>
        <w:rPr>
          <w:rFonts w:ascii="Calibri" w:hAnsi="Calibri"/>
          <w:sz w:val="22"/>
          <w:szCs w:val="22"/>
        </w:rPr>
      </w:pPr>
      <w:r w:rsidRPr="00F444BD">
        <w:rPr>
          <w:rFonts w:ascii="Calibri" w:hAnsi="Calibri"/>
          <w:sz w:val="22"/>
          <w:szCs w:val="22"/>
        </w:rPr>
        <w:t xml:space="preserve">Le </w:t>
      </w:r>
      <w:r w:rsidR="009452F3">
        <w:rPr>
          <w:rFonts w:ascii="Calibri" w:hAnsi="Calibri"/>
          <w:sz w:val="22"/>
          <w:szCs w:val="22"/>
        </w:rPr>
        <w:t xml:space="preserve">prestataire </w:t>
      </w:r>
      <w:r w:rsidRPr="00F444BD">
        <w:rPr>
          <w:rFonts w:ascii="Calibri" w:hAnsi="Calibri"/>
          <w:sz w:val="22"/>
          <w:szCs w:val="22"/>
        </w:rPr>
        <w:t>doit disposer d’autorisations (ou accréditations, ou agrément</w:t>
      </w:r>
      <w:r w:rsidR="001E3610">
        <w:rPr>
          <w:rFonts w:ascii="Calibri" w:hAnsi="Calibri"/>
          <w:sz w:val="22"/>
          <w:szCs w:val="22"/>
        </w:rPr>
        <w:t>s</w:t>
      </w:r>
      <w:r w:rsidRPr="00F444BD">
        <w:rPr>
          <w:rFonts w:ascii="Calibri" w:hAnsi="Calibri"/>
          <w:sz w:val="22"/>
          <w:szCs w:val="22"/>
        </w:rPr>
        <w:t>) en cours de validité et délivrés par les autorités nationales compétentes pour la réalisation d’inspections d’équipements sous pression nucléaire et d’équipements de radiothérapie ou de médecine nucléaire.</w:t>
      </w:r>
    </w:p>
    <w:p w14:paraId="70A215F6" w14:textId="03A4302D" w:rsidR="009452F3" w:rsidRPr="00F444BD" w:rsidRDefault="009452F3" w:rsidP="00F444BD">
      <w:pPr>
        <w:numPr>
          <w:ilvl w:val="0"/>
          <w:numId w:val="7"/>
        </w:numPr>
        <w:jc w:val="both"/>
        <w:rPr>
          <w:rFonts w:ascii="Calibri" w:hAnsi="Calibri"/>
          <w:sz w:val="22"/>
          <w:szCs w:val="22"/>
        </w:rPr>
      </w:pPr>
      <w:r>
        <w:rPr>
          <w:rFonts w:ascii="Calibri" w:hAnsi="Calibri"/>
          <w:sz w:val="22"/>
          <w:szCs w:val="22"/>
        </w:rPr>
        <w:t>L</w:t>
      </w:r>
      <w:r w:rsidR="001E3610">
        <w:rPr>
          <w:rFonts w:ascii="Calibri" w:hAnsi="Calibri"/>
          <w:sz w:val="22"/>
          <w:szCs w:val="22"/>
        </w:rPr>
        <w:t>e</w:t>
      </w:r>
      <w:r w:rsidR="00BC6CBD">
        <w:rPr>
          <w:rFonts w:ascii="Calibri" w:hAnsi="Calibri"/>
          <w:sz w:val="22"/>
          <w:szCs w:val="22"/>
        </w:rPr>
        <w:t>s experts fournit par le</w:t>
      </w:r>
      <w:r w:rsidR="001E3610">
        <w:rPr>
          <w:rFonts w:ascii="Calibri" w:hAnsi="Calibri"/>
          <w:sz w:val="22"/>
          <w:szCs w:val="22"/>
        </w:rPr>
        <w:t xml:space="preserve"> </w:t>
      </w:r>
      <w:r>
        <w:rPr>
          <w:rFonts w:ascii="Calibri" w:hAnsi="Calibri"/>
          <w:sz w:val="22"/>
          <w:szCs w:val="22"/>
        </w:rPr>
        <w:t>prestataire doi</w:t>
      </w:r>
      <w:r w:rsidR="00BC6CBD">
        <w:rPr>
          <w:rFonts w:ascii="Calibri" w:hAnsi="Calibri"/>
          <w:sz w:val="22"/>
          <w:szCs w:val="22"/>
        </w:rPr>
        <w:t>vent</w:t>
      </w:r>
      <w:r>
        <w:rPr>
          <w:rFonts w:ascii="Calibri" w:hAnsi="Calibri"/>
          <w:sz w:val="22"/>
          <w:szCs w:val="22"/>
        </w:rPr>
        <w:t xml:space="preserve"> maitriser l’anglais et le français tant à l’oral que l’écrit.</w:t>
      </w:r>
    </w:p>
    <w:p w14:paraId="13339C22" w14:textId="77777777" w:rsidR="009236DE" w:rsidRDefault="009236DE" w:rsidP="009236DE">
      <w:pPr>
        <w:jc w:val="both"/>
        <w:rPr>
          <w:rFonts w:ascii="Calibri" w:hAnsi="Calibri"/>
          <w:i/>
          <w:sz w:val="22"/>
          <w:szCs w:val="22"/>
          <w:u w:val="single"/>
        </w:rPr>
      </w:pPr>
    </w:p>
    <w:p w14:paraId="5B8ABDAE" w14:textId="05EF68D1" w:rsidR="00F444BD" w:rsidRPr="00F444BD" w:rsidRDefault="00F444BD" w:rsidP="00F444BD">
      <w:pPr>
        <w:pStyle w:val="Paragraphedeliste"/>
        <w:numPr>
          <w:ilvl w:val="0"/>
          <w:numId w:val="35"/>
        </w:numPr>
        <w:jc w:val="both"/>
        <w:rPr>
          <w:rFonts w:ascii="Calibri" w:hAnsi="Calibri"/>
          <w:iCs/>
          <w:sz w:val="22"/>
          <w:szCs w:val="22"/>
          <w:u w:val="single"/>
        </w:rPr>
      </w:pPr>
      <w:r w:rsidRPr="00F444BD">
        <w:rPr>
          <w:rFonts w:ascii="Calibri" w:hAnsi="Calibri"/>
          <w:iCs/>
          <w:sz w:val="22"/>
          <w:szCs w:val="22"/>
          <w:u w:val="single"/>
        </w:rPr>
        <w:t xml:space="preserve">Expérience professionnelle </w:t>
      </w:r>
      <w:r>
        <w:rPr>
          <w:rFonts w:ascii="Calibri" w:hAnsi="Calibri"/>
          <w:iCs/>
          <w:sz w:val="22"/>
          <w:szCs w:val="22"/>
          <w:u w:val="single"/>
        </w:rPr>
        <w:t>technique</w:t>
      </w:r>
    </w:p>
    <w:p w14:paraId="26E10765" w14:textId="70452254" w:rsidR="009922D3" w:rsidRPr="009922D3" w:rsidRDefault="009922D3" w:rsidP="009922D3">
      <w:pPr>
        <w:numPr>
          <w:ilvl w:val="0"/>
          <w:numId w:val="7"/>
        </w:numPr>
        <w:jc w:val="both"/>
        <w:rPr>
          <w:rFonts w:ascii="Calibri" w:hAnsi="Calibri"/>
          <w:sz w:val="22"/>
          <w:szCs w:val="22"/>
        </w:rPr>
      </w:pPr>
      <w:r w:rsidRPr="009922D3">
        <w:rPr>
          <w:rFonts w:ascii="Calibri" w:hAnsi="Calibri"/>
          <w:sz w:val="22"/>
          <w:szCs w:val="22"/>
        </w:rPr>
        <w:t xml:space="preserve">Le </w:t>
      </w:r>
      <w:r w:rsidR="001E3610">
        <w:rPr>
          <w:rFonts w:ascii="Calibri" w:hAnsi="Calibri"/>
          <w:sz w:val="22"/>
          <w:szCs w:val="22"/>
        </w:rPr>
        <w:t>prestataire</w:t>
      </w:r>
      <w:r w:rsidRPr="009922D3">
        <w:rPr>
          <w:rFonts w:ascii="Calibri" w:hAnsi="Calibri"/>
          <w:sz w:val="22"/>
          <w:szCs w:val="22"/>
        </w:rPr>
        <w:t xml:space="preserve"> a fourni des services d'appui aux Autorités de sûreté nucléaire et/ou à leurs organismes de support technique</w:t>
      </w:r>
    </w:p>
    <w:p w14:paraId="21E56EA8" w14:textId="6EC8C479" w:rsidR="009922D3" w:rsidRPr="009922D3" w:rsidRDefault="009922D3" w:rsidP="001E3610">
      <w:pPr>
        <w:ind w:left="720"/>
        <w:jc w:val="both"/>
        <w:rPr>
          <w:rFonts w:ascii="Calibri" w:hAnsi="Calibri"/>
          <w:sz w:val="22"/>
          <w:szCs w:val="22"/>
        </w:rPr>
      </w:pPr>
      <w:r w:rsidRPr="009922D3">
        <w:rPr>
          <w:rFonts w:ascii="Calibri" w:hAnsi="Calibri"/>
          <w:sz w:val="22"/>
          <w:szCs w:val="22"/>
        </w:rPr>
        <w:t xml:space="preserve"> </w:t>
      </w:r>
      <w:r w:rsidR="001E3610">
        <w:rPr>
          <w:rFonts w:ascii="Calibri" w:hAnsi="Calibri"/>
          <w:sz w:val="22"/>
          <w:szCs w:val="22"/>
        </w:rPr>
        <w:t xml:space="preserve">Au moins un </w:t>
      </w:r>
      <w:r w:rsidRPr="009922D3">
        <w:rPr>
          <w:rFonts w:ascii="Calibri" w:hAnsi="Calibri"/>
          <w:sz w:val="22"/>
          <w:szCs w:val="22"/>
        </w:rPr>
        <w:t>des</w:t>
      </w:r>
      <w:r w:rsidR="001E3610">
        <w:rPr>
          <w:rFonts w:ascii="Calibri" w:hAnsi="Calibri"/>
          <w:sz w:val="22"/>
          <w:szCs w:val="22"/>
        </w:rPr>
        <w:t xml:space="preserve"> contrats répondant au critère</w:t>
      </w:r>
      <w:r w:rsidRPr="009922D3">
        <w:rPr>
          <w:rFonts w:ascii="Calibri" w:hAnsi="Calibri"/>
          <w:sz w:val="22"/>
          <w:szCs w:val="22"/>
        </w:rPr>
        <w:t xml:space="preserve"> doit être lié à un projet international, c'est-à-dire un projet mis en œuvre dans un pays différent du pays d'enregistrement du </w:t>
      </w:r>
      <w:r w:rsidR="001E3610">
        <w:rPr>
          <w:rFonts w:ascii="Calibri" w:hAnsi="Calibri"/>
          <w:sz w:val="22"/>
          <w:szCs w:val="22"/>
        </w:rPr>
        <w:t>prestataire</w:t>
      </w:r>
      <w:r w:rsidRPr="009922D3">
        <w:rPr>
          <w:rFonts w:ascii="Calibri" w:hAnsi="Calibri"/>
          <w:sz w:val="22"/>
          <w:szCs w:val="22"/>
        </w:rPr>
        <w:t xml:space="preserve">. </w:t>
      </w:r>
    </w:p>
    <w:p w14:paraId="5D1BC336" w14:textId="012F3DD3" w:rsidR="001E3610" w:rsidRDefault="009922D3" w:rsidP="009922D3">
      <w:pPr>
        <w:numPr>
          <w:ilvl w:val="0"/>
          <w:numId w:val="7"/>
        </w:numPr>
        <w:jc w:val="both"/>
        <w:rPr>
          <w:rFonts w:ascii="Calibri" w:hAnsi="Calibri"/>
          <w:sz w:val="22"/>
          <w:szCs w:val="22"/>
        </w:rPr>
      </w:pPr>
      <w:r w:rsidRPr="009922D3">
        <w:rPr>
          <w:rFonts w:ascii="Calibri" w:hAnsi="Calibri"/>
          <w:sz w:val="22"/>
          <w:szCs w:val="22"/>
        </w:rPr>
        <w:lastRenderedPageBreak/>
        <w:t xml:space="preserve">Le </w:t>
      </w:r>
      <w:r w:rsidR="001E3610">
        <w:rPr>
          <w:rFonts w:ascii="Calibri" w:hAnsi="Calibri"/>
          <w:sz w:val="22"/>
          <w:szCs w:val="22"/>
        </w:rPr>
        <w:t>prestataire</w:t>
      </w:r>
      <w:r w:rsidRPr="009922D3">
        <w:rPr>
          <w:rFonts w:ascii="Calibri" w:hAnsi="Calibri"/>
          <w:sz w:val="22"/>
          <w:szCs w:val="22"/>
        </w:rPr>
        <w:t xml:space="preserve"> a contribué à ou a mis en œuvre au </w:t>
      </w:r>
      <w:r w:rsidR="001E3610">
        <w:rPr>
          <w:rFonts w:ascii="Calibri" w:hAnsi="Calibri"/>
          <w:sz w:val="22"/>
          <w:szCs w:val="22"/>
        </w:rPr>
        <w:t xml:space="preserve">moins trois </w:t>
      </w:r>
      <w:r w:rsidRPr="009922D3">
        <w:rPr>
          <w:rFonts w:ascii="Calibri" w:hAnsi="Calibri"/>
          <w:sz w:val="22"/>
          <w:szCs w:val="22"/>
        </w:rPr>
        <w:t xml:space="preserve">projets portant sur (a) le renforcement des capacités réglementaires et/ou (b) l’autorisation de construction ou d’exploitation d’installations nucléaires dans des pays mettant en œuvre ou suivant l'acquis communautaire. Aucun budget minimum n'est requis pour ce critère </w:t>
      </w:r>
    </w:p>
    <w:p w14:paraId="79D2E903" w14:textId="60F001B8" w:rsidR="009922D3" w:rsidRPr="009922D3" w:rsidRDefault="009922D3" w:rsidP="001E3610">
      <w:pPr>
        <w:ind w:left="720"/>
        <w:jc w:val="both"/>
        <w:rPr>
          <w:rFonts w:ascii="Calibri" w:hAnsi="Calibri"/>
          <w:sz w:val="22"/>
          <w:szCs w:val="22"/>
        </w:rPr>
      </w:pPr>
      <w:r w:rsidRPr="009922D3">
        <w:rPr>
          <w:rFonts w:ascii="Calibri" w:hAnsi="Calibri"/>
          <w:sz w:val="22"/>
          <w:szCs w:val="22"/>
        </w:rPr>
        <w:t xml:space="preserve">Toutefois, la part de ce budget mise en œuvre par le </w:t>
      </w:r>
      <w:r w:rsidR="001E3610">
        <w:rPr>
          <w:rFonts w:ascii="Calibri" w:hAnsi="Calibri"/>
          <w:sz w:val="22"/>
          <w:szCs w:val="22"/>
        </w:rPr>
        <w:t>prestataire</w:t>
      </w:r>
      <w:r w:rsidRPr="009922D3">
        <w:rPr>
          <w:rFonts w:ascii="Calibri" w:hAnsi="Calibri"/>
          <w:sz w:val="22"/>
          <w:szCs w:val="22"/>
        </w:rPr>
        <w:t xml:space="preserve"> doit être supérieure à 150 000 euros. </w:t>
      </w:r>
    </w:p>
    <w:p w14:paraId="2B420AF5" w14:textId="0649B1EC" w:rsidR="009922D3" w:rsidRPr="009922D3" w:rsidRDefault="009922D3" w:rsidP="009922D3">
      <w:pPr>
        <w:numPr>
          <w:ilvl w:val="0"/>
          <w:numId w:val="7"/>
        </w:numPr>
        <w:jc w:val="both"/>
        <w:rPr>
          <w:rFonts w:ascii="Calibri" w:hAnsi="Calibri"/>
          <w:sz w:val="22"/>
          <w:szCs w:val="22"/>
        </w:rPr>
      </w:pPr>
      <w:r w:rsidRPr="009922D3">
        <w:rPr>
          <w:rFonts w:ascii="Calibri" w:hAnsi="Calibri"/>
          <w:sz w:val="22"/>
          <w:szCs w:val="22"/>
        </w:rPr>
        <w:t xml:space="preserve">Cela signifie que le contrat auquel le </w:t>
      </w:r>
      <w:r w:rsidR="001E3610">
        <w:rPr>
          <w:rFonts w:ascii="Calibri" w:hAnsi="Calibri"/>
          <w:sz w:val="22"/>
          <w:szCs w:val="22"/>
        </w:rPr>
        <w:t>prestataire</w:t>
      </w:r>
      <w:r w:rsidRPr="009922D3">
        <w:rPr>
          <w:rFonts w:ascii="Calibri" w:hAnsi="Calibri"/>
          <w:sz w:val="22"/>
          <w:szCs w:val="22"/>
        </w:rPr>
        <w:t xml:space="preserve"> se réfère peut avoir été lancé à tout moment au cours de la période indiquée, mais qu'il ne doit pas nécessairement être achevé au cours de cette période, ni mis en œuvre pendant toute la période. Les candidats sont autorisés à se référer soit à des projets achevés au cours de la période de référence (bien que commencés plus tôt), soit à des projets non encore achevés. </w:t>
      </w:r>
    </w:p>
    <w:p w14:paraId="1FAB1E04" w14:textId="77777777" w:rsidR="009922D3" w:rsidRPr="009922D3" w:rsidRDefault="009922D3" w:rsidP="009922D3">
      <w:pPr>
        <w:numPr>
          <w:ilvl w:val="0"/>
          <w:numId w:val="7"/>
        </w:numPr>
        <w:jc w:val="both"/>
        <w:rPr>
          <w:rFonts w:ascii="Calibri" w:hAnsi="Calibri"/>
          <w:sz w:val="22"/>
          <w:szCs w:val="22"/>
        </w:rPr>
      </w:pPr>
      <w:r w:rsidRPr="009922D3">
        <w:rPr>
          <w:rFonts w:ascii="Calibri" w:hAnsi="Calibri"/>
          <w:sz w:val="22"/>
          <w:szCs w:val="22"/>
        </w:rPr>
        <w:t>Seule la partie achevée au cours de la période de référence sera prise en considération. Cette partie devra être étayée par des preuves documentaires (déclaration ou certificat de l'entité qui a attribué le marché, preuve de paiement) détaillant également sa valeur.</w:t>
      </w:r>
    </w:p>
    <w:p w14:paraId="6A51B49C" w14:textId="77777777" w:rsidR="00F444BD" w:rsidRPr="00966F8F" w:rsidRDefault="00F444BD" w:rsidP="009236DE">
      <w:pPr>
        <w:jc w:val="both"/>
        <w:rPr>
          <w:rFonts w:ascii="Calibri" w:hAnsi="Calibri"/>
          <w:i/>
          <w:sz w:val="22"/>
          <w:szCs w:val="22"/>
          <w:u w:val="single"/>
        </w:rPr>
      </w:pPr>
    </w:p>
    <w:p w14:paraId="3DF98ADC" w14:textId="4F99F92A" w:rsidR="009236DE" w:rsidRDefault="00BC6F4C" w:rsidP="00F444BD">
      <w:pPr>
        <w:numPr>
          <w:ilvl w:val="0"/>
          <w:numId w:val="35"/>
        </w:numPr>
        <w:jc w:val="both"/>
        <w:rPr>
          <w:rFonts w:ascii="Calibri" w:hAnsi="Calibri"/>
          <w:iCs/>
          <w:sz w:val="22"/>
          <w:szCs w:val="22"/>
          <w:u w:val="single"/>
        </w:rPr>
      </w:pPr>
      <w:r>
        <w:rPr>
          <w:rFonts w:ascii="Calibri" w:hAnsi="Calibri"/>
          <w:iCs/>
          <w:sz w:val="22"/>
          <w:szCs w:val="22"/>
          <w:u w:val="single"/>
        </w:rPr>
        <w:t>Capacité économique et financière</w:t>
      </w:r>
    </w:p>
    <w:p w14:paraId="4ACDAE06" w14:textId="2742DF1A" w:rsidR="00BC6F4C" w:rsidRPr="00BC6F4C" w:rsidRDefault="00BC6F4C" w:rsidP="00BC6F4C">
      <w:pPr>
        <w:jc w:val="both"/>
        <w:rPr>
          <w:rFonts w:ascii="Calibri" w:hAnsi="Calibri"/>
          <w:iCs/>
          <w:sz w:val="22"/>
          <w:szCs w:val="22"/>
        </w:rPr>
      </w:pPr>
      <w:r w:rsidRPr="00BC6F4C">
        <w:rPr>
          <w:rFonts w:ascii="Calibri" w:hAnsi="Calibri"/>
          <w:iCs/>
          <w:sz w:val="22"/>
          <w:szCs w:val="22"/>
        </w:rPr>
        <w:t xml:space="preserve">Le prestataire doit avoir un chiffre d’affaires annuel moyen de </w:t>
      </w:r>
      <w:r w:rsidR="00FD0C40">
        <w:rPr>
          <w:rFonts w:ascii="Calibri" w:hAnsi="Calibri"/>
          <w:iCs/>
          <w:sz w:val="22"/>
          <w:szCs w:val="22"/>
        </w:rPr>
        <w:t>5</w:t>
      </w:r>
      <w:r w:rsidRPr="00BC6F4C">
        <w:rPr>
          <w:rFonts w:ascii="Calibri" w:hAnsi="Calibri"/>
          <w:iCs/>
          <w:sz w:val="22"/>
          <w:szCs w:val="22"/>
        </w:rPr>
        <w:t xml:space="preserve">00 000€. </w:t>
      </w:r>
    </w:p>
    <w:p w14:paraId="0CDDF696" w14:textId="77777777" w:rsidR="00934199" w:rsidRPr="00D15F32" w:rsidRDefault="00934199" w:rsidP="00E167A2">
      <w:pPr>
        <w:rPr>
          <w:rFonts w:ascii="Calibri" w:hAnsi="Calibri"/>
          <w:sz w:val="22"/>
          <w:szCs w:val="22"/>
        </w:rPr>
      </w:pPr>
    </w:p>
    <w:p w14:paraId="604E2E37" w14:textId="77777777" w:rsidR="00C90734" w:rsidRDefault="00C90734" w:rsidP="00C85939">
      <w:pPr>
        <w:jc w:val="both"/>
        <w:rPr>
          <w:rFonts w:ascii="Calibri" w:hAnsi="Calibri"/>
          <w:sz w:val="22"/>
          <w:szCs w:val="22"/>
        </w:rPr>
      </w:pPr>
    </w:p>
    <w:sectPr w:rsidR="00C90734"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3CB60" w14:textId="77777777" w:rsidR="002F68A1" w:rsidRDefault="002F68A1">
      <w:r>
        <w:separator/>
      </w:r>
    </w:p>
  </w:endnote>
  <w:endnote w:type="continuationSeparator" w:id="0">
    <w:p w14:paraId="2EDAA955" w14:textId="77777777" w:rsidR="002F68A1" w:rsidRDefault="002F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34EA850D"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BE5DC1">
      <w:rPr>
        <w:rStyle w:val="Numrodepage"/>
        <w:rFonts w:ascii="Calibri" w:hAnsi="Calibri"/>
        <w:noProof/>
        <w:sz w:val="20"/>
        <w:szCs w:val="20"/>
      </w:rPr>
      <w:t>4</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r w:rsidRPr="00283E74">
      <w:rPr>
        <w:rFonts w:asciiTheme="minorHAnsi" w:hAnsiTheme="minorHAnsi"/>
        <w:sz w:val="22"/>
      </w:rPr>
      <w:t>R</w:t>
    </w:r>
    <w:r>
      <w:rPr>
        <w:rFonts w:asciiTheme="minorHAnsi" w:hAnsiTheme="minorHAnsi"/>
        <w:sz w:val="22"/>
      </w:rPr>
      <w:t>ef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r w:rsidRPr="00283E74">
      <w:rPr>
        <w:rFonts w:asciiTheme="minorHAnsi" w:hAnsiTheme="minorHAnsi"/>
        <w:sz w:val="22"/>
      </w:rPr>
      <w:t>R</w:t>
    </w:r>
    <w:r w:rsidR="00870B8F">
      <w:rPr>
        <w:rFonts w:asciiTheme="minorHAnsi" w:hAnsiTheme="minorHAnsi"/>
        <w:sz w:val="22"/>
      </w:rPr>
      <w:t xml:space="preserve">ef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4B942542"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BE5DC1">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BE5DC1">
              <w:rPr>
                <w:rFonts w:asciiTheme="minorHAnsi" w:hAnsiTheme="minorHAnsi"/>
                <w:b/>
                <w:bCs/>
                <w:noProof/>
                <w:sz w:val="22"/>
              </w:rPr>
              <w:t>5</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A9860" w14:textId="77777777" w:rsidR="002F68A1" w:rsidRDefault="002F68A1">
      <w:r>
        <w:separator/>
      </w:r>
    </w:p>
  </w:footnote>
  <w:footnote w:type="continuationSeparator" w:id="0">
    <w:p w14:paraId="53E14206" w14:textId="77777777" w:rsidR="002F68A1" w:rsidRDefault="002F68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2F68A1">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37CE"/>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2842A6B"/>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ED603D"/>
    <w:multiLevelType w:val="multilevel"/>
    <w:tmpl w:val="056EC102"/>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5B60ED"/>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83934"/>
    <w:multiLevelType w:val="hybridMultilevel"/>
    <w:tmpl w:val="8536DB6E"/>
    <w:lvl w:ilvl="0" w:tplc="A70AB14A">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44196D"/>
    <w:multiLevelType w:val="hybridMultilevel"/>
    <w:tmpl w:val="9B5A5E0A"/>
    <w:lvl w:ilvl="0" w:tplc="0E44942A">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7DF1957"/>
    <w:multiLevelType w:val="hybridMultilevel"/>
    <w:tmpl w:val="32D09F76"/>
    <w:lvl w:ilvl="0" w:tplc="B34A9060">
      <w:numFmt w:val="bullet"/>
      <w:lvlText w:val="-"/>
      <w:lvlJc w:val="left"/>
      <w:pPr>
        <w:tabs>
          <w:tab w:val="num" w:pos="360"/>
        </w:tabs>
        <w:ind w:left="360" w:hanging="360"/>
      </w:pPr>
      <w:rPr>
        <w:rFonts w:ascii="Calibri" w:eastAsia="Arial Unicode MS" w:hAnsi="Calibri" w:cs="Arial Unicode M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0CA70AE3"/>
    <w:multiLevelType w:val="multilevel"/>
    <w:tmpl w:val="F9B8A14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I.%2."/>
      <w:lvlJc w:val="left"/>
      <w:pPr>
        <w:tabs>
          <w:tab w:val="num" w:pos="-621"/>
        </w:tabs>
        <w:ind w:left="1440" w:hanging="360"/>
      </w:pPr>
      <w:rPr>
        <w:rFonts w:hint="default"/>
        <w:b/>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D8B364A"/>
    <w:multiLevelType w:val="hybridMultilevel"/>
    <w:tmpl w:val="6A3623BC"/>
    <w:lvl w:ilvl="0" w:tplc="040C0013">
      <w:start w:val="1"/>
      <w:numFmt w:val="upperRoman"/>
      <w:lvlText w:val="%1."/>
      <w:lvlJc w:val="right"/>
      <w:pPr>
        <w:tabs>
          <w:tab w:val="num" w:pos="720"/>
        </w:tabs>
        <w:ind w:left="720" w:hanging="180"/>
      </w:pPr>
    </w:lvl>
    <w:lvl w:ilvl="1" w:tplc="DB200CA4">
      <w:start w:val="1"/>
      <w:numFmt w:val="decimal"/>
      <w:lvlText w:val="%2."/>
      <w:lvlJc w:val="left"/>
      <w:pPr>
        <w:tabs>
          <w:tab w:val="num" w:pos="1440"/>
        </w:tabs>
        <w:ind w:left="1440" w:hanging="360"/>
      </w:pPr>
      <w:rPr>
        <w:rFonts w:hint="default"/>
      </w:rPr>
    </w:lvl>
    <w:lvl w:ilvl="2" w:tplc="040C0015">
      <w:start w:val="1"/>
      <w:numFmt w:val="upperLetter"/>
      <w:lvlText w:val="%3."/>
      <w:lvlJc w:val="lef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5F2814"/>
    <w:multiLevelType w:val="hybridMultilevel"/>
    <w:tmpl w:val="1E04CC2A"/>
    <w:lvl w:ilvl="0" w:tplc="C08070AE">
      <w:start w:val="2"/>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1A113DE1"/>
    <w:multiLevelType w:val="hybridMultilevel"/>
    <w:tmpl w:val="3AD8E6AA"/>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4330D9"/>
    <w:multiLevelType w:val="hybridMultilevel"/>
    <w:tmpl w:val="4AE6C53C"/>
    <w:lvl w:ilvl="0" w:tplc="01BE3B88">
      <w:numFmt w:val="bullet"/>
      <w:lvlText w:val="-"/>
      <w:lvlJc w:val="left"/>
      <w:pPr>
        <w:tabs>
          <w:tab w:val="num" w:pos="720"/>
        </w:tabs>
        <w:ind w:left="720" w:hanging="360"/>
      </w:pPr>
      <w:rPr>
        <w:rFonts w:ascii="Calibri" w:eastAsia="Arial Unicode MS" w:hAnsi="Calibri" w:cs="Arial Unicode MS" w:hint="default"/>
      </w:rPr>
    </w:lvl>
    <w:lvl w:ilvl="1" w:tplc="0532CA64">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5227D0"/>
    <w:multiLevelType w:val="hybridMultilevel"/>
    <w:tmpl w:val="1AFA509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20C556DC"/>
    <w:multiLevelType w:val="multilevel"/>
    <w:tmpl w:val="7B20EF74"/>
    <w:lvl w:ilvl="0">
      <w:start w:val="1"/>
      <w:numFmt w:val="upperRoman"/>
      <w:lvlText w:val="%1."/>
      <w:lvlJc w:val="right"/>
      <w:pPr>
        <w:tabs>
          <w:tab w:val="num" w:pos="720"/>
        </w:tabs>
        <w:ind w:left="720" w:hanging="180"/>
      </w:pPr>
    </w:lvl>
    <w:lvl w:ilvl="1">
      <w:start w:val="1"/>
      <w:numFmt w:val="decimal"/>
      <w:lvlText w:val="%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5EF008B"/>
    <w:multiLevelType w:val="hybridMultilevel"/>
    <w:tmpl w:val="4712F29C"/>
    <w:lvl w:ilvl="0" w:tplc="11EAA52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E6502B"/>
    <w:multiLevelType w:val="multilevel"/>
    <w:tmpl w:val="33EE9232"/>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064F56"/>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D3B64F4"/>
    <w:multiLevelType w:val="multilevel"/>
    <w:tmpl w:val="167AC01A"/>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b w:val="0"/>
        <w:i w:val="0"/>
      </w:r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013004C"/>
    <w:multiLevelType w:val="multilevel"/>
    <w:tmpl w:val="90220580"/>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45F6CEE"/>
    <w:multiLevelType w:val="hybridMultilevel"/>
    <w:tmpl w:val="E05CE35A"/>
    <w:lvl w:ilvl="0" w:tplc="AB4C2190">
      <w:start w:val="10"/>
      <w:numFmt w:val="bullet"/>
      <w:lvlText w:val="-"/>
      <w:lvlJc w:val="left"/>
      <w:pPr>
        <w:ind w:left="540" w:hanging="360"/>
      </w:pPr>
      <w:rPr>
        <w:rFonts w:ascii="Calibri" w:eastAsia="Times New Roman" w:hAnsi="Calibri"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3" w15:restartNumberingAfterBreak="0">
    <w:nsid w:val="371C6A96"/>
    <w:multiLevelType w:val="multilevel"/>
    <w:tmpl w:val="0164D65E"/>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szCs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B310B4"/>
    <w:multiLevelType w:val="hybridMultilevel"/>
    <w:tmpl w:val="EB66492E"/>
    <w:lvl w:ilvl="0" w:tplc="8892E4E6">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8C743D"/>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A841533"/>
    <w:multiLevelType w:val="hybridMultilevel"/>
    <w:tmpl w:val="DCCE506E"/>
    <w:lvl w:ilvl="0" w:tplc="6838C8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D41863"/>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9" w15:restartNumberingAfterBreak="0">
    <w:nsid w:val="4BCF1B9A"/>
    <w:multiLevelType w:val="hybridMultilevel"/>
    <w:tmpl w:val="423A04C4"/>
    <w:lvl w:ilvl="0" w:tplc="4BC2D300">
      <w:start w:val="1"/>
      <w:numFmt w:val="bullet"/>
      <w:lvlText w:val=""/>
      <w:lvlJc w:val="left"/>
      <w:pPr>
        <w:tabs>
          <w:tab w:val="num" w:pos="720"/>
        </w:tabs>
        <w:ind w:left="72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D075D8"/>
    <w:multiLevelType w:val="hybridMultilevel"/>
    <w:tmpl w:val="BD82A614"/>
    <w:lvl w:ilvl="0" w:tplc="BD9447C4">
      <w:start w:val="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0616E7"/>
    <w:multiLevelType w:val="hybridMultilevel"/>
    <w:tmpl w:val="E102A3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6F3479"/>
    <w:multiLevelType w:val="multilevel"/>
    <w:tmpl w:val="66149BF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60501F"/>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7E230E4"/>
    <w:multiLevelType w:val="hybridMultilevel"/>
    <w:tmpl w:val="1A7AF930"/>
    <w:lvl w:ilvl="0" w:tplc="040C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7" w15:restartNumberingAfterBreak="0">
    <w:nsid w:val="59FA189E"/>
    <w:multiLevelType w:val="hybridMultilevel"/>
    <w:tmpl w:val="2A508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0A67DAC"/>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1250C77"/>
    <w:multiLevelType w:val="hybridMultilevel"/>
    <w:tmpl w:val="C2A02CC6"/>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486A0D"/>
    <w:multiLevelType w:val="hybridMultilevel"/>
    <w:tmpl w:val="947279F8"/>
    <w:lvl w:ilvl="0" w:tplc="0770BCD4">
      <w:numFmt w:val="bullet"/>
      <w:lvlText w:val="-"/>
      <w:lvlJc w:val="left"/>
      <w:pPr>
        <w:ind w:left="1418" w:hanging="341"/>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CC362E"/>
    <w:multiLevelType w:val="multilevel"/>
    <w:tmpl w:val="CDE437C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9552F80"/>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B0B6446"/>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11C123A"/>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49A11DA"/>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47" w15:restartNumberingAfterBreak="0">
    <w:nsid w:val="7BAC3A06"/>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C925234"/>
    <w:multiLevelType w:val="hybridMultilevel"/>
    <w:tmpl w:val="A12A4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3625A6"/>
    <w:multiLevelType w:val="hybridMultilevel"/>
    <w:tmpl w:val="12B4FCDC"/>
    <w:lvl w:ilvl="0" w:tplc="8AB024F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9"/>
  </w:num>
  <w:num w:numId="3">
    <w:abstractNumId w:val="26"/>
  </w:num>
  <w:num w:numId="4">
    <w:abstractNumId w:val="13"/>
  </w:num>
  <w:num w:numId="5">
    <w:abstractNumId w:val="49"/>
  </w:num>
  <w:num w:numId="6">
    <w:abstractNumId w:val="4"/>
  </w:num>
  <w:num w:numId="7">
    <w:abstractNumId w:val="11"/>
  </w:num>
  <w:num w:numId="8">
    <w:abstractNumId w:val="32"/>
  </w:num>
  <w:num w:numId="9">
    <w:abstractNumId w:val="14"/>
  </w:num>
  <w:num w:numId="10">
    <w:abstractNumId w:val="0"/>
  </w:num>
  <w:num w:numId="11">
    <w:abstractNumId w:val="18"/>
  </w:num>
  <w:num w:numId="12">
    <w:abstractNumId w:val="27"/>
  </w:num>
  <w:num w:numId="13">
    <w:abstractNumId w:val="25"/>
  </w:num>
  <w:num w:numId="14">
    <w:abstractNumId w:val="8"/>
  </w:num>
  <w:num w:numId="15">
    <w:abstractNumId w:val="20"/>
  </w:num>
  <w:num w:numId="16">
    <w:abstractNumId w:val="16"/>
  </w:num>
  <w:num w:numId="17">
    <w:abstractNumId w:val="2"/>
  </w:num>
  <w:num w:numId="18">
    <w:abstractNumId w:val="21"/>
  </w:num>
  <w:num w:numId="19">
    <w:abstractNumId w:val="19"/>
  </w:num>
  <w:num w:numId="20">
    <w:abstractNumId w:val="42"/>
  </w:num>
  <w:num w:numId="21">
    <w:abstractNumId w:val="35"/>
  </w:num>
  <w:num w:numId="22">
    <w:abstractNumId w:val="9"/>
  </w:num>
  <w:num w:numId="23">
    <w:abstractNumId w:val="41"/>
  </w:num>
  <w:num w:numId="24">
    <w:abstractNumId w:val="23"/>
  </w:num>
  <w:num w:numId="25">
    <w:abstractNumId w:val="33"/>
  </w:num>
  <w:num w:numId="26">
    <w:abstractNumId w:val="29"/>
  </w:num>
  <w:num w:numId="27">
    <w:abstractNumId w:val="31"/>
  </w:num>
  <w:num w:numId="28">
    <w:abstractNumId w:val="12"/>
  </w:num>
  <w:num w:numId="29">
    <w:abstractNumId w:val="38"/>
  </w:num>
  <w:num w:numId="30">
    <w:abstractNumId w:val="48"/>
  </w:num>
  <w:num w:numId="31">
    <w:abstractNumId w:val="43"/>
  </w:num>
  <w:num w:numId="32">
    <w:abstractNumId w:val="40"/>
  </w:num>
  <w:num w:numId="33">
    <w:abstractNumId w:val="45"/>
  </w:num>
  <w:num w:numId="34">
    <w:abstractNumId w:val="7"/>
  </w:num>
  <w:num w:numId="35">
    <w:abstractNumId w:val="28"/>
  </w:num>
  <w:num w:numId="36">
    <w:abstractNumId w:val="30"/>
  </w:num>
  <w:num w:numId="37">
    <w:abstractNumId w:val="22"/>
  </w:num>
  <w:num w:numId="38">
    <w:abstractNumId w:val="17"/>
  </w:num>
  <w:num w:numId="39">
    <w:abstractNumId w:val="24"/>
  </w:num>
  <w:num w:numId="40">
    <w:abstractNumId w:val="34"/>
  </w:num>
  <w:num w:numId="41">
    <w:abstractNumId w:val="37"/>
  </w:num>
  <w:num w:numId="42">
    <w:abstractNumId w:val="44"/>
  </w:num>
  <w:num w:numId="43">
    <w:abstractNumId w:val="6"/>
  </w:num>
  <w:num w:numId="44">
    <w:abstractNumId w:val="3"/>
  </w:num>
  <w:num w:numId="45">
    <w:abstractNumId w:val="47"/>
  </w:num>
  <w:num w:numId="46">
    <w:abstractNumId w:val="1"/>
  </w:num>
  <w:num w:numId="47">
    <w:abstractNumId w:val="36"/>
  </w:num>
  <w:num w:numId="48">
    <w:abstractNumId w:val="15"/>
  </w:num>
  <w:num w:numId="49">
    <w:abstractNumId w:val="5"/>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2DEF"/>
    <w:rsid w:val="00016D5B"/>
    <w:rsid w:val="00017D4F"/>
    <w:rsid w:val="00023D47"/>
    <w:rsid w:val="00024D10"/>
    <w:rsid w:val="00030FE2"/>
    <w:rsid w:val="000326B8"/>
    <w:rsid w:val="000405A8"/>
    <w:rsid w:val="00043041"/>
    <w:rsid w:val="0005150B"/>
    <w:rsid w:val="00055547"/>
    <w:rsid w:val="00060146"/>
    <w:rsid w:val="000630CD"/>
    <w:rsid w:val="00066835"/>
    <w:rsid w:val="00067734"/>
    <w:rsid w:val="0007063D"/>
    <w:rsid w:val="00074E17"/>
    <w:rsid w:val="000942EE"/>
    <w:rsid w:val="0009628C"/>
    <w:rsid w:val="000972A8"/>
    <w:rsid w:val="000A4A82"/>
    <w:rsid w:val="000B23F1"/>
    <w:rsid w:val="000B5012"/>
    <w:rsid w:val="000B7D24"/>
    <w:rsid w:val="000C38CD"/>
    <w:rsid w:val="000C4797"/>
    <w:rsid w:val="000D0C1B"/>
    <w:rsid w:val="000D3809"/>
    <w:rsid w:val="000E75D7"/>
    <w:rsid w:val="0010576D"/>
    <w:rsid w:val="0010646A"/>
    <w:rsid w:val="001133D5"/>
    <w:rsid w:val="001343FC"/>
    <w:rsid w:val="00135AF5"/>
    <w:rsid w:val="001441C8"/>
    <w:rsid w:val="00161C54"/>
    <w:rsid w:val="0016429A"/>
    <w:rsid w:val="0017140E"/>
    <w:rsid w:val="00173129"/>
    <w:rsid w:val="00181B27"/>
    <w:rsid w:val="00182325"/>
    <w:rsid w:val="00182A64"/>
    <w:rsid w:val="0018356E"/>
    <w:rsid w:val="001861DC"/>
    <w:rsid w:val="00187AD4"/>
    <w:rsid w:val="001927C4"/>
    <w:rsid w:val="0019451A"/>
    <w:rsid w:val="00195B2A"/>
    <w:rsid w:val="001A221E"/>
    <w:rsid w:val="001A29FD"/>
    <w:rsid w:val="001B7333"/>
    <w:rsid w:val="001C534A"/>
    <w:rsid w:val="001C6D6C"/>
    <w:rsid w:val="001D27F6"/>
    <w:rsid w:val="001D6119"/>
    <w:rsid w:val="001E3610"/>
    <w:rsid w:val="001E5EB8"/>
    <w:rsid w:val="001E6E76"/>
    <w:rsid w:val="0020249E"/>
    <w:rsid w:val="00211137"/>
    <w:rsid w:val="002128B3"/>
    <w:rsid w:val="002234E2"/>
    <w:rsid w:val="00225A55"/>
    <w:rsid w:val="002456E1"/>
    <w:rsid w:val="0025587A"/>
    <w:rsid w:val="00257A40"/>
    <w:rsid w:val="00257AA9"/>
    <w:rsid w:val="00261EB0"/>
    <w:rsid w:val="00281B2F"/>
    <w:rsid w:val="00283E74"/>
    <w:rsid w:val="00292DA8"/>
    <w:rsid w:val="002A361E"/>
    <w:rsid w:val="002B3A00"/>
    <w:rsid w:val="002B55DC"/>
    <w:rsid w:val="002B6697"/>
    <w:rsid w:val="002C2D52"/>
    <w:rsid w:val="002C6EDB"/>
    <w:rsid w:val="002D64BE"/>
    <w:rsid w:val="002E2558"/>
    <w:rsid w:val="002F2457"/>
    <w:rsid w:val="002F4775"/>
    <w:rsid w:val="002F56B7"/>
    <w:rsid w:val="002F68A1"/>
    <w:rsid w:val="00304DFC"/>
    <w:rsid w:val="00310F15"/>
    <w:rsid w:val="00320ED4"/>
    <w:rsid w:val="00342D93"/>
    <w:rsid w:val="00350E27"/>
    <w:rsid w:val="00351CCD"/>
    <w:rsid w:val="0035218F"/>
    <w:rsid w:val="0035719D"/>
    <w:rsid w:val="00361C7F"/>
    <w:rsid w:val="00361E2D"/>
    <w:rsid w:val="0036493B"/>
    <w:rsid w:val="00373D7B"/>
    <w:rsid w:val="00390C30"/>
    <w:rsid w:val="003A0700"/>
    <w:rsid w:val="003A7185"/>
    <w:rsid w:val="003A7507"/>
    <w:rsid w:val="003B79B7"/>
    <w:rsid w:val="003C34D2"/>
    <w:rsid w:val="003E522B"/>
    <w:rsid w:val="0041571A"/>
    <w:rsid w:val="004252AC"/>
    <w:rsid w:val="0043355B"/>
    <w:rsid w:val="0047117E"/>
    <w:rsid w:val="00472E9B"/>
    <w:rsid w:val="00475709"/>
    <w:rsid w:val="00483E58"/>
    <w:rsid w:val="004901F0"/>
    <w:rsid w:val="00497E71"/>
    <w:rsid w:val="004A529D"/>
    <w:rsid w:val="004B27A3"/>
    <w:rsid w:val="004B4F74"/>
    <w:rsid w:val="004B73C3"/>
    <w:rsid w:val="004B7938"/>
    <w:rsid w:val="004B7D32"/>
    <w:rsid w:val="004C1D0E"/>
    <w:rsid w:val="004D28C2"/>
    <w:rsid w:val="004D4894"/>
    <w:rsid w:val="004E717B"/>
    <w:rsid w:val="004F0DD7"/>
    <w:rsid w:val="00504682"/>
    <w:rsid w:val="00527F33"/>
    <w:rsid w:val="005433DB"/>
    <w:rsid w:val="00544DBE"/>
    <w:rsid w:val="0054649C"/>
    <w:rsid w:val="005543AC"/>
    <w:rsid w:val="005568BE"/>
    <w:rsid w:val="00561408"/>
    <w:rsid w:val="005640DD"/>
    <w:rsid w:val="00566B92"/>
    <w:rsid w:val="00570273"/>
    <w:rsid w:val="005705AC"/>
    <w:rsid w:val="00572A2F"/>
    <w:rsid w:val="00573F5D"/>
    <w:rsid w:val="005770E2"/>
    <w:rsid w:val="00582DF4"/>
    <w:rsid w:val="005A0EBB"/>
    <w:rsid w:val="005B73D1"/>
    <w:rsid w:val="005C0011"/>
    <w:rsid w:val="005C0BC2"/>
    <w:rsid w:val="005C1113"/>
    <w:rsid w:val="005C25AC"/>
    <w:rsid w:val="005C491B"/>
    <w:rsid w:val="005E242C"/>
    <w:rsid w:val="00600B22"/>
    <w:rsid w:val="00606D3A"/>
    <w:rsid w:val="00612D61"/>
    <w:rsid w:val="00631124"/>
    <w:rsid w:val="00647C95"/>
    <w:rsid w:val="00671483"/>
    <w:rsid w:val="006915E8"/>
    <w:rsid w:val="006925F7"/>
    <w:rsid w:val="006A4A4C"/>
    <w:rsid w:val="006B4815"/>
    <w:rsid w:val="006B565D"/>
    <w:rsid w:val="006B5831"/>
    <w:rsid w:val="006C53A4"/>
    <w:rsid w:val="006C7BE3"/>
    <w:rsid w:val="006D0316"/>
    <w:rsid w:val="006D0357"/>
    <w:rsid w:val="006D53E3"/>
    <w:rsid w:val="006D71C7"/>
    <w:rsid w:val="006F4E71"/>
    <w:rsid w:val="006F7366"/>
    <w:rsid w:val="007221B0"/>
    <w:rsid w:val="00724D6B"/>
    <w:rsid w:val="00725A3A"/>
    <w:rsid w:val="0074075A"/>
    <w:rsid w:val="00743E8F"/>
    <w:rsid w:val="0076221F"/>
    <w:rsid w:val="007648E0"/>
    <w:rsid w:val="0076595C"/>
    <w:rsid w:val="00777EC5"/>
    <w:rsid w:val="00781C92"/>
    <w:rsid w:val="0078270B"/>
    <w:rsid w:val="007A6627"/>
    <w:rsid w:val="007A68E0"/>
    <w:rsid w:val="007A6963"/>
    <w:rsid w:val="007A78AB"/>
    <w:rsid w:val="007B5372"/>
    <w:rsid w:val="007B7543"/>
    <w:rsid w:val="007C5930"/>
    <w:rsid w:val="007C5E84"/>
    <w:rsid w:val="007E2C68"/>
    <w:rsid w:val="007E3BA6"/>
    <w:rsid w:val="007E4F81"/>
    <w:rsid w:val="007F1763"/>
    <w:rsid w:val="007F3D3F"/>
    <w:rsid w:val="00802FB2"/>
    <w:rsid w:val="00807BE1"/>
    <w:rsid w:val="00811A93"/>
    <w:rsid w:val="00813699"/>
    <w:rsid w:val="00816671"/>
    <w:rsid w:val="00826321"/>
    <w:rsid w:val="00851ADF"/>
    <w:rsid w:val="008570BD"/>
    <w:rsid w:val="00861094"/>
    <w:rsid w:val="00862471"/>
    <w:rsid w:val="0086461A"/>
    <w:rsid w:val="00870B8F"/>
    <w:rsid w:val="008904E9"/>
    <w:rsid w:val="00894FD8"/>
    <w:rsid w:val="008A1BC0"/>
    <w:rsid w:val="008A3A79"/>
    <w:rsid w:val="008A59C4"/>
    <w:rsid w:val="008B3831"/>
    <w:rsid w:val="008B3DA2"/>
    <w:rsid w:val="008B4C74"/>
    <w:rsid w:val="008B5A29"/>
    <w:rsid w:val="008C0578"/>
    <w:rsid w:val="008C6BAB"/>
    <w:rsid w:val="008D5785"/>
    <w:rsid w:val="008E1D1D"/>
    <w:rsid w:val="008E2E66"/>
    <w:rsid w:val="008E7E3F"/>
    <w:rsid w:val="008F436C"/>
    <w:rsid w:val="008F5EE2"/>
    <w:rsid w:val="008F669D"/>
    <w:rsid w:val="0090138E"/>
    <w:rsid w:val="00906B81"/>
    <w:rsid w:val="00906C4E"/>
    <w:rsid w:val="00911946"/>
    <w:rsid w:val="0091201F"/>
    <w:rsid w:val="009236DE"/>
    <w:rsid w:val="00925D18"/>
    <w:rsid w:val="00932C58"/>
    <w:rsid w:val="00932E04"/>
    <w:rsid w:val="00934199"/>
    <w:rsid w:val="0094211D"/>
    <w:rsid w:val="009452F3"/>
    <w:rsid w:val="009649DE"/>
    <w:rsid w:val="00965444"/>
    <w:rsid w:val="009724D1"/>
    <w:rsid w:val="00972757"/>
    <w:rsid w:val="00974795"/>
    <w:rsid w:val="009758EA"/>
    <w:rsid w:val="009819EE"/>
    <w:rsid w:val="00982D83"/>
    <w:rsid w:val="00983FF0"/>
    <w:rsid w:val="009922D3"/>
    <w:rsid w:val="009A0825"/>
    <w:rsid w:val="009A2214"/>
    <w:rsid w:val="009A38B1"/>
    <w:rsid w:val="009D6EC9"/>
    <w:rsid w:val="009F29F4"/>
    <w:rsid w:val="00A0658C"/>
    <w:rsid w:val="00A07668"/>
    <w:rsid w:val="00A10213"/>
    <w:rsid w:val="00A14686"/>
    <w:rsid w:val="00A211B9"/>
    <w:rsid w:val="00A21B0C"/>
    <w:rsid w:val="00A25884"/>
    <w:rsid w:val="00A25CED"/>
    <w:rsid w:val="00A40DDD"/>
    <w:rsid w:val="00A549E0"/>
    <w:rsid w:val="00A60925"/>
    <w:rsid w:val="00A62141"/>
    <w:rsid w:val="00A671D9"/>
    <w:rsid w:val="00A67B64"/>
    <w:rsid w:val="00A84C5B"/>
    <w:rsid w:val="00A91C35"/>
    <w:rsid w:val="00A93D02"/>
    <w:rsid w:val="00AC0DEF"/>
    <w:rsid w:val="00AC26E5"/>
    <w:rsid w:val="00AC47A6"/>
    <w:rsid w:val="00AD7027"/>
    <w:rsid w:val="00AE410D"/>
    <w:rsid w:val="00AF24A3"/>
    <w:rsid w:val="00AF63C1"/>
    <w:rsid w:val="00AF703C"/>
    <w:rsid w:val="00B02F58"/>
    <w:rsid w:val="00B171B0"/>
    <w:rsid w:val="00B24880"/>
    <w:rsid w:val="00B263A5"/>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84BF1"/>
    <w:rsid w:val="00BB0137"/>
    <w:rsid w:val="00BB29B0"/>
    <w:rsid w:val="00BB4335"/>
    <w:rsid w:val="00BC6CBD"/>
    <w:rsid w:val="00BC6F4C"/>
    <w:rsid w:val="00BC7397"/>
    <w:rsid w:val="00BD7CF0"/>
    <w:rsid w:val="00BE065F"/>
    <w:rsid w:val="00BE5DC1"/>
    <w:rsid w:val="00BE73A8"/>
    <w:rsid w:val="00BF1DCD"/>
    <w:rsid w:val="00C04448"/>
    <w:rsid w:val="00C2325C"/>
    <w:rsid w:val="00C258FE"/>
    <w:rsid w:val="00C37578"/>
    <w:rsid w:val="00C41B22"/>
    <w:rsid w:val="00C47B21"/>
    <w:rsid w:val="00C558B8"/>
    <w:rsid w:val="00C56AB3"/>
    <w:rsid w:val="00C7456A"/>
    <w:rsid w:val="00C74FA7"/>
    <w:rsid w:val="00C7752A"/>
    <w:rsid w:val="00C823E2"/>
    <w:rsid w:val="00C858E7"/>
    <w:rsid w:val="00C85939"/>
    <w:rsid w:val="00C90734"/>
    <w:rsid w:val="00C96EB6"/>
    <w:rsid w:val="00CA05A7"/>
    <w:rsid w:val="00CA3272"/>
    <w:rsid w:val="00CA7B5D"/>
    <w:rsid w:val="00CB6554"/>
    <w:rsid w:val="00CB7AA1"/>
    <w:rsid w:val="00CC6FDD"/>
    <w:rsid w:val="00CD74FC"/>
    <w:rsid w:val="00CD7D48"/>
    <w:rsid w:val="00CE209F"/>
    <w:rsid w:val="00CE2850"/>
    <w:rsid w:val="00D004C1"/>
    <w:rsid w:val="00D07E2E"/>
    <w:rsid w:val="00D15F32"/>
    <w:rsid w:val="00D16202"/>
    <w:rsid w:val="00D162B7"/>
    <w:rsid w:val="00D216E0"/>
    <w:rsid w:val="00D228BA"/>
    <w:rsid w:val="00D31392"/>
    <w:rsid w:val="00D4352B"/>
    <w:rsid w:val="00D53D65"/>
    <w:rsid w:val="00D6204D"/>
    <w:rsid w:val="00D64BE9"/>
    <w:rsid w:val="00D714C6"/>
    <w:rsid w:val="00D8743B"/>
    <w:rsid w:val="00D95E08"/>
    <w:rsid w:val="00DA1FA1"/>
    <w:rsid w:val="00DA3034"/>
    <w:rsid w:val="00DB3685"/>
    <w:rsid w:val="00DC5E4B"/>
    <w:rsid w:val="00DC7B58"/>
    <w:rsid w:val="00DD197B"/>
    <w:rsid w:val="00DD7DDE"/>
    <w:rsid w:val="00DE4EEB"/>
    <w:rsid w:val="00DE6B38"/>
    <w:rsid w:val="00DE7E0A"/>
    <w:rsid w:val="00DF55BA"/>
    <w:rsid w:val="00E02FAD"/>
    <w:rsid w:val="00E11EE8"/>
    <w:rsid w:val="00E167A2"/>
    <w:rsid w:val="00E232E1"/>
    <w:rsid w:val="00E274DF"/>
    <w:rsid w:val="00E554EE"/>
    <w:rsid w:val="00E55911"/>
    <w:rsid w:val="00E56034"/>
    <w:rsid w:val="00E61983"/>
    <w:rsid w:val="00E61D25"/>
    <w:rsid w:val="00E67FC4"/>
    <w:rsid w:val="00E86382"/>
    <w:rsid w:val="00E9411A"/>
    <w:rsid w:val="00EA4B51"/>
    <w:rsid w:val="00EC3375"/>
    <w:rsid w:val="00EC5FEA"/>
    <w:rsid w:val="00EE5780"/>
    <w:rsid w:val="00EF2003"/>
    <w:rsid w:val="00EF6139"/>
    <w:rsid w:val="00F0399F"/>
    <w:rsid w:val="00F03AE9"/>
    <w:rsid w:val="00F05694"/>
    <w:rsid w:val="00F112B8"/>
    <w:rsid w:val="00F135FB"/>
    <w:rsid w:val="00F17A78"/>
    <w:rsid w:val="00F20B71"/>
    <w:rsid w:val="00F34369"/>
    <w:rsid w:val="00F37989"/>
    <w:rsid w:val="00F444BD"/>
    <w:rsid w:val="00F60786"/>
    <w:rsid w:val="00F67012"/>
    <w:rsid w:val="00F67FE7"/>
    <w:rsid w:val="00F71F65"/>
    <w:rsid w:val="00F7782D"/>
    <w:rsid w:val="00F82B31"/>
    <w:rsid w:val="00F84B62"/>
    <w:rsid w:val="00F84E72"/>
    <w:rsid w:val="00FA0D71"/>
    <w:rsid w:val="00FA75F2"/>
    <w:rsid w:val="00FB3002"/>
    <w:rsid w:val="00FC6E01"/>
    <w:rsid w:val="00FC73CB"/>
    <w:rsid w:val="00FC7AC9"/>
    <w:rsid w:val="00FD0C4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458673">
      <w:bodyDiv w:val="1"/>
      <w:marLeft w:val="0"/>
      <w:marRight w:val="0"/>
      <w:marTop w:val="0"/>
      <w:marBottom w:val="0"/>
      <w:divBdr>
        <w:top w:val="none" w:sz="0" w:space="0" w:color="auto"/>
        <w:left w:val="none" w:sz="0" w:space="0" w:color="auto"/>
        <w:bottom w:val="none" w:sz="0" w:space="0" w:color="auto"/>
        <w:right w:val="none" w:sz="0" w:space="0" w:color="auto"/>
      </w:divBdr>
    </w:div>
    <w:div w:id="654989374">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290355241">
      <w:bodyDiv w:val="1"/>
      <w:marLeft w:val="0"/>
      <w:marRight w:val="0"/>
      <w:marTop w:val="0"/>
      <w:marBottom w:val="0"/>
      <w:divBdr>
        <w:top w:val="none" w:sz="0" w:space="0" w:color="auto"/>
        <w:left w:val="none" w:sz="0" w:space="0" w:color="auto"/>
        <w:bottom w:val="none" w:sz="0" w:space="0" w:color="auto"/>
        <w:right w:val="none" w:sz="0" w:space="0" w:color="auto"/>
      </w:divBdr>
    </w:div>
    <w:div w:id="183175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80D0F-5E6E-4CB1-9FDB-5312E59A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1590</Words>
  <Characters>8751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10321</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Loubna HAFIDI</cp:lastModifiedBy>
  <cp:revision>6</cp:revision>
  <cp:lastPrinted>2013-05-24T14:05:00Z</cp:lastPrinted>
  <dcterms:created xsi:type="dcterms:W3CDTF">2025-02-21T10:57:00Z</dcterms:created>
  <dcterms:modified xsi:type="dcterms:W3CDTF">2025-03-10T09:53:00Z</dcterms:modified>
</cp:coreProperties>
</file>