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4AB6DD" w14:textId="72D37130" w:rsidR="00176188" w:rsidRPr="00C822AF" w:rsidRDefault="00B07D80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>
        <w:rPr>
          <w:rFonts w:cstheme="minorHAnsi"/>
          <w:b/>
          <w:bCs/>
          <w:color w:val="4F81BD" w:themeColor="accent1"/>
          <w:sz w:val="24"/>
          <w:szCs w:val="20"/>
        </w:rPr>
        <w:t>ACQUISITION,</w:t>
      </w:r>
      <w:r w:rsidR="00DD1A51">
        <w:rPr>
          <w:rFonts w:cstheme="minorHAnsi"/>
          <w:b/>
          <w:bCs/>
          <w:color w:val="4F81BD" w:themeColor="accent1"/>
          <w:sz w:val="24"/>
          <w:szCs w:val="20"/>
        </w:rPr>
        <w:t xml:space="preserve"> MAINTENANCE DE FAUTEUILS DENT</w:t>
      </w:r>
      <w:r w:rsidR="009F7758">
        <w:rPr>
          <w:rFonts w:cstheme="minorHAnsi"/>
          <w:b/>
          <w:bCs/>
          <w:color w:val="4F81BD" w:themeColor="accent1"/>
          <w:sz w:val="24"/>
          <w:szCs w:val="20"/>
        </w:rPr>
        <w:t xml:space="preserve">AIRES ET </w:t>
      </w:r>
      <w:r>
        <w:rPr>
          <w:rFonts w:cstheme="minorHAnsi"/>
          <w:b/>
          <w:bCs/>
          <w:color w:val="4F81BD" w:themeColor="accent1"/>
          <w:sz w:val="24"/>
          <w:szCs w:val="20"/>
        </w:rPr>
        <w:t xml:space="preserve">DE </w:t>
      </w:r>
      <w:r w:rsidR="009F7758">
        <w:rPr>
          <w:rFonts w:cstheme="minorHAnsi"/>
          <w:b/>
          <w:bCs/>
          <w:color w:val="4F81BD" w:themeColor="accent1"/>
          <w:sz w:val="24"/>
          <w:szCs w:val="20"/>
        </w:rPr>
        <w:t>LEURS MATERIELS PERIPHE</w:t>
      </w:r>
      <w:r w:rsidR="00DD1A51">
        <w:rPr>
          <w:rFonts w:cstheme="minorHAnsi"/>
          <w:b/>
          <w:bCs/>
          <w:color w:val="4F81BD" w:themeColor="accent1"/>
          <w:sz w:val="24"/>
          <w:szCs w:val="20"/>
        </w:rPr>
        <w:t>RIQUES POUR LES CENTRES DE SANTE DENTAIRE DE LA CPAM DE PARIS</w:t>
      </w:r>
    </w:p>
    <w:p w14:paraId="79DCC792" w14:textId="30067384" w:rsidR="00477B53" w:rsidRPr="00C822AF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i/>
          <w:color w:val="4F81BD" w:themeColor="accent1"/>
          <w:szCs w:val="20"/>
        </w:rPr>
      </w:pPr>
      <w:r w:rsidRPr="00C822AF">
        <w:rPr>
          <w:rFonts w:cstheme="minorHAnsi"/>
          <w:b/>
          <w:bCs/>
          <w:i/>
          <w:color w:val="4F81BD" w:themeColor="accent1"/>
          <w:szCs w:val="20"/>
        </w:rPr>
        <w:t xml:space="preserve">La consultation comporte </w:t>
      </w:r>
      <w:r w:rsidR="0066065B" w:rsidRPr="00C822AF">
        <w:rPr>
          <w:rFonts w:cstheme="minorHAnsi"/>
          <w:b/>
          <w:bCs/>
          <w:i/>
          <w:color w:val="4F81BD" w:themeColor="accent1"/>
          <w:szCs w:val="20"/>
        </w:rPr>
        <w:t>2 lots</w:t>
      </w:r>
    </w:p>
    <w:p w14:paraId="06A5D238" w14:textId="227E6FD5" w:rsidR="00E926D8" w:rsidRPr="00C822AF" w:rsidRDefault="00E926D8" w:rsidP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950EC6" w14:textId="5DDC2CD3" w:rsidR="00E926D8" w:rsidRDefault="00E926D8" w:rsidP="00E926D8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 w:rsidRPr="00C822AF">
        <w:rPr>
          <w:b w:val="0"/>
          <w:i/>
          <w:sz w:val="20"/>
        </w:rPr>
        <w:t>Accord-cadre passé en application de l’article R212</w:t>
      </w:r>
      <w:r w:rsidR="00DE2C55" w:rsidRPr="00C822AF">
        <w:rPr>
          <w:b w:val="0"/>
          <w:i/>
          <w:sz w:val="20"/>
        </w:rPr>
        <w:t>4</w:t>
      </w:r>
      <w:r w:rsidRPr="00C822AF">
        <w:rPr>
          <w:b w:val="0"/>
          <w:i/>
          <w:sz w:val="20"/>
        </w:rPr>
        <w:t>-</w:t>
      </w:r>
      <w:r w:rsidR="00DE2C55" w:rsidRPr="00C822AF">
        <w:rPr>
          <w:b w:val="0"/>
          <w:i/>
          <w:sz w:val="20"/>
        </w:rPr>
        <w:t>2</w:t>
      </w:r>
      <w:r w:rsidRPr="00C822AF">
        <w:rPr>
          <w:b w:val="0"/>
          <w:i/>
          <w:sz w:val="20"/>
        </w:rPr>
        <w:t xml:space="preserve"> </w:t>
      </w:r>
      <w:r w:rsidR="00DE2C55" w:rsidRPr="00C822AF">
        <w:rPr>
          <w:b w:val="0"/>
          <w:i/>
          <w:sz w:val="20"/>
        </w:rPr>
        <w:t>1</w:t>
      </w:r>
      <w:r w:rsidRPr="00C822AF">
        <w:rPr>
          <w:b w:val="0"/>
          <w:i/>
          <w:sz w:val="20"/>
        </w:rPr>
        <w:t>° du Code de la commande publique</w:t>
      </w:r>
    </w:p>
    <w:p w14:paraId="64D47884" w14:textId="77777777" w:rsidR="008F7993" w:rsidRPr="003E5BE9" w:rsidRDefault="008F7993" w:rsidP="008F7993">
      <w:pPr>
        <w:pStyle w:val="RedTitre1"/>
        <w:keepNext/>
        <w:framePr w:hSpace="0" w:wrap="auto" w:vAnchor="margin" w:xAlign="left" w:yAlign="inline"/>
        <w:widowControl/>
        <w:jc w:val="left"/>
        <w:rPr>
          <w:b w:val="0"/>
          <w:i/>
          <w:sz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8F7993" w:rsidRPr="00F32B40" w14:paraId="719225D1" w14:textId="77777777" w:rsidTr="005416CB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0B0693A" w14:textId="77777777" w:rsidR="008F7993" w:rsidRPr="00F32B40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AC1A2DE" w14:textId="4595ACF1" w:rsidR="008F7993" w:rsidRPr="008E50E2" w:rsidRDefault="008F7993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OT</w:t>
            </w: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 – </w:t>
            </w:r>
            <w:r w:rsidR="00DD1A51">
              <w:rPr>
                <w:rFonts w:ascii="Arial" w:hAnsi="Arial" w:cs="Arial"/>
                <w:b/>
                <w:color w:val="000000"/>
                <w:sz w:val="20"/>
                <w:szCs w:val="20"/>
              </w:rPr>
              <w:t>Acquisition et maintenance de fauteuils</w:t>
            </w:r>
            <w:r w:rsidR="00B07D8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dentaires</w:t>
            </w:r>
          </w:p>
        </w:tc>
      </w:tr>
      <w:tr w:rsidR="008F7993" w:rsidRPr="00F32B40" w14:paraId="0E8C2897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EC1B6D8" w14:textId="77777777" w:rsidR="008F7993" w:rsidRPr="00F32B40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8902FF2" w14:textId="6F71E1C6" w:rsidR="008F7993" w:rsidRPr="008E50E2" w:rsidRDefault="008F7993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OT</w:t>
            </w:r>
            <w:r w:rsidR="00DD1A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2 – Maintenance </w:t>
            </w:r>
            <w:r w:rsidR="00B07D8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multimarques </w:t>
            </w:r>
            <w:r w:rsidR="007D3ACE">
              <w:rPr>
                <w:rFonts w:ascii="Arial" w:hAnsi="Arial" w:cs="Arial"/>
                <w:b/>
                <w:color w:val="000000"/>
                <w:sz w:val="20"/>
                <w:szCs w:val="20"/>
              </w:rPr>
              <w:t>de fauteuils dentaires</w:t>
            </w:r>
          </w:p>
        </w:tc>
      </w:tr>
      <w:tr w:rsidR="008F7993" w:rsidRPr="00F32B40" w14:paraId="7895D144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1FDDBE2" w14:textId="77777777" w:rsidR="008F7993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2E93B53" w14:textId="636943A2" w:rsidR="008F7993" w:rsidRPr="008E50E2" w:rsidRDefault="0066065B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L’ensemble des lots</w:t>
            </w:r>
          </w:p>
        </w:tc>
      </w:tr>
    </w:tbl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37954930" w:rsidR="00176188" w:rsidRPr="009A440D" w:rsidRDefault="007D3AC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B07D80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Direction des Structures de Soins et de Prévention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352B3C6" w:rsidR="00292799" w:rsidRDefault="00B07D80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3D8440CF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2DE68C07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7D3ACE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7D3ACE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448FE063" w14:textId="06C7837C" w:rsidR="00292799" w:rsidRDefault="00292799" w:rsidP="00B07D8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73087641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B07D80">
        <w:rPr>
          <w:rFonts w:ascii="Arial" w:hAnsi="Arial" w:cs="Arial"/>
          <w:b/>
          <w:bCs/>
          <w:color w:val="000000"/>
          <w:sz w:val="20"/>
          <w:szCs w:val="18"/>
        </w:rPr>
        <w:t>6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4455FD01" w:rsidR="0094181F" w:rsidRPr="00B14AA7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B14AA7">
        <w:rPr>
          <w:rFonts w:ascii="Arial" w:hAnsi="Arial" w:cs="Arial"/>
          <w:b/>
          <w:bCs/>
          <w:color w:val="000000"/>
          <w:sz w:val="20"/>
          <w:szCs w:val="20"/>
        </w:rPr>
        <w:t>le</w:t>
      </w:r>
      <w:r w:rsidR="00C822AF" w:rsidRPr="00B14AA7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B14AA7">
        <w:rPr>
          <w:rFonts w:ascii="Arial" w:hAnsi="Arial" w:cs="Arial"/>
          <w:b/>
          <w:bCs/>
          <w:color w:val="000000"/>
          <w:sz w:val="20"/>
          <w:szCs w:val="20"/>
        </w:rPr>
        <w:t xml:space="preserve"> cadre</w:t>
      </w:r>
      <w:r w:rsidR="00C822AF" w:rsidRPr="00B14AA7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B14AA7">
        <w:rPr>
          <w:rFonts w:ascii="Arial" w:hAnsi="Arial" w:cs="Arial"/>
          <w:b/>
          <w:bCs/>
          <w:color w:val="000000"/>
          <w:sz w:val="20"/>
          <w:szCs w:val="20"/>
        </w:rPr>
        <w:t xml:space="preserve"> de réponse financière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 (annexe</w:t>
      </w:r>
      <w:r w:rsidR="00C822AF" w:rsidRPr="00B14AA7">
        <w:rPr>
          <w:rFonts w:ascii="Arial" w:hAnsi="Arial" w:cs="Arial"/>
          <w:bCs/>
          <w:color w:val="000000"/>
          <w:sz w:val="20"/>
          <w:szCs w:val="20"/>
        </w:rPr>
        <w:t>s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 1</w:t>
      </w:r>
      <w:r w:rsidR="00C822AF" w:rsidRPr="00B14AA7">
        <w:rPr>
          <w:rFonts w:ascii="Arial" w:hAnsi="Arial" w:cs="Arial"/>
          <w:bCs/>
          <w:color w:val="000000"/>
          <w:sz w:val="20"/>
          <w:szCs w:val="20"/>
        </w:rPr>
        <w:t xml:space="preserve"> et/ou 2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 de l’acte d’engagement).</w:t>
      </w:r>
    </w:p>
    <w:p w14:paraId="3ECEC966" w14:textId="64257033" w:rsidR="0094181F" w:rsidRPr="00B14AA7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Ainsi, les prestations seront réglées sur la base des prix unitaires nets </w:t>
      </w:r>
      <w:r w:rsidR="00573E6E">
        <w:rPr>
          <w:rFonts w:ascii="Arial" w:hAnsi="Arial" w:cs="Arial"/>
          <w:bCs/>
          <w:color w:val="000000"/>
          <w:sz w:val="20"/>
          <w:szCs w:val="20"/>
        </w:rPr>
        <w:t xml:space="preserve">et forfaitaire 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>hors taxes figurant sur le</w:t>
      </w:r>
      <w:r w:rsidR="00C822AF" w:rsidRPr="00B14AA7">
        <w:rPr>
          <w:rFonts w:ascii="Arial" w:hAnsi="Arial" w:cs="Arial"/>
          <w:bCs/>
          <w:color w:val="000000"/>
          <w:sz w:val="20"/>
          <w:szCs w:val="20"/>
        </w:rPr>
        <w:t>s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B14AA7">
        <w:rPr>
          <w:rFonts w:ascii="Arial" w:hAnsi="Arial" w:cs="Arial"/>
          <w:bCs/>
          <w:color w:val="000000"/>
          <w:sz w:val="20"/>
          <w:szCs w:val="20"/>
        </w:rPr>
        <w:t>x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 des Prix Unitaires</w:t>
      </w:r>
      <w:r w:rsidR="00AE3159">
        <w:rPr>
          <w:rFonts w:ascii="Arial" w:hAnsi="Arial" w:cs="Arial"/>
          <w:bCs/>
          <w:color w:val="000000"/>
          <w:sz w:val="20"/>
          <w:szCs w:val="20"/>
        </w:rPr>
        <w:t xml:space="preserve"> et </w:t>
      </w:r>
      <w:r w:rsidR="00E149FD">
        <w:rPr>
          <w:rFonts w:ascii="Arial" w:hAnsi="Arial" w:cs="Arial"/>
          <w:bCs/>
          <w:color w:val="000000"/>
          <w:sz w:val="20"/>
          <w:szCs w:val="20"/>
        </w:rPr>
        <w:t xml:space="preserve">Forfaitaire </w:t>
      </w:r>
      <w:r w:rsidR="00E149FD" w:rsidRPr="00B14AA7">
        <w:rPr>
          <w:rFonts w:ascii="Arial" w:hAnsi="Arial" w:cs="Arial"/>
          <w:bCs/>
          <w:color w:val="000000"/>
          <w:sz w:val="20"/>
          <w:szCs w:val="20"/>
        </w:rPr>
        <w:t>(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>BPU).</w:t>
      </w:r>
    </w:p>
    <w:p w14:paraId="1115064F" w14:textId="77777777" w:rsidR="0094181F" w:rsidRPr="00B14AA7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E06C559" w14:textId="73BD8CF3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B14AA7">
        <w:rPr>
          <w:rFonts w:ascii="Arial" w:hAnsi="Arial" w:cs="Arial"/>
          <w:bCs/>
          <w:color w:val="000000"/>
          <w:sz w:val="20"/>
          <w:szCs w:val="20"/>
        </w:rPr>
        <w:t>Pour les articles non cités au</w:t>
      </w:r>
      <w:r w:rsidR="00C822AF" w:rsidRPr="00B14AA7">
        <w:rPr>
          <w:rFonts w:ascii="Arial" w:hAnsi="Arial" w:cs="Arial"/>
          <w:bCs/>
          <w:color w:val="000000"/>
          <w:sz w:val="20"/>
          <w:szCs w:val="20"/>
        </w:rPr>
        <w:t>x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B14AA7">
        <w:rPr>
          <w:rFonts w:ascii="Arial" w:hAnsi="Arial" w:cs="Arial"/>
          <w:bCs/>
          <w:color w:val="000000"/>
          <w:sz w:val="20"/>
          <w:szCs w:val="20"/>
        </w:rPr>
        <w:t>x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 xml:space="preserve"> des Prix Unitaires</w:t>
      </w:r>
      <w:r w:rsidR="00E149FD" w:rsidRPr="00E149F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E149FD">
        <w:rPr>
          <w:rFonts w:ascii="Arial" w:hAnsi="Arial" w:cs="Arial"/>
          <w:bCs/>
          <w:color w:val="000000"/>
          <w:sz w:val="20"/>
          <w:szCs w:val="20"/>
        </w:rPr>
        <w:t xml:space="preserve">et Forfaitaire </w:t>
      </w:r>
      <w:r w:rsidR="00E149FD" w:rsidRPr="00B14AA7">
        <w:rPr>
          <w:rFonts w:ascii="Arial" w:hAnsi="Arial" w:cs="Arial"/>
          <w:bCs/>
          <w:color w:val="000000"/>
          <w:sz w:val="20"/>
          <w:szCs w:val="20"/>
        </w:rPr>
        <w:t>(</w:t>
      </w:r>
      <w:r w:rsidRPr="00B14AA7">
        <w:rPr>
          <w:rFonts w:ascii="Arial" w:hAnsi="Arial" w:cs="Arial"/>
          <w:bCs/>
          <w:color w:val="000000"/>
          <w:sz w:val="20"/>
          <w:szCs w:val="20"/>
        </w:rPr>
        <w:t>BPU), les pourcentages de réduction consentis seront appliqués.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4CDD0C2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7D3CFFC0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rticle 2 du Cahier des 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Administratives Particulières.</w:t>
      </w:r>
    </w:p>
    <w:p w14:paraId="600CA39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FED4DC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CD74F4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E8C92E3" w14:textId="38EEF8B7" w:rsidR="0094181F" w:rsidRDefault="0094181F" w:rsidP="00B07D8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2A4D154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4D32ED" w14:textId="7A322696" w:rsidR="00893BA7" w:rsidRPr="00B14AA7" w:rsidRDefault="00676E73" w:rsidP="00676E73">
      <w:pPr>
        <w:pStyle w:val="RedTxt"/>
        <w:jc w:val="both"/>
      </w:pPr>
      <w:r>
        <w:rPr>
          <w:sz w:val="20"/>
          <w:szCs w:val="20"/>
        </w:rPr>
        <w:t xml:space="preserve">  </w:t>
      </w:r>
      <w:r w:rsidR="00893BA7" w:rsidRPr="00B14AA7">
        <w:rPr>
          <w:sz w:val="20"/>
          <w:szCs w:val="20"/>
        </w:rPr>
        <w:t xml:space="preserve">La durée du marché est fixée à </w:t>
      </w:r>
      <w:r w:rsidR="0072289F" w:rsidRPr="00B14AA7">
        <w:rPr>
          <w:sz w:val="20"/>
          <w:szCs w:val="20"/>
        </w:rPr>
        <w:t>1</w:t>
      </w:r>
      <w:r w:rsidR="00DE2C55" w:rsidRPr="00B14AA7">
        <w:rPr>
          <w:sz w:val="20"/>
          <w:szCs w:val="20"/>
        </w:rPr>
        <w:t xml:space="preserve"> (un)</w:t>
      </w:r>
      <w:r w:rsidR="00893BA7" w:rsidRPr="00B14AA7">
        <w:rPr>
          <w:sz w:val="20"/>
          <w:szCs w:val="20"/>
        </w:rPr>
        <w:t xml:space="preserve"> an, à compter </w:t>
      </w:r>
      <w:r w:rsidR="00DE2C55" w:rsidRPr="00B14AA7">
        <w:rPr>
          <w:sz w:val="20"/>
          <w:szCs w:val="20"/>
        </w:rPr>
        <w:t>de sa notification.</w:t>
      </w:r>
    </w:p>
    <w:p w14:paraId="4EA76C83" w14:textId="7779038B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  <w:r w:rsidRPr="00B14AA7">
        <w:rPr>
          <w:sz w:val="20"/>
          <w:szCs w:val="20"/>
        </w:rPr>
        <w:t>Le marché est r</w:t>
      </w:r>
      <w:r w:rsidR="00931288" w:rsidRPr="00B14AA7">
        <w:rPr>
          <w:sz w:val="20"/>
          <w:szCs w:val="20"/>
        </w:rPr>
        <w:t xml:space="preserve">econductible de manière tacite </w:t>
      </w:r>
      <w:r w:rsidR="00F44214" w:rsidRPr="00B14AA7">
        <w:rPr>
          <w:sz w:val="20"/>
          <w:szCs w:val="20"/>
        </w:rPr>
        <w:t>3</w:t>
      </w:r>
      <w:r w:rsidR="00DE2C55" w:rsidRPr="00B14AA7">
        <w:rPr>
          <w:sz w:val="20"/>
          <w:szCs w:val="20"/>
        </w:rPr>
        <w:t xml:space="preserve"> (trois)</w:t>
      </w:r>
      <w:r w:rsidRPr="00B14AA7">
        <w:rPr>
          <w:sz w:val="20"/>
          <w:szCs w:val="20"/>
        </w:rPr>
        <w:t xml:space="preserve"> fois, pour une période de 1</w:t>
      </w:r>
      <w:r w:rsidR="00DE2C55" w:rsidRPr="00B14AA7">
        <w:rPr>
          <w:sz w:val="20"/>
          <w:szCs w:val="20"/>
        </w:rPr>
        <w:t xml:space="preserve"> (un)</w:t>
      </w:r>
      <w:r w:rsidRPr="00B14AA7">
        <w:rPr>
          <w:sz w:val="20"/>
          <w:szCs w:val="20"/>
        </w:rPr>
        <w:t xml:space="preserve"> </w:t>
      </w:r>
      <w:r w:rsidR="00780AB7" w:rsidRPr="00B14AA7">
        <w:rPr>
          <w:sz w:val="20"/>
          <w:szCs w:val="20"/>
        </w:rPr>
        <w:t xml:space="preserve">an, soit une durée maximale de </w:t>
      </w:r>
      <w:r w:rsidR="00F44214" w:rsidRPr="00B14AA7">
        <w:rPr>
          <w:sz w:val="20"/>
          <w:szCs w:val="20"/>
        </w:rPr>
        <w:t>4</w:t>
      </w:r>
      <w:r w:rsidR="00DE2C55" w:rsidRPr="00B14AA7">
        <w:rPr>
          <w:sz w:val="20"/>
          <w:szCs w:val="20"/>
        </w:rPr>
        <w:t xml:space="preserve"> (quatre)</w:t>
      </w:r>
      <w:r w:rsidRPr="00B14AA7">
        <w:rPr>
          <w:sz w:val="20"/>
          <w:szCs w:val="20"/>
        </w:rPr>
        <w:t xml:space="preserve"> ans.</w:t>
      </w:r>
    </w:p>
    <w:p w14:paraId="07FAC332" w14:textId="77777777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</w:p>
    <w:p w14:paraId="7A30CDF1" w14:textId="7D718EEE" w:rsidR="00532018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titulaire du marché ne peut pas refuser la reconduction selon les dispositions </w:t>
      </w:r>
      <w:r w:rsidR="00F81E91">
        <w:rPr>
          <w:rFonts w:ascii="Arial" w:hAnsi="Arial" w:cs="Arial"/>
          <w:color w:val="000000"/>
          <w:sz w:val="20"/>
          <w:szCs w:val="20"/>
        </w:rPr>
        <w:t xml:space="preserve">de l'article </w:t>
      </w:r>
      <w:r w:rsidR="00F81E91" w:rsidRPr="00F81E91">
        <w:rPr>
          <w:rFonts w:ascii="Arial" w:hAnsi="Arial" w:cs="Arial"/>
          <w:color w:val="000000"/>
          <w:sz w:val="20"/>
          <w:szCs w:val="20"/>
        </w:rPr>
        <w:t>R2112-4 alinéa 2 du Code de la commande publique.</w:t>
      </w:r>
    </w:p>
    <w:p w14:paraId="6A36B204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F582024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0CAC9468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F1468C">
        <w:rPr>
          <w:rFonts w:ascii="Arial" w:hAnsi="Arial" w:cs="Arial"/>
          <w:color w:val="000000"/>
          <w:sz w:val="20"/>
          <w:szCs w:val="20"/>
        </w:rPr>
        <w:t>2.</w:t>
      </w:r>
      <w:r w:rsidR="00CA390C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5BFD46" w14:textId="77777777" w:rsidR="006F22CA" w:rsidRPr="00D76F6F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94181F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94181F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94181F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E43FE9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791BB13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66B117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2793D59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7D3ACE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495A74ED" w:rsidR="0094181F" w:rsidRDefault="007D3ACE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7D3ACE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7D3ACE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7D3ACE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4ADB33" w14:textId="645BE4EA" w:rsidR="00972CFD" w:rsidRDefault="007D3ACE" w:rsidP="00972CF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37314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FD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72CFD">
        <w:rPr>
          <w:rFonts w:ascii="Arial" w:hAnsi="Arial" w:cs="Arial"/>
          <w:color w:val="000000"/>
          <w:sz w:val="20"/>
          <w:szCs w:val="20"/>
        </w:rPr>
        <w:t xml:space="preserve">  A fait l’objet d’une négociation</w:t>
      </w:r>
    </w:p>
    <w:p w14:paraId="23C7EA01" w14:textId="692ACE91" w:rsidR="00972CFD" w:rsidRDefault="007D3ACE" w:rsidP="00972CF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970357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FD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72CFD">
        <w:rPr>
          <w:rFonts w:ascii="Arial" w:hAnsi="Arial" w:cs="Arial"/>
          <w:color w:val="000000"/>
          <w:sz w:val="20"/>
          <w:szCs w:val="20"/>
        </w:rPr>
        <w:t xml:space="preserve">  N’a pas fait l’objet d’une négociation</w:t>
      </w: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3" w:name="page_total_master0"/>
      <w:bookmarkStart w:id="14" w:name="page_total"/>
      <w:bookmarkEnd w:id="13"/>
      <w:bookmarkEnd w:id="14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A4ABA" w14:textId="77777777" w:rsidR="001F4968" w:rsidRDefault="001F4968">
      <w:pPr>
        <w:spacing w:after="0" w:line="240" w:lineRule="auto"/>
      </w:pPr>
      <w:r>
        <w:separator/>
      </w:r>
    </w:p>
  </w:endnote>
  <w:endnote w:type="continuationSeparator" w:id="0">
    <w:p w14:paraId="4ABF477E" w14:textId="77777777" w:rsidR="001F4968" w:rsidRDefault="001F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6F6C3" w14:textId="414DFA2C" w:rsidR="00292799" w:rsidRDefault="00292799" w:rsidP="00A512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 w:rsidR="003E5BE9">
      <w:rPr>
        <w:rFonts w:ascii="Arial" w:hAnsi="Arial" w:cs="Arial"/>
        <w:color w:val="000000"/>
        <w:sz w:val="16"/>
        <w:szCs w:val="16"/>
      </w:rPr>
      <w:t xml:space="preserve"> – </w:t>
    </w:r>
    <w:r w:rsidR="00B07D80">
      <w:rPr>
        <w:rFonts w:ascii="Arial" w:hAnsi="Arial" w:cs="Arial"/>
        <w:sz w:val="16"/>
        <w:szCs w:val="16"/>
      </w:rPr>
      <w:t>Acquisition et</w:t>
    </w:r>
    <w:r w:rsidR="00605A29" w:rsidRPr="00605A29">
      <w:rPr>
        <w:rFonts w:ascii="Arial" w:hAnsi="Arial" w:cs="Arial"/>
        <w:sz w:val="16"/>
        <w:szCs w:val="16"/>
      </w:rPr>
      <w:t xml:space="preserve"> maintenance de fauteuils dentaires et</w:t>
    </w:r>
    <w:r w:rsidR="00B07D80">
      <w:rPr>
        <w:rFonts w:ascii="Arial" w:hAnsi="Arial" w:cs="Arial"/>
        <w:sz w:val="16"/>
        <w:szCs w:val="16"/>
      </w:rPr>
      <w:t xml:space="preserve"> de</w:t>
    </w:r>
    <w:r w:rsidR="00605A29" w:rsidRPr="00605A29">
      <w:rPr>
        <w:rFonts w:ascii="Arial" w:hAnsi="Arial" w:cs="Arial"/>
        <w:sz w:val="16"/>
        <w:szCs w:val="16"/>
      </w:rPr>
      <w:t xml:space="preserve"> leurs matériels périphériques pour </w:t>
    </w:r>
    <w:r w:rsidR="00B07D80">
      <w:rPr>
        <w:rFonts w:ascii="Arial" w:hAnsi="Arial" w:cs="Arial"/>
        <w:sz w:val="16"/>
        <w:szCs w:val="16"/>
      </w:rPr>
      <w:t>les centres dentaires en 2 lots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B07D80">
      <w:rPr>
        <w:rFonts w:ascii="Arial" w:hAnsi="Arial" w:cs="Arial"/>
        <w:color w:val="00000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F03D8" w14:textId="77777777" w:rsidR="001F4968" w:rsidRDefault="001F4968">
      <w:pPr>
        <w:spacing w:after="0" w:line="240" w:lineRule="auto"/>
      </w:pPr>
      <w:r>
        <w:separator/>
      </w:r>
    </w:p>
  </w:footnote>
  <w:footnote w:type="continuationSeparator" w:id="0">
    <w:p w14:paraId="05E20037" w14:textId="77777777" w:rsidR="001F4968" w:rsidRDefault="001F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ry4iMJ527C0sCo4bJfNF84PiM8uib1DOjXc9869MlJlpBYcU0DUyoOVHn7VNzx5OG5bfGnYk1Un0IsMB2G3tPg==" w:salt="dGidqmJsOHHJx52vd9PFqA==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E6"/>
    <w:rsid w:val="00042214"/>
    <w:rsid w:val="000734D4"/>
    <w:rsid w:val="00080E57"/>
    <w:rsid w:val="000E646C"/>
    <w:rsid w:val="0010752F"/>
    <w:rsid w:val="00144C66"/>
    <w:rsid w:val="00160BEB"/>
    <w:rsid w:val="00176188"/>
    <w:rsid w:val="001D1DA1"/>
    <w:rsid w:val="001F4968"/>
    <w:rsid w:val="0023171F"/>
    <w:rsid w:val="00243379"/>
    <w:rsid w:val="00247FFD"/>
    <w:rsid w:val="002520D8"/>
    <w:rsid w:val="00292799"/>
    <w:rsid w:val="002B38DE"/>
    <w:rsid w:val="00354C84"/>
    <w:rsid w:val="003E5BE9"/>
    <w:rsid w:val="004006E1"/>
    <w:rsid w:val="00414D23"/>
    <w:rsid w:val="00477B53"/>
    <w:rsid w:val="00507446"/>
    <w:rsid w:val="00532018"/>
    <w:rsid w:val="00547DAB"/>
    <w:rsid w:val="00565D8C"/>
    <w:rsid w:val="00573E6E"/>
    <w:rsid w:val="005825C7"/>
    <w:rsid w:val="005B2DC5"/>
    <w:rsid w:val="00605A29"/>
    <w:rsid w:val="0066065B"/>
    <w:rsid w:val="006725A1"/>
    <w:rsid w:val="00676E73"/>
    <w:rsid w:val="00693F9B"/>
    <w:rsid w:val="006E4E86"/>
    <w:rsid w:val="006F009F"/>
    <w:rsid w:val="006F22CA"/>
    <w:rsid w:val="0072289F"/>
    <w:rsid w:val="00743745"/>
    <w:rsid w:val="00756374"/>
    <w:rsid w:val="00780AB7"/>
    <w:rsid w:val="007C02D1"/>
    <w:rsid w:val="007C5FDD"/>
    <w:rsid w:val="007D3ACE"/>
    <w:rsid w:val="0082516E"/>
    <w:rsid w:val="0085616F"/>
    <w:rsid w:val="00893BA7"/>
    <w:rsid w:val="008F7993"/>
    <w:rsid w:val="00901733"/>
    <w:rsid w:val="009032FB"/>
    <w:rsid w:val="00931288"/>
    <w:rsid w:val="0094181F"/>
    <w:rsid w:val="00972CFD"/>
    <w:rsid w:val="009A440D"/>
    <w:rsid w:val="009A5011"/>
    <w:rsid w:val="009E0FEE"/>
    <w:rsid w:val="009F7758"/>
    <w:rsid w:val="00A512A2"/>
    <w:rsid w:val="00A6499B"/>
    <w:rsid w:val="00AE3159"/>
    <w:rsid w:val="00B07D80"/>
    <w:rsid w:val="00B14AA7"/>
    <w:rsid w:val="00B439C2"/>
    <w:rsid w:val="00B608C6"/>
    <w:rsid w:val="00B60DA3"/>
    <w:rsid w:val="00B80DF7"/>
    <w:rsid w:val="00B96E6C"/>
    <w:rsid w:val="00C822AF"/>
    <w:rsid w:val="00CA390C"/>
    <w:rsid w:val="00CC0657"/>
    <w:rsid w:val="00CE17E2"/>
    <w:rsid w:val="00D1049B"/>
    <w:rsid w:val="00D53CD4"/>
    <w:rsid w:val="00D70EE6"/>
    <w:rsid w:val="00DD1A51"/>
    <w:rsid w:val="00DE2C55"/>
    <w:rsid w:val="00E149FD"/>
    <w:rsid w:val="00E54944"/>
    <w:rsid w:val="00E926D8"/>
    <w:rsid w:val="00EC1E6B"/>
    <w:rsid w:val="00EE351A"/>
    <w:rsid w:val="00EE41B3"/>
    <w:rsid w:val="00F036B9"/>
    <w:rsid w:val="00F04166"/>
    <w:rsid w:val="00F1468C"/>
    <w:rsid w:val="00F32B40"/>
    <w:rsid w:val="00F44214"/>
    <w:rsid w:val="00F505FE"/>
    <w:rsid w:val="00F72ACD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FABCC-56B0-4B3F-9F8F-C7F684A3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898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CANADA JOHANNA (CPAM PARIS)</cp:lastModifiedBy>
  <cp:revision>26</cp:revision>
  <cp:lastPrinted>2017-08-08T13:04:00Z</cp:lastPrinted>
  <dcterms:created xsi:type="dcterms:W3CDTF">2023-04-28T14:19:00Z</dcterms:created>
  <dcterms:modified xsi:type="dcterms:W3CDTF">2025-04-07T11:34:00Z</dcterms:modified>
</cp:coreProperties>
</file>