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2B4DAE" w:rsidRPr="00E1334A" w:rsidRDefault="007935A0" w:rsidP="002B4DAE">
      <w:pPr>
        <w:rPr>
          <w:rFonts w:ascii="Arial" w:hAnsi="Arial" w:cs="Arial"/>
        </w:rPr>
      </w:pPr>
      <w:r>
        <w:rPr>
          <w:rFonts w:asciiTheme="minorHAnsi" w:hAnsiTheme="minorHAnsi" w:cstheme="minorHAnsi"/>
          <w:iCs/>
        </w:rPr>
        <w:t xml:space="preserve">      </w:t>
      </w:r>
      <w:r w:rsidR="002B4DAE" w:rsidRPr="00E1334A">
        <w:rPr>
          <w:rFonts w:ascii="Arial" w:hAnsi="Arial" w:cs="Arial"/>
        </w:rPr>
        <w:t>Service d’accompagnement social pour l’ensemble des salariés de la CPAM de Haute-Garonne</w:t>
      </w:r>
    </w:p>
    <w:p w:rsidR="00971E76" w:rsidRDefault="00971E76">
      <w:pPr>
        <w:pStyle w:val="Corpsdetexte"/>
        <w:rPr>
          <w:rFonts w:asciiTheme="minorHAnsi" w:hAnsiTheme="minorHAnsi" w:cstheme="minorHAnsi"/>
          <w:iCs/>
        </w:rPr>
      </w:pPr>
      <w:bookmarkStart w:id="0" w:name="_GoBack"/>
      <w:bookmarkEnd w:id="0"/>
    </w:p>
    <w:p w:rsidR="00C67A3F" w:rsidRPr="00971E76" w:rsidRDefault="00C67A3F">
      <w:pPr>
        <w:pStyle w:val="Corpsdetexte"/>
        <w:rPr>
          <w:rFonts w:asciiTheme="minorHAnsi" w:hAnsiTheme="minorHAnsi" w:cstheme="minorHAnsi"/>
          <w:iCs/>
        </w:rPr>
      </w:pPr>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w:t>
      </w:r>
      <w:r>
        <w:rPr>
          <w:b/>
          <w:sz w:val="20"/>
        </w:rPr>
        <w:lastRenderedPageBreak/>
        <w:t>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2B4DAE"/>
    <w:rsid w:val="003379AA"/>
    <w:rsid w:val="00392722"/>
    <w:rsid w:val="0042221C"/>
    <w:rsid w:val="004422F9"/>
    <w:rsid w:val="005409D0"/>
    <w:rsid w:val="007935A0"/>
    <w:rsid w:val="00971E76"/>
    <w:rsid w:val="009B2621"/>
    <w:rsid w:val="00B91645"/>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2759</Words>
  <Characters>15177</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3</cp:revision>
  <dcterms:created xsi:type="dcterms:W3CDTF">2024-05-17T12:11:00Z</dcterms:created>
  <dcterms:modified xsi:type="dcterms:W3CDTF">2025-03-07T16:12:00Z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