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971" w:rsidRPr="00CB34F6" w:rsidRDefault="00105971" w:rsidP="00105971">
      <w:pPr>
        <w:pBdr>
          <w:top w:val="single" w:sz="4" w:space="1" w:color="auto"/>
          <w:left w:val="single" w:sz="4" w:space="1" w:color="auto"/>
          <w:bottom w:val="single" w:sz="4" w:space="1" w:color="auto"/>
          <w:right w:val="single" w:sz="4" w:space="1" w:color="auto"/>
        </w:pBdr>
        <w:jc w:val="center"/>
        <w:rPr>
          <w:rFonts w:ascii="NeueHaasGroteskText Pro" w:hAnsi="NeueHaasGroteskText Pro"/>
          <w:b/>
          <w:sz w:val="40"/>
          <w:szCs w:val="20"/>
        </w:rPr>
      </w:pPr>
      <w:r w:rsidRPr="00CB34F6">
        <w:rPr>
          <w:rFonts w:ascii="NeueHaasGroteskText Pro" w:hAnsi="NeueHaasGroteskText Pro"/>
          <w:b/>
          <w:sz w:val="40"/>
          <w:szCs w:val="20"/>
        </w:rPr>
        <w:t>Mucem</w:t>
      </w:r>
    </w:p>
    <w:p w:rsidR="00CF3D2E" w:rsidRDefault="00CF3D2E" w:rsidP="00105971">
      <w:pPr>
        <w:jc w:val="center"/>
        <w:rPr>
          <w:rFonts w:ascii="Arial" w:hAnsi="Arial" w:cs="Arial"/>
          <w:b/>
          <w:sz w:val="24"/>
          <w:szCs w:val="20"/>
          <w:u w:val="single"/>
        </w:rPr>
      </w:pPr>
    </w:p>
    <w:p w:rsidR="00105971" w:rsidRDefault="00105971" w:rsidP="00105971">
      <w:pPr>
        <w:jc w:val="center"/>
        <w:rPr>
          <w:rFonts w:ascii="Arial" w:hAnsi="Arial" w:cs="Arial"/>
          <w:b/>
          <w:sz w:val="24"/>
          <w:szCs w:val="20"/>
          <w:u w:val="single"/>
        </w:rPr>
      </w:pPr>
      <w:r w:rsidRPr="00F27ABD">
        <w:rPr>
          <w:rFonts w:ascii="Arial" w:hAnsi="Arial" w:cs="Arial"/>
          <w:b/>
          <w:sz w:val="24"/>
          <w:szCs w:val="20"/>
          <w:u w:val="single"/>
        </w:rPr>
        <w:t>Cadre de réponse technique (CRT)</w:t>
      </w:r>
    </w:p>
    <w:p w:rsidR="00CF3D2E" w:rsidRPr="00F27ABD" w:rsidRDefault="00CF3D2E" w:rsidP="00105971">
      <w:pPr>
        <w:jc w:val="center"/>
        <w:rPr>
          <w:rFonts w:ascii="Arial" w:hAnsi="Arial" w:cs="Arial"/>
          <w:b/>
          <w:sz w:val="24"/>
          <w:szCs w:val="20"/>
          <w:u w:val="single"/>
        </w:rPr>
      </w:pPr>
    </w:p>
    <w:p w:rsidR="00105971" w:rsidRPr="00BE25E0" w:rsidRDefault="009F3E96"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Pr>
          <w:rFonts w:ascii="Arial" w:hAnsi="Arial" w:cs="Arial"/>
          <w:b/>
          <w:sz w:val="24"/>
          <w:szCs w:val="20"/>
        </w:rPr>
        <w:t>Procédure adaptée</w:t>
      </w:r>
    </w:p>
    <w:p w:rsidR="009F3E96" w:rsidRDefault="00CF3D2E"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Pr>
          <w:rFonts w:ascii="Arial" w:hAnsi="Arial" w:cs="Arial"/>
          <w:b/>
          <w:sz w:val="24"/>
          <w:szCs w:val="20"/>
        </w:rPr>
        <w:t>Fourniture et livraison de projecteurs d’éclairage LED pour l’auditorium</w:t>
      </w:r>
    </w:p>
    <w:p w:rsidR="00105971" w:rsidRPr="00BE25E0" w:rsidRDefault="00105971"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BE25E0">
        <w:rPr>
          <w:rFonts w:ascii="Arial" w:hAnsi="Arial" w:cs="Arial"/>
          <w:b/>
          <w:sz w:val="24"/>
          <w:szCs w:val="20"/>
        </w:rPr>
        <w:t>Référence consultation : C202</w:t>
      </w:r>
      <w:r w:rsidR="00CF3D2E">
        <w:rPr>
          <w:rFonts w:ascii="Arial" w:hAnsi="Arial" w:cs="Arial"/>
          <w:b/>
          <w:sz w:val="24"/>
          <w:szCs w:val="20"/>
        </w:rPr>
        <w:t>5</w:t>
      </w:r>
      <w:r w:rsidRPr="00BE25E0">
        <w:rPr>
          <w:rFonts w:ascii="Arial" w:hAnsi="Arial" w:cs="Arial"/>
          <w:b/>
          <w:sz w:val="24"/>
          <w:szCs w:val="20"/>
        </w:rPr>
        <w:t>_</w:t>
      </w:r>
      <w:r w:rsidR="008F54D7">
        <w:rPr>
          <w:rFonts w:ascii="Arial" w:hAnsi="Arial" w:cs="Arial"/>
          <w:b/>
          <w:sz w:val="24"/>
          <w:szCs w:val="20"/>
        </w:rPr>
        <w:t>PROD05</w:t>
      </w:r>
    </w:p>
    <w:p w:rsidR="00961516" w:rsidRPr="00BE25E0" w:rsidRDefault="00105971" w:rsidP="00961516">
      <w:pPr>
        <w:spacing w:line="240" w:lineRule="auto"/>
        <w:jc w:val="both"/>
        <w:rPr>
          <w:rFonts w:ascii="Arial" w:hAnsi="Arial" w:cs="Arial"/>
          <w:i/>
          <w:iCs/>
          <w:sz w:val="20"/>
          <w:szCs w:val="20"/>
        </w:rPr>
      </w:pPr>
      <w:r w:rsidRPr="00BE25E0">
        <w:rPr>
          <w:rFonts w:ascii="Arial" w:hAnsi="Arial" w:cs="Arial"/>
          <w:i/>
          <w:iCs/>
          <w:sz w:val="20"/>
          <w:szCs w:val="20"/>
        </w:rPr>
        <w:t xml:space="preserve">Pré-requis : Les données renseignées </w:t>
      </w:r>
      <w:r w:rsidR="00CB34F6">
        <w:rPr>
          <w:rFonts w:ascii="Arial" w:hAnsi="Arial" w:cs="Arial"/>
          <w:i/>
          <w:iCs/>
          <w:sz w:val="20"/>
          <w:szCs w:val="20"/>
        </w:rPr>
        <w:t>dans</w:t>
      </w:r>
      <w:r w:rsidRPr="00BE25E0">
        <w:rPr>
          <w:rFonts w:ascii="Arial" w:hAnsi="Arial" w:cs="Arial"/>
          <w:i/>
          <w:iCs/>
          <w:sz w:val="20"/>
          <w:szCs w:val="20"/>
        </w:rPr>
        <w:t xml:space="preserve"> ce document doivent être adéquates, pertinentes et limitées à ce qui est nécessaire au regard de son objectif</w:t>
      </w:r>
      <w:r w:rsidR="00961516" w:rsidRPr="00BE25E0">
        <w:rPr>
          <w:rFonts w:ascii="Arial" w:hAnsi="Arial" w:cs="Arial"/>
          <w:i/>
          <w:iCs/>
          <w:sz w:val="20"/>
          <w:szCs w:val="20"/>
        </w:rPr>
        <w:t>,</w:t>
      </w:r>
      <w:r w:rsidRPr="00BE25E0">
        <w:rPr>
          <w:rFonts w:ascii="Arial" w:hAnsi="Arial" w:cs="Arial"/>
          <w:i/>
          <w:iCs/>
          <w:sz w:val="20"/>
          <w:szCs w:val="20"/>
        </w:rPr>
        <w:t xml:space="preserve"> à savoir répondre au marché public lancé par </w:t>
      </w:r>
      <w:r w:rsidR="00961516" w:rsidRPr="00BE25E0">
        <w:rPr>
          <w:rFonts w:ascii="Arial" w:hAnsi="Arial" w:cs="Arial"/>
          <w:i/>
          <w:iCs/>
          <w:sz w:val="20"/>
          <w:szCs w:val="20"/>
        </w:rPr>
        <w:t>le Mucem.</w:t>
      </w:r>
      <w:r w:rsidRPr="00BE25E0">
        <w:rPr>
          <w:rFonts w:ascii="Arial" w:hAnsi="Arial" w:cs="Arial"/>
          <w:i/>
          <w:iCs/>
          <w:sz w:val="20"/>
          <w:szCs w:val="20"/>
        </w:rPr>
        <w:t xml:space="preserve"> </w:t>
      </w:r>
      <w:r w:rsidR="00961516" w:rsidRPr="00BE25E0">
        <w:rPr>
          <w:rFonts w:ascii="Arial" w:hAnsi="Arial" w:cs="Arial"/>
          <w:i/>
          <w:iCs/>
          <w:sz w:val="20"/>
          <w:szCs w:val="20"/>
        </w:rPr>
        <w:t>La réponse attendue du candidat ci-dessous est une offre technique permettant notamment d'apprécier la solution préconisée par le candidat pour répondre aux exigences fixées dans le CC</w:t>
      </w:r>
      <w:r w:rsidR="008F54D7">
        <w:rPr>
          <w:rFonts w:ascii="Arial" w:hAnsi="Arial" w:cs="Arial"/>
          <w:i/>
          <w:iCs/>
          <w:sz w:val="20"/>
          <w:szCs w:val="20"/>
        </w:rPr>
        <w:t>T</w:t>
      </w:r>
      <w:r w:rsidR="00961516" w:rsidRPr="00BE25E0">
        <w:rPr>
          <w:rFonts w:ascii="Arial" w:hAnsi="Arial" w:cs="Arial"/>
          <w:i/>
          <w:iCs/>
          <w:sz w:val="20"/>
          <w:szCs w:val="20"/>
        </w:rPr>
        <w:t>P.</w:t>
      </w:r>
    </w:p>
    <w:p w:rsidR="00105971" w:rsidRPr="00BE25E0" w:rsidRDefault="00961516" w:rsidP="00961516">
      <w:pPr>
        <w:spacing w:line="240" w:lineRule="auto"/>
        <w:jc w:val="both"/>
        <w:rPr>
          <w:rFonts w:ascii="Arial" w:hAnsi="Arial" w:cs="Arial"/>
          <w:i/>
          <w:iCs/>
          <w:sz w:val="20"/>
          <w:szCs w:val="20"/>
        </w:rPr>
      </w:pPr>
      <w:r w:rsidRPr="00BE25E0">
        <w:rPr>
          <w:rFonts w:ascii="Arial" w:hAnsi="Arial" w:cs="Arial"/>
          <w:i/>
          <w:iCs/>
          <w:sz w:val="20"/>
          <w:szCs w:val="20"/>
        </w:rPr>
        <w:t>Les</w:t>
      </w:r>
      <w:r w:rsidR="00105971" w:rsidRPr="00BE25E0">
        <w:rPr>
          <w:rFonts w:ascii="Arial" w:hAnsi="Arial" w:cs="Arial"/>
          <w:i/>
          <w:iCs/>
          <w:sz w:val="20"/>
          <w:szCs w:val="20"/>
        </w:rPr>
        <w:t xml:space="preserve"> informations </w:t>
      </w:r>
      <w:r w:rsidRPr="00BE25E0">
        <w:rPr>
          <w:rFonts w:ascii="Arial" w:hAnsi="Arial" w:cs="Arial"/>
          <w:i/>
          <w:iCs/>
          <w:sz w:val="20"/>
          <w:szCs w:val="20"/>
        </w:rPr>
        <w:t xml:space="preserve">fournies </w:t>
      </w:r>
      <w:r w:rsidR="00105971" w:rsidRPr="00BE25E0">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BE25E0">
        <w:rPr>
          <w:rFonts w:ascii="Arial" w:hAnsi="Arial" w:cs="Arial"/>
          <w:i/>
          <w:iCs/>
          <w:sz w:val="20"/>
          <w:szCs w:val="20"/>
        </w:rPr>
        <w:t xml:space="preserve">l’entreprise du candidat </w:t>
      </w:r>
      <w:r w:rsidR="00105971" w:rsidRPr="00BE25E0">
        <w:rPr>
          <w:rFonts w:ascii="Arial" w:hAnsi="Arial" w:cs="Arial"/>
          <w:i/>
          <w:iCs/>
          <w:sz w:val="20"/>
          <w:szCs w:val="20"/>
        </w:rPr>
        <w:t>ou concernent d</w:t>
      </w:r>
      <w:r w:rsidRPr="00BE25E0">
        <w:rPr>
          <w:rFonts w:ascii="Arial" w:hAnsi="Arial" w:cs="Arial"/>
          <w:i/>
          <w:iCs/>
          <w:sz w:val="20"/>
          <w:szCs w:val="20"/>
        </w:rPr>
        <w:t>es</w:t>
      </w:r>
      <w:r w:rsidR="00105971" w:rsidRPr="00BE25E0">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rsidR="00105971" w:rsidRPr="00BE25E0" w:rsidRDefault="00105971" w:rsidP="00961516">
      <w:pPr>
        <w:spacing w:line="240" w:lineRule="auto"/>
        <w:jc w:val="both"/>
        <w:rPr>
          <w:rFonts w:ascii="Arial" w:hAnsi="Arial" w:cs="Arial"/>
          <w:i/>
          <w:iCs/>
          <w:sz w:val="20"/>
          <w:szCs w:val="20"/>
        </w:rPr>
      </w:pPr>
      <w:r w:rsidRPr="00BE25E0">
        <w:rPr>
          <w:rFonts w:ascii="Arial" w:hAnsi="Arial" w:cs="Arial"/>
          <w:i/>
          <w:iCs/>
          <w:sz w:val="20"/>
          <w:szCs w:val="20"/>
        </w:rPr>
        <w:t xml:space="preserve">Dans les paragraphes à remplir ci-après par le candidat, </w:t>
      </w:r>
      <w:r w:rsidR="00961516" w:rsidRPr="00BE25E0">
        <w:rPr>
          <w:rFonts w:ascii="Arial" w:hAnsi="Arial" w:cs="Arial"/>
          <w:i/>
          <w:iCs/>
          <w:sz w:val="20"/>
          <w:szCs w:val="20"/>
        </w:rPr>
        <w:t xml:space="preserve">le </w:t>
      </w:r>
      <w:r w:rsidRPr="00BE25E0">
        <w:rPr>
          <w:rFonts w:ascii="Arial" w:hAnsi="Arial" w:cs="Arial"/>
          <w:i/>
          <w:iCs/>
          <w:sz w:val="20"/>
          <w:szCs w:val="20"/>
        </w:rPr>
        <w:t>candidat peut faire référence à d’autres documents dument référencés.</w:t>
      </w:r>
    </w:p>
    <w:p w:rsidR="00105971" w:rsidRPr="00BE25E0" w:rsidRDefault="00105971" w:rsidP="00105971">
      <w:pPr>
        <w:jc w:val="both"/>
        <w:rPr>
          <w:rFonts w:ascii="Arial" w:hAnsi="Arial" w:cs="Arial"/>
          <w:sz w:val="20"/>
          <w:szCs w:val="20"/>
        </w:rPr>
      </w:pPr>
    </w:p>
    <w:p w:rsidR="00105971" w:rsidRPr="00BE25E0" w:rsidRDefault="00105971" w:rsidP="00105971">
      <w:pPr>
        <w:jc w:val="both"/>
        <w:rPr>
          <w:rFonts w:ascii="Arial" w:hAnsi="Arial" w:cs="Arial"/>
          <w:color w:val="FF0000"/>
          <w:sz w:val="20"/>
          <w:szCs w:val="20"/>
        </w:rPr>
      </w:pPr>
      <w:r w:rsidRPr="00261C85">
        <w:rPr>
          <w:rFonts w:ascii="Arial" w:hAnsi="Arial" w:cs="Arial"/>
          <w:color w:val="FF0000"/>
          <w:sz w:val="20"/>
          <w:szCs w:val="20"/>
        </w:rPr>
        <w:t>Le présent document sert au jugement des offres</w:t>
      </w:r>
      <w:r w:rsidR="008F54D7">
        <w:rPr>
          <w:rFonts w:ascii="Arial" w:hAnsi="Arial" w:cs="Arial"/>
          <w:color w:val="FF0000"/>
          <w:sz w:val="20"/>
          <w:szCs w:val="20"/>
        </w:rPr>
        <w:t xml:space="preserve"> et sera rendu contractuel</w:t>
      </w:r>
      <w:r w:rsidRPr="00261C85">
        <w:rPr>
          <w:rFonts w:ascii="Arial" w:hAnsi="Arial" w:cs="Arial"/>
          <w:color w:val="FF0000"/>
          <w:sz w:val="20"/>
          <w:szCs w:val="20"/>
        </w:rPr>
        <w:t>.</w:t>
      </w:r>
    </w:p>
    <w:p w:rsidR="00105971" w:rsidRPr="00BE25E0" w:rsidRDefault="00105971" w:rsidP="00105971">
      <w:pPr>
        <w:jc w:val="both"/>
        <w:rPr>
          <w:rFonts w:ascii="Arial" w:hAnsi="Arial" w:cs="Arial"/>
          <w:sz w:val="20"/>
          <w:szCs w:val="20"/>
        </w:rPr>
      </w:pPr>
    </w:p>
    <w:p w:rsidR="00261C85" w:rsidRDefault="00105971" w:rsidP="00CC7A8D">
      <w:pPr>
        <w:jc w:val="both"/>
        <w:rPr>
          <w:rFonts w:ascii="Arial" w:hAnsi="Arial" w:cs="Arial"/>
          <w:sz w:val="20"/>
          <w:szCs w:val="20"/>
        </w:rPr>
      </w:pPr>
      <w:r w:rsidRPr="00CC7A8D">
        <w:rPr>
          <w:rFonts w:ascii="Arial" w:hAnsi="Arial" w:cs="Arial"/>
          <w:sz w:val="20"/>
          <w:szCs w:val="20"/>
        </w:rPr>
        <w:br w:type="page"/>
      </w:r>
    </w:p>
    <w:p w:rsidR="00261C85" w:rsidRPr="000D6C58" w:rsidRDefault="00261C85" w:rsidP="00CC7A8D">
      <w:pPr>
        <w:jc w:val="both"/>
        <w:rPr>
          <w:rFonts w:ascii="Arial" w:hAnsi="Arial" w:cs="Arial"/>
          <w:b/>
          <w:sz w:val="20"/>
          <w:szCs w:val="20"/>
          <w:u w:val="single"/>
        </w:rPr>
      </w:pPr>
      <w:r w:rsidRPr="000D6C58">
        <w:rPr>
          <w:rFonts w:ascii="Arial" w:hAnsi="Arial" w:cs="Arial"/>
          <w:b/>
          <w:sz w:val="20"/>
          <w:szCs w:val="20"/>
          <w:u w:val="single"/>
        </w:rPr>
        <w:lastRenderedPageBreak/>
        <w:t>Coordonnées de la ou des personnes en charge des relations avec le Mucem </w:t>
      </w:r>
      <w:r w:rsidR="008F54D7">
        <w:rPr>
          <w:rFonts w:ascii="Arial" w:hAnsi="Arial" w:cs="Arial"/>
          <w:b/>
          <w:sz w:val="20"/>
          <w:szCs w:val="20"/>
          <w:u w:val="single"/>
        </w:rPr>
        <w:t xml:space="preserve">pour l’exécution du marché </w:t>
      </w:r>
      <w:r w:rsidRPr="000D6C58">
        <w:rPr>
          <w:rFonts w:ascii="Arial" w:hAnsi="Arial" w:cs="Arial"/>
          <w:b/>
          <w:sz w:val="20"/>
          <w:szCs w:val="20"/>
          <w:u w:val="single"/>
        </w:rPr>
        <w:t>:</w:t>
      </w:r>
    </w:p>
    <w:p w:rsidR="00261C85" w:rsidRPr="00FF72CC" w:rsidRDefault="00261C85" w:rsidP="00261C85">
      <w:pPr>
        <w:rPr>
          <w:rFonts w:ascii="Arial" w:hAnsi="Arial" w:cs="Arial"/>
          <w:i/>
          <w:color w:val="0070C0"/>
          <w:sz w:val="20"/>
          <w:szCs w:val="20"/>
        </w:rPr>
      </w:pPr>
      <w:r w:rsidRPr="00FF72CC">
        <w:rPr>
          <w:rFonts w:ascii="Arial" w:hAnsi="Arial" w:cs="Arial"/>
          <w:i/>
          <w:color w:val="0070C0"/>
          <w:sz w:val="20"/>
          <w:szCs w:val="20"/>
        </w:rPr>
        <w:t>Réponse du candidat :</w:t>
      </w:r>
    </w:p>
    <w:p w:rsidR="00261C85" w:rsidRDefault="00261C85" w:rsidP="00CC7A8D">
      <w:pPr>
        <w:jc w:val="both"/>
        <w:rPr>
          <w:rFonts w:ascii="Arial" w:hAnsi="Arial" w:cs="Arial"/>
          <w:b/>
          <w:sz w:val="20"/>
          <w:szCs w:val="20"/>
        </w:rPr>
      </w:pPr>
      <w:r>
        <w:rPr>
          <w:rFonts w:ascii="Arial" w:hAnsi="Arial" w:cs="Arial"/>
          <w:b/>
          <w:sz w:val="20"/>
          <w:szCs w:val="20"/>
        </w:rPr>
        <w:t>Nom :</w:t>
      </w:r>
    </w:p>
    <w:p w:rsidR="00261C85" w:rsidRDefault="00261C85" w:rsidP="00CC7A8D">
      <w:pPr>
        <w:jc w:val="both"/>
        <w:rPr>
          <w:rFonts w:ascii="Arial" w:hAnsi="Arial" w:cs="Arial"/>
          <w:b/>
          <w:sz w:val="20"/>
          <w:szCs w:val="20"/>
        </w:rPr>
      </w:pPr>
      <w:r>
        <w:rPr>
          <w:rFonts w:ascii="Arial" w:hAnsi="Arial" w:cs="Arial"/>
          <w:b/>
          <w:sz w:val="20"/>
          <w:szCs w:val="20"/>
        </w:rPr>
        <w:t>Prénom :</w:t>
      </w:r>
    </w:p>
    <w:p w:rsidR="00261C85" w:rsidRDefault="00261C85" w:rsidP="00CC7A8D">
      <w:pPr>
        <w:jc w:val="both"/>
        <w:rPr>
          <w:rFonts w:ascii="Arial" w:hAnsi="Arial" w:cs="Arial"/>
          <w:b/>
          <w:sz w:val="20"/>
          <w:szCs w:val="20"/>
        </w:rPr>
      </w:pPr>
      <w:r>
        <w:rPr>
          <w:rFonts w:ascii="Arial" w:hAnsi="Arial" w:cs="Arial"/>
          <w:b/>
          <w:sz w:val="20"/>
          <w:szCs w:val="20"/>
        </w:rPr>
        <w:t xml:space="preserve">Adresse : </w:t>
      </w:r>
    </w:p>
    <w:p w:rsidR="00261C85" w:rsidRDefault="00261C85" w:rsidP="00CC7A8D">
      <w:pPr>
        <w:jc w:val="both"/>
        <w:rPr>
          <w:rFonts w:ascii="Arial" w:hAnsi="Arial" w:cs="Arial"/>
          <w:b/>
          <w:sz w:val="20"/>
          <w:szCs w:val="20"/>
        </w:rPr>
      </w:pPr>
      <w:r>
        <w:rPr>
          <w:rFonts w:ascii="Arial" w:hAnsi="Arial" w:cs="Arial"/>
          <w:b/>
          <w:sz w:val="20"/>
          <w:szCs w:val="20"/>
        </w:rPr>
        <w:t>Tel :</w:t>
      </w:r>
    </w:p>
    <w:p w:rsidR="00261C85" w:rsidRDefault="00261C85" w:rsidP="00CC7A8D">
      <w:pPr>
        <w:jc w:val="both"/>
        <w:rPr>
          <w:rFonts w:ascii="Arial" w:hAnsi="Arial" w:cs="Arial"/>
          <w:b/>
          <w:sz w:val="20"/>
          <w:szCs w:val="20"/>
        </w:rPr>
      </w:pPr>
      <w:r>
        <w:rPr>
          <w:rFonts w:ascii="Arial" w:hAnsi="Arial" w:cs="Arial"/>
          <w:b/>
          <w:sz w:val="20"/>
          <w:szCs w:val="20"/>
        </w:rPr>
        <w:t>Courriel :</w:t>
      </w:r>
    </w:p>
    <w:p w:rsidR="00261C85" w:rsidRDefault="00261C85" w:rsidP="00CC7A8D">
      <w:pPr>
        <w:jc w:val="both"/>
        <w:rPr>
          <w:rFonts w:ascii="Arial" w:hAnsi="Arial" w:cs="Arial"/>
          <w:b/>
          <w:sz w:val="20"/>
          <w:szCs w:val="20"/>
        </w:rPr>
      </w:pPr>
    </w:p>
    <w:p w:rsidR="00261C85" w:rsidRPr="00BE25E0" w:rsidRDefault="00261C85" w:rsidP="00105971">
      <w:pPr>
        <w:rPr>
          <w:rFonts w:ascii="Arial" w:hAnsi="Arial" w:cs="Arial"/>
          <w:sz w:val="20"/>
          <w:szCs w:val="20"/>
        </w:rPr>
      </w:pPr>
    </w:p>
    <w:tbl>
      <w:tblPr>
        <w:tblStyle w:val="Grilledutableau"/>
        <w:tblW w:w="0" w:type="auto"/>
        <w:tblLook w:val="04A0" w:firstRow="1" w:lastRow="0" w:firstColumn="1" w:lastColumn="0" w:noHBand="0" w:noVBand="1"/>
      </w:tblPr>
      <w:tblGrid>
        <w:gridCol w:w="10196"/>
      </w:tblGrid>
      <w:tr w:rsidR="00261C85" w:rsidTr="00261C85">
        <w:trPr>
          <w:trHeight w:val="389"/>
        </w:trPr>
        <w:tc>
          <w:tcPr>
            <w:tcW w:w="10196" w:type="dxa"/>
            <w:vAlign w:val="center"/>
          </w:tcPr>
          <w:p w:rsidR="00CD64FE" w:rsidRDefault="00EA2B06" w:rsidP="00261C85">
            <w:pPr>
              <w:jc w:val="center"/>
              <w:rPr>
                <w:rFonts w:ascii="Arial" w:hAnsi="Arial" w:cs="Arial"/>
                <w:b/>
                <w:szCs w:val="20"/>
              </w:rPr>
            </w:pPr>
            <w:r>
              <w:rPr>
                <w:rFonts w:ascii="Arial" w:hAnsi="Arial" w:cs="Arial"/>
                <w:b/>
                <w:szCs w:val="20"/>
              </w:rPr>
              <w:t xml:space="preserve">ORGANISATION DU </w:t>
            </w:r>
            <w:r w:rsidR="00CD64FE">
              <w:rPr>
                <w:rFonts w:ascii="Arial" w:hAnsi="Arial" w:cs="Arial"/>
                <w:b/>
                <w:szCs w:val="20"/>
              </w:rPr>
              <w:t xml:space="preserve">SERVICE APRÈS-VENTE </w:t>
            </w:r>
          </w:p>
          <w:p w:rsidR="00261C85" w:rsidRPr="00261C85" w:rsidRDefault="00CD64FE" w:rsidP="00CD64FE">
            <w:pPr>
              <w:jc w:val="center"/>
              <w:rPr>
                <w:rFonts w:ascii="Arial" w:hAnsi="Arial" w:cs="Arial"/>
                <w:b/>
                <w:szCs w:val="20"/>
                <w:highlight w:val="lightGray"/>
              </w:rPr>
            </w:pPr>
            <w:r>
              <w:rPr>
                <w:rFonts w:ascii="Arial" w:hAnsi="Arial" w:cs="Arial"/>
                <w:b/>
                <w:szCs w:val="20"/>
              </w:rPr>
              <w:t>PENDANT ET AU-DELÀ DE LA PÉRIODE DE GARANTIE DU MATÉRIEL</w:t>
            </w:r>
          </w:p>
        </w:tc>
      </w:tr>
    </w:tbl>
    <w:p w:rsidR="00261C85" w:rsidRDefault="00261C85" w:rsidP="00252082">
      <w:pPr>
        <w:jc w:val="center"/>
        <w:rPr>
          <w:rFonts w:ascii="Arial" w:hAnsi="Arial" w:cs="Arial"/>
          <w:b/>
          <w:sz w:val="20"/>
          <w:szCs w:val="20"/>
          <w:u w:val="single"/>
        </w:rPr>
      </w:pPr>
    </w:p>
    <w:p w:rsidR="00F75AEA" w:rsidRDefault="00431EB5" w:rsidP="00541696">
      <w:pPr>
        <w:pStyle w:val="Paragraphedeliste"/>
        <w:numPr>
          <w:ilvl w:val="0"/>
          <w:numId w:val="1"/>
        </w:numPr>
        <w:jc w:val="both"/>
        <w:rPr>
          <w:rFonts w:ascii="Arial" w:hAnsi="Arial" w:cs="Arial"/>
          <w:b/>
          <w:sz w:val="20"/>
          <w:szCs w:val="20"/>
        </w:rPr>
      </w:pPr>
      <w:r>
        <w:rPr>
          <w:rFonts w:ascii="Arial" w:hAnsi="Arial" w:cs="Arial"/>
          <w:b/>
          <w:sz w:val="20"/>
          <w:szCs w:val="20"/>
        </w:rPr>
        <w:t xml:space="preserve">Description des différentes étapes du process SAV entre le signalement de la panne </w:t>
      </w:r>
      <w:r>
        <w:rPr>
          <w:rFonts w:ascii="Arial" w:hAnsi="Arial" w:cs="Arial"/>
          <w:b/>
          <w:sz w:val="20"/>
          <w:szCs w:val="20"/>
          <w:u w:val="single"/>
        </w:rPr>
        <w:t>durant la période de garantie</w:t>
      </w:r>
      <w:r>
        <w:rPr>
          <w:rFonts w:ascii="Arial" w:hAnsi="Arial" w:cs="Arial"/>
          <w:b/>
          <w:sz w:val="20"/>
          <w:szCs w:val="20"/>
        </w:rPr>
        <w:t xml:space="preserve"> par le personnel du Mucem et la remise en état des projecteurs jusqu’à la consignation dans un registre</w:t>
      </w:r>
    </w:p>
    <w:p w:rsidR="00F75AEA" w:rsidRPr="00F75AEA" w:rsidRDefault="00CF3D2E" w:rsidP="00CC7A8D">
      <w:pPr>
        <w:jc w:val="both"/>
        <w:rPr>
          <w:rFonts w:ascii="Arial" w:hAnsi="Arial" w:cs="Arial"/>
          <w:i/>
          <w:sz w:val="20"/>
          <w:szCs w:val="20"/>
        </w:rPr>
      </w:pPr>
      <w:r>
        <w:rPr>
          <w:rFonts w:ascii="Arial" w:hAnsi="Arial" w:cs="Arial"/>
          <w:i/>
          <w:sz w:val="20"/>
          <w:szCs w:val="20"/>
        </w:rPr>
        <w:t xml:space="preserve">Le candidat détaillera les différentes étapes de son process SAV dans le cadre d’une panne intervenant durant la période de garantie entre le moment où le personnel du Mucem lui signale la panne et la remise en état des projecteurs, consignation dans un registre comprise.  </w:t>
      </w:r>
    </w:p>
    <w:p w:rsidR="000B3F55" w:rsidRPr="00F75AEA" w:rsidRDefault="000B3F55" w:rsidP="00F75AEA">
      <w:pPr>
        <w:jc w:val="both"/>
        <w:rPr>
          <w:rFonts w:ascii="Arial" w:hAnsi="Arial" w:cs="Arial"/>
          <w:i/>
          <w:color w:val="0070C0"/>
          <w:sz w:val="20"/>
          <w:szCs w:val="20"/>
        </w:rPr>
      </w:pPr>
      <w:bookmarkStart w:id="0" w:name="_Hlk177054558"/>
      <w:r w:rsidRPr="00F75AEA">
        <w:rPr>
          <w:rFonts w:ascii="Arial" w:hAnsi="Arial" w:cs="Arial"/>
          <w:i/>
          <w:color w:val="0070C0"/>
          <w:sz w:val="20"/>
          <w:szCs w:val="20"/>
        </w:rPr>
        <w:t>Réponse du candidat :</w:t>
      </w:r>
    </w:p>
    <w:p w:rsidR="000B3F55" w:rsidRDefault="000B3F55" w:rsidP="000B3F55">
      <w:pPr>
        <w:rPr>
          <w:rFonts w:ascii="Arial" w:hAnsi="Arial" w:cs="Arial"/>
          <w:sz w:val="20"/>
          <w:szCs w:val="20"/>
        </w:rPr>
      </w:pPr>
    </w:p>
    <w:p w:rsidR="008F54D7" w:rsidRPr="00BE25E0" w:rsidRDefault="008F54D7" w:rsidP="000B3F55">
      <w:pPr>
        <w:rPr>
          <w:rFonts w:ascii="Arial" w:hAnsi="Arial" w:cs="Arial"/>
          <w:sz w:val="20"/>
          <w:szCs w:val="20"/>
        </w:rPr>
      </w:pPr>
    </w:p>
    <w:p w:rsidR="000B3F55" w:rsidRPr="00BE25E0" w:rsidRDefault="000B3F55" w:rsidP="000B3F55">
      <w:pPr>
        <w:rPr>
          <w:rFonts w:ascii="Arial" w:hAnsi="Arial" w:cs="Arial"/>
          <w:sz w:val="20"/>
          <w:szCs w:val="20"/>
        </w:rPr>
      </w:pPr>
    </w:p>
    <w:p w:rsidR="000B3F55" w:rsidRDefault="000B3F55" w:rsidP="000B3F55">
      <w:pPr>
        <w:rPr>
          <w:rFonts w:ascii="Arial" w:hAnsi="Arial" w:cs="Arial"/>
          <w:sz w:val="20"/>
          <w:szCs w:val="20"/>
        </w:rPr>
      </w:pPr>
    </w:p>
    <w:bookmarkEnd w:id="0"/>
    <w:p w:rsidR="00F75AEA" w:rsidRDefault="00431EB5" w:rsidP="00CC7A8D">
      <w:pPr>
        <w:pStyle w:val="Paragraphedeliste"/>
        <w:numPr>
          <w:ilvl w:val="0"/>
          <w:numId w:val="1"/>
        </w:numPr>
        <w:jc w:val="both"/>
        <w:rPr>
          <w:rFonts w:ascii="Arial" w:hAnsi="Arial" w:cs="Arial"/>
          <w:b/>
          <w:sz w:val="20"/>
          <w:szCs w:val="20"/>
        </w:rPr>
      </w:pPr>
      <w:r>
        <w:rPr>
          <w:rFonts w:ascii="Arial" w:hAnsi="Arial" w:cs="Arial"/>
          <w:b/>
          <w:sz w:val="20"/>
          <w:szCs w:val="20"/>
        </w:rPr>
        <w:t xml:space="preserve">Description </w:t>
      </w:r>
      <w:r w:rsidR="00EA2B06">
        <w:rPr>
          <w:rFonts w:ascii="Arial" w:hAnsi="Arial" w:cs="Arial"/>
          <w:b/>
          <w:sz w:val="20"/>
          <w:szCs w:val="20"/>
        </w:rPr>
        <w:t>de l’organisation du</w:t>
      </w:r>
      <w:r>
        <w:rPr>
          <w:rFonts w:ascii="Arial" w:hAnsi="Arial" w:cs="Arial"/>
          <w:b/>
          <w:sz w:val="20"/>
          <w:szCs w:val="20"/>
        </w:rPr>
        <w:t xml:space="preserve"> SAV proposé par le candidat dans le cadre d’une panne nécessitant une durée de réparation supérieure à 60 jours, </w:t>
      </w:r>
      <w:bookmarkStart w:id="1" w:name="_GoBack"/>
      <w:r w:rsidRPr="00431EB5">
        <w:rPr>
          <w:rFonts w:ascii="Arial" w:hAnsi="Arial" w:cs="Arial"/>
          <w:b/>
          <w:sz w:val="20"/>
          <w:szCs w:val="20"/>
          <w:u w:val="single"/>
        </w:rPr>
        <w:t>hors période de garantie</w:t>
      </w:r>
      <w:bookmarkEnd w:id="1"/>
    </w:p>
    <w:p w:rsidR="00F75AEA" w:rsidRPr="00F75AEA" w:rsidRDefault="00431EB5" w:rsidP="00CC7A8D">
      <w:pPr>
        <w:jc w:val="both"/>
        <w:rPr>
          <w:rFonts w:ascii="Arial" w:hAnsi="Arial" w:cs="Arial"/>
          <w:i/>
          <w:sz w:val="20"/>
          <w:szCs w:val="20"/>
        </w:rPr>
      </w:pPr>
      <w:r>
        <w:rPr>
          <w:rFonts w:ascii="Arial" w:hAnsi="Arial" w:cs="Arial"/>
          <w:i/>
          <w:sz w:val="20"/>
          <w:szCs w:val="20"/>
        </w:rPr>
        <w:t xml:space="preserve">Le candidat </w:t>
      </w:r>
      <w:r w:rsidR="00CF3D2E">
        <w:rPr>
          <w:rFonts w:ascii="Arial" w:hAnsi="Arial" w:cs="Arial"/>
          <w:i/>
          <w:sz w:val="20"/>
          <w:szCs w:val="20"/>
        </w:rPr>
        <w:t xml:space="preserve">présentera le plan d’action qu’il envisage de mettre en place pour faire face à une situation où un ou plusieurs projecteurs seraient affectés par une panne nécessitant une durée de réparation supérieure à 60 jours. Ce plan doit inclure toutes les mesures et solutions proposées pour pallier à cette situation exceptionnelle. </w:t>
      </w:r>
    </w:p>
    <w:p w:rsidR="00F75AEA" w:rsidRPr="00F75AEA" w:rsidRDefault="00F75AEA" w:rsidP="00F75AEA">
      <w:pPr>
        <w:jc w:val="both"/>
        <w:rPr>
          <w:rFonts w:ascii="Arial" w:hAnsi="Arial" w:cs="Arial"/>
          <w:i/>
          <w:color w:val="0070C0"/>
          <w:sz w:val="20"/>
          <w:szCs w:val="20"/>
        </w:rPr>
      </w:pPr>
      <w:bookmarkStart w:id="2" w:name="_Hlk177054589"/>
      <w:r w:rsidRPr="00F75AEA">
        <w:rPr>
          <w:rFonts w:ascii="Arial" w:hAnsi="Arial" w:cs="Arial"/>
          <w:i/>
          <w:color w:val="0070C0"/>
          <w:sz w:val="20"/>
          <w:szCs w:val="20"/>
        </w:rPr>
        <w:t>Réponse du candidat :</w:t>
      </w:r>
    </w:p>
    <w:p w:rsidR="00F75AEA" w:rsidRPr="00BE25E0" w:rsidRDefault="00F75AEA" w:rsidP="00F75AEA">
      <w:pPr>
        <w:rPr>
          <w:rFonts w:ascii="Arial" w:hAnsi="Arial" w:cs="Arial"/>
          <w:sz w:val="20"/>
          <w:szCs w:val="20"/>
        </w:rPr>
      </w:pPr>
    </w:p>
    <w:bookmarkEnd w:id="2"/>
    <w:sectPr w:rsidR="00F75AEA" w:rsidRPr="00BE25E0" w:rsidSect="00742222">
      <w:headerReference w:type="default" r:id="rId7"/>
      <w:footerReference w:type="default" r:id="rId8"/>
      <w:pgSz w:w="11906" w:h="16838"/>
      <w:pgMar w:top="1176" w:right="849" w:bottom="851" w:left="851" w:header="42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971" w:rsidRDefault="00105971" w:rsidP="00105971">
      <w:pPr>
        <w:spacing w:after="0" w:line="240" w:lineRule="auto"/>
      </w:pPr>
      <w:r>
        <w:separator/>
      </w:r>
    </w:p>
  </w:endnote>
  <w:endnote w:type="continuationSeparator" w:id="0">
    <w:p w:rsidR="00105971" w:rsidRDefault="00105971"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971" w:rsidRDefault="00105971" w:rsidP="00105971">
      <w:pPr>
        <w:spacing w:after="0" w:line="240" w:lineRule="auto"/>
      </w:pPr>
      <w:r>
        <w:separator/>
      </w:r>
    </w:p>
  </w:footnote>
  <w:footnote w:type="continuationSeparator" w:id="0">
    <w:p w:rsidR="00105971" w:rsidRDefault="00105971"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971" w:rsidRDefault="00105971" w:rsidP="00105971">
    <w:pPr>
      <w:pStyle w:val="En-tte"/>
      <w:pBdr>
        <w:bottom w:val="single" w:sz="6" w:space="1" w:color="auto"/>
      </w:pBdr>
      <w:jc w:val="both"/>
      <w:rPr>
        <w:rFonts w:ascii="Arial" w:hAnsi="Arial" w:cs="Arial"/>
        <w:i/>
        <w:sz w:val="20"/>
      </w:rPr>
    </w:pPr>
    <w:r w:rsidRPr="00105971">
      <w:rPr>
        <w:rFonts w:ascii="Arial" w:hAnsi="Arial" w:cs="Arial"/>
        <w:i/>
        <w:sz w:val="20"/>
      </w:rPr>
      <w:t xml:space="preserve">Mucem - </w:t>
    </w:r>
    <w:r w:rsidRPr="00105971">
      <w:rPr>
        <w:rFonts w:ascii="Arial" w:hAnsi="Arial" w:cs="Arial"/>
        <w:b/>
        <w:i/>
        <w:sz w:val="20"/>
      </w:rPr>
      <w:t>Cadre de réponse technique</w:t>
    </w:r>
    <w:r w:rsidRPr="00105971">
      <w:rPr>
        <w:rFonts w:ascii="Arial" w:hAnsi="Arial" w:cs="Arial"/>
        <w:i/>
        <w:sz w:val="20"/>
      </w:rPr>
      <w:t xml:space="preserve"> – </w:t>
    </w:r>
    <w:r w:rsidR="008F54D7">
      <w:rPr>
        <w:rFonts w:ascii="Arial" w:hAnsi="Arial" w:cs="Arial"/>
        <w:i/>
        <w:sz w:val="20"/>
      </w:rPr>
      <w:t>Fourniture et livraison de projecteurs d’éclairage LED pour l’auditorium</w:t>
    </w:r>
    <w:r w:rsidR="00742222">
      <w:rPr>
        <w:rFonts w:ascii="Arial" w:hAnsi="Arial" w:cs="Arial"/>
        <w:i/>
        <w:sz w:val="20"/>
      </w:rPr>
      <w:t xml:space="preserve"> – C202</w:t>
    </w:r>
    <w:r w:rsidR="008F54D7">
      <w:rPr>
        <w:rFonts w:ascii="Arial" w:hAnsi="Arial" w:cs="Arial"/>
        <w:i/>
        <w:sz w:val="20"/>
      </w:rPr>
      <w:t>5</w:t>
    </w:r>
    <w:r w:rsidR="00742222">
      <w:rPr>
        <w:rFonts w:ascii="Arial" w:hAnsi="Arial" w:cs="Arial"/>
        <w:i/>
        <w:sz w:val="20"/>
      </w:rPr>
      <w:t>_</w:t>
    </w:r>
    <w:r w:rsidR="008F54D7">
      <w:rPr>
        <w:rFonts w:ascii="Arial" w:hAnsi="Arial" w:cs="Arial"/>
        <w:i/>
        <w:sz w:val="20"/>
      </w:rPr>
      <w:t>PROD05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0"/>
  </w:num>
  <w:num w:numId="5">
    <w:abstractNumId w:val="5"/>
  </w:num>
  <w:num w:numId="6">
    <w:abstractNumId w:val="1"/>
  </w:num>
  <w:num w:numId="7">
    <w:abstractNumId w:val="6"/>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B3F55"/>
    <w:rsid w:val="000D6C58"/>
    <w:rsid w:val="00103BFD"/>
    <w:rsid w:val="00105971"/>
    <w:rsid w:val="001A34D1"/>
    <w:rsid w:val="001F5144"/>
    <w:rsid w:val="002051B2"/>
    <w:rsid w:val="002373B2"/>
    <w:rsid w:val="00252082"/>
    <w:rsid w:val="00261C85"/>
    <w:rsid w:val="00287D10"/>
    <w:rsid w:val="00313C1F"/>
    <w:rsid w:val="003B575B"/>
    <w:rsid w:val="00431EB5"/>
    <w:rsid w:val="00473ED4"/>
    <w:rsid w:val="005000B2"/>
    <w:rsid w:val="005402A6"/>
    <w:rsid w:val="00575CCE"/>
    <w:rsid w:val="007359EC"/>
    <w:rsid w:val="00742222"/>
    <w:rsid w:val="00892651"/>
    <w:rsid w:val="008F54D7"/>
    <w:rsid w:val="0092628D"/>
    <w:rsid w:val="00930E72"/>
    <w:rsid w:val="00961516"/>
    <w:rsid w:val="009F3E96"/>
    <w:rsid w:val="00A04411"/>
    <w:rsid w:val="00B01D25"/>
    <w:rsid w:val="00B14C42"/>
    <w:rsid w:val="00BA5666"/>
    <w:rsid w:val="00BB090C"/>
    <w:rsid w:val="00BE25E0"/>
    <w:rsid w:val="00CB34F6"/>
    <w:rsid w:val="00CC7A8D"/>
    <w:rsid w:val="00CD64FE"/>
    <w:rsid w:val="00CF3D2E"/>
    <w:rsid w:val="00D04AA1"/>
    <w:rsid w:val="00D92777"/>
    <w:rsid w:val="00DA5712"/>
    <w:rsid w:val="00E03548"/>
    <w:rsid w:val="00EA2B06"/>
    <w:rsid w:val="00F27ABD"/>
    <w:rsid w:val="00F75AEA"/>
    <w:rsid w:val="00FC4A4C"/>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5FD511"/>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1C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04AA1"/>
    <w:rPr>
      <w:sz w:val="16"/>
      <w:szCs w:val="16"/>
    </w:rPr>
  </w:style>
  <w:style w:type="paragraph" w:styleId="Commentaire">
    <w:name w:val="annotation text"/>
    <w:basedOn w:val="Normal"/>
    <w:link w:val="CommentaireCar"/>
    <w:uiPriority w:val="99"/>
    <w:semiHidden/>
    <w:unhideWhenUsed/>
    <w:rsid w:val="00D04AA1"/>
    <w:pPr>
      <w:spacing w:line="240" w:lineRule="auto"/>
    </w:pPr>
    <w:rPr>
      <w:sz w:val="20"/>
      <w:szCs w:val="20"/>
    </w:rPr>
  </w:style>
  <w:style w:type="character" w:customStyle="1" w:styleId="CommentaireCar">
    <w:name w:val="Commentaire Car"/>
    <w:basedOn w:val="Policepardfaut"/>
    <w:link w:val="Commentaire"/>
    <w:uiPriority w:val="99"/>
    <w:semiHidden/>
    <w:rsid w:val="00D04AA1"/>
    <w:rPr>
      <w:sz w:val="20"/>
      <w:szCs w:val="20"/>
    </w:rPr>
  </w:style>
  <w:style w:type="paragraph" w:styleId="Objetducommentaire">
    <w:name w:val="annotation subject"/>
    <w:basedOn w:val="Commentaire"/>
    <w:next w:val="Commentaire"/>
    <w:link w:val="ObjetducommentaireCar"/>
    <w:uiPriority w:val="99"/>
    <w:semiHidden/>
    <w:unhideWhenUsed/>
    <w:rsid w:val="00D04AA1"/>
    <w:rPr>
      <w:b/>
      <w:bCs/>
    </w:rPr>
  </w:style>
  <w:style w:type="character" w:customStyle="1" w:styleId="ObjetducommentaireCar">
    <w:name w:val="Objet du commentaire Car"/>
    <w:basedOn w:val="CommentaireCar"/>
    <w:link w:val="Objetducommentaire"/>
    <w:uiPriority w:val="99"/>
    <w:semiHidden/>
    <w:rsid w:val="00D04A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409</Words>
  <Characters>2250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5</cp:revision>
  <cp:lastPrinted>2024-04-30T07:18:00Z</cp:lastPrinted>
  <dcterms:created xsi:type="dcterms:W3CDTF">2025-03-06T13:18:00Z</dcterms:created>
  <dcterms:modified xsi:type="dcterms:W3CDTF">2025-03-10T14:40:00Z</dcterms:modified>
</cp:coreProperties>
</file>