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2413"/>
        <w:tblW w:w="5000" w:type="pct"/>
        <w:tblLook w:val="04A0" w:firstRow="1" w:lastRow="0" w:firstColumn="1" w:lastColumn="0" w:noHBand="0" w:noVBand="1"/>
      </w:tblPr>
      <w:tblGrid>
        <w:gridCol w:w="2714"/>
        <w:gridCol w:w="1629"/>
        <w:gridCol w:w="2897"/>
        <w:gridCol w:w="6754"/>
      </w:tblGrid>
      <w:tr w:rsidR="006F16FE" w:rsidRPr="005D5082" w14:paraId="70028471" w14:textId="77777777" w:rsidTr="00947B98">
        <w:tc>
          <w:tcPr>
            <w:tcW w:w="5000" w:type="pct"/>
            <w:gridSpan w:val="4"/>
            <w:shd w:val="clear" w:color="auto" w:fill="2E74B5" w:themeFill="accent1" w:themeFillShade="BF"/>
          </w:tcPr>
          <w:p w14:paraId="173715D8" w14:textId="77777777" w:rsidR="00947B98" w:rsidRPr="005D5082" w:rsidRDefault="0012635F" w:rsidP="00947B98">
            <w:pPr>
              <w:pStyle w:val="Titre1"/>
              <w:numPr>
                <w:ilvl w:val="0"/>
                <w:numId w:val="0"/>
              </w:numPr>
              <w:pBdr>
                <w:bottom w:val="none" w:sz="0" w:space="0" w:color="auto"/>
              </w:pBdr>
              <w:spacing w:after="0"/>
              <w:ind w:left="142"/>
              <w:jc w:val="center"/>
              <w:outlineLvl w:val="0"/>
              <w:rPr>
                <w:color w:val="FFFFFF" w:themeColor="background1"/>
                <w:sz w:val="28"/>
                <w:szCs w:val="28"/>
              </w:rPr>
            </w:pPr>
            <w:r w:rsidRPr="005D5082">
              <w:rPr>
                <w:color w:val="FFFFFF" w:themeColor="background1"/>
                <w:sz w:val="28"/>
                <w:szCs w:val="28"/>
              </w:rPr>
              <w:t>ANNEXE 4</w:t>
            </w:r>
            <w:r w:rsidR="00947B98" w:rsidRPr="005D5082">
              <w:rPr>
                <w:color w:val="FFFFFF" w:themeColor="background1"/>
                <w:sz w:val="28"/>
                <w:szCs w:val="28"/>
              </w:rPr>
              <w:t> :  Cad</w:t>
            </w:r>
            <w:r w:rsidR="00EE6B57" w:rsidRPr="005D5082">
              <w:rPr>
                <w:color w:val="FFFFFF" w:themeColor="background1"/>
                <w:sz w:val="28"/>
                <w:szCs w:val="28"/>
              </w:rPr>
              <w:t>re de reponse technique du lot 1</w:t>
            </w:r>
          </w:p>
          <w:p w14:paraId="374DC9B9" w14:textId="77777777" w:rsidR="00947B98" w:rsidRPr="005D5082" w:rsidRDefault="00947B98" w:rsidP="00947B98">
            <w:pPr>
              <w:rPr>
                <w:rFonts w:ascii="Times New Roman" w:hAnsi="Times New Roman" w:cs="Times New Roman"/>
                <w:lang w:eastAsia="fr-FR"/>
              </w:rPr>
            </w:pPr>
          </w:p>
          <w:p w14:paraId="3E409845" w14:textId="77777777" w:rsidR="006F16FE" w:rsidRPr="005D5082" w:rsidRDefault="006F16FE" w:rsidP="00947B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ACCORD-CADRE </w:t>
            </w:r>
            <w:r w:rsidR="0026362C" w:rsidRPr="005D50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6362C" w:rsidRPr="005D5082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24M032-01H</w:t>
            </w:r>
          </w:p>
          <w:p w14:paraId="4F1E75A5" w14:textId="77777777" w:rsidR="006F16FE" w:rsidRPr="005D5082" w:rsidRDefault="00EE6B57" w:rsidP="00947B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LOT 1</w:t>
            </w:r>
            <w:r w:rsidR="006F16FE" w:rsidRPr="005D5082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 </w:t>
            </w:r>
          </w:p>
          <w:p w14:paraId="5E9407F7" w14:textId="77777777" w:rsidR="006F16FE" w:rsidRPr="005D5082" w:rsidRDefault="006F16FE" w:rsidP="00947B9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 </w:t>
            </w:r>
            <w:r w:rsidR="00665D53" w:rsidRPr="005D50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65D53"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>CELLULE D’ÉCOUTE POUR LES SITUATIONS DE HARCÈLEMENT ET DE SOUFFRANCE AU TRAVAIL ET PRESTATIONS ACCESSOIRES</w:t>
            </w:r>
          </w:p>
        </w:tc>
      </w:tr>
      <w:tr w:rsidR="00A068D4" w:rsidRPr="005D5082" w14:paraId="34CFD5C5" w14:textId="77777777" w:rsidTr="00057A28">
        <w:tc>
          <w:tcPr>
            <w:tcW w:w="970" w:type="pct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B9FCA9A" w14:textId="77777777" w:rsidR="006F16FE" w:rsidRPr="005D5082" w:rsidRDefault="006F16FE" w:rsidP="00947B98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>Critère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C2C50FC" w14:textId="5C7FB704" w:rsidR="006F16FE" w:rsidRPr="005D5082" w:rsidRDefault="00947B98" w:rsidP="001F634A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>P</w:t>
            </w:r>
            <w:r w:rsidR="006F16FE"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>ondération</w:t>
            </w:r>
            <w:r w:rsidR="001F634A"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(coefficient)</w:t>
            </w:r>
          </w:p>
        </w:tc>
        <w:tc>
          <w:tcPr>
            <w:tcW w:w="1035" w:type="pct"/>
            <w:shd w:val="clear" w:color="auto" w:fill="2E74B5" w:themeFill="accent1" w:themeFillShade="BF"/>
          </w:tcPr>
          <w:p w14:paraId="3B2BA19F" w14:textId="77777777" w:rsidR="006F16FE" w:rsidRPr="005D5082" w:rsidRDefault="006F16FE" w:rsidP="00947B98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>Sous-critère</w:t>
            </w:r>
          </w:p>
        </w:tc>
        <w:tc>
          <w:tcPr>
            <w:tcW w:w="2413" w:type="pct"/>
            <w:shd w:val="clear" w:color="auto" w:fill="2E74B5" w:themeFill="accent1" w:themeFillShade="BF"/>
          </w:tcPr>
          <w:p w14:paraId="13E434F2" w14:textId="77777777" w:rsidR="006F16FE" w:rsidRPr="005D5082" w:rsidRDefault="006F16FE" w:rsidP="00947B98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D5082">
              <w:rPr>
                <w:rFonts w:ascii="Times New Roman" w:hAnsi="Times New Roman" w:cs="Times New Roman"/>
                <w:b/>
                <w:color w:val="FFFFFF" w:themeColor="background1"/>
              </w:rPr>
              <w:t>Réponse</w:t>
            </w:r>
          </w:p>
        </w:tc>
      </w:tr>
      <w:tr w:rsidR="006F16FE" w:rsidRPr="005D5082" w14:paraId="32B3355F" w14:textId="77777777" w:rsidTr="00057A28">
        <w:trPr>
          <w:trHeight w:val="1936"/>
        </w:trPr>
        <w:tc>
          <w:tcPr>
            <w:tcW w:w="970" w:type="pct"/>
            <w:vMerge w:val="restart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448C6B4" w14:textId="77777777" w:rsidR="00EE6B57" w:rsidRPr="005D5082" w:rsidRDefault="00EE6B57" w:rsidP="00947B98">
            <w:pPr>
              <w:rPr>
                <w:rFonts w:ascii="Times New Roman" w:hAnsi="Times New Roman" w:cs="Times New Roman"/>
                <w:b/>
              </w:rPr>
            </w:pPr>
            <w:r w:rsidRPr="005D5082">
              <w:rPr>
                <w:rFonts w:ascii="Times New Roman" w:hAnsi="Times New Roman" w:cs="Times New Roman"/>
                <w:b/>
              </w:rPr>
              <w:t xml:space="preserve">Critère 1 : </w:t>
            </w:r>
          </w:p>
          <w:p w14:paraId="16FB9C98" w14:textId="38128E20" w:rsidR="006F16FE" w:rsidRPr="005D5082" w:rsidRDefault="001F634A" w:rsidP="001F634A">
            <w:pPr>
              <w:rPr>
                <w:rFonts w:ascii="Times New Roman" w:hAnsi="Times New Roman" w:cs="Times New Roman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>Adéquation des intervenants chargés des prestations prévues dans le cahier des clauses techniques particulières</w:t>
            </w:r>
          </w:p>
        </w:tc>
        <w:tc>
          <w:tcPr>
            <w:tcW w:w="582" w:type="pct"/>
            <w:vMerge w:val="restart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DB32558" w14:textId="4053F76F" w:rsidR="006F16FE" w:rsidRPr="005D5082" w:rsidRDefault="006F16FE" w:rsidP="00E747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082">
              <w:rPr>
                <w:rFonts w:ascii="Times New Roman" w:hAnsi="Times New Roman" w:cs="Times New Roman"/>
                <w:b/>
              </w:rPr>
              <w:t>(</w:t>
            </w:r>
            <w:r w:rsidR="00DB5E7B" w:rsidRPr="005D5082">
              <w:rPr>
                <w:rFonts w:ascii="Times New Roman" w:hAnsi="Times New Roman" w:cs="Times New Roman"/>
                <w:b/>
              </w:rPr>
              <w:t>26</w:t>
            </w:r>
            <w:r w:rsidRPr="005D508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03D2D63C" w14:textId="1B43E80D" w:rsidR="006F16FE" w:rsidRPr="005D5082" w:rsidRDefault="00870111" w:rsidP="00057A2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Sous-critère 1.1 : e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xpérience et qualification de </w:t>
            </w:r>
            <w:r w:rsidR="001F634A"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l’interlocuteur principal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de l’Assemblée nationale </w:t>
            </w:r>
            <w:r w:rsidR="00DB5E7B" w:rsidRPr="005D5082">
              <w:rPr>
                <w:rFonts w:ascii="Times New Roman" w:eastAsia="Times New Roman" w:hAnsi="Times New Roman" w:cs="Times New Roman"/>
                <w:lang w:eastAsia="ar-SA"/>
              </w:rPr>
              <w:t>(coef. 5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14:paraId="52406980" w14:textId="35C0CFBA" w:rsidR="001F634A" w:rsidRPr="005D5082" w:rsidRDefault="00CF3936" w:rsidP="00057A2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F</w:t>
            </w:r>
            <w:r w:rsidR="001F634A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ournir le CV détaillé de l’interlocuteur principal de l’AN</w:t>
            </w: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.</w:t>
            </w:r>
          </w:p>
        </w:tc>
        <w:tc>
          <w:tcPr>
            <w:tcW w:w="2413" w:type="pct"/>
            <w:vAlign w:val="center"/>
          </w:tcPr>
          <w:p w14:paraId="0C1C3F40" w14:textId="77C7F106" w:rsidR="006F16FE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0" w:name="Texte97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bookmarkStart w:id="1" w:name="_GoBack"/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bookmarkEnd w:id="0"/>
            <w:bookmarkEnd w:id="1"/>
            <w:r>
              <w:rPr>
                <w:szCs w:val="24"/>
              </w:rPr>
              <w:fldChar w:fldCharType="end"/>
            </w:r>
          </w:p>
        </w:tc>
      </w:tr>
      <w:tr w:rsidR="006F16FE" w:rsidRPr="005D5082" w14:paraId="5CFE39D2" w14:textId="77777777" w:rsidTr="00057A28">
        <w:tc>
          <w:tcPr>
            <w:tcW w:w="970" w:type="pct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0133D0E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D19F6C3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62D76C3C" w14:textId="4AC15CD7" w:rsidR="006F16FE" w:rsidRPr="005D5082" w:rsidRDefault="00EE6B57" w:rsidP="0087011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1.2 : </w:t>
            </w:r>
            <w:r w:rsidR="00870111"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p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ertinence de la composition de la </w:t>
            </w:r>
            <w:r w:rsidR="001F634A"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cellule d’écoute pour assurer la 1ère prise en charge au regard de l’obligation de service 24/7 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="00DB5E7B" w:rsidRPr="005D5082">
              <w:rPr>
                <w:rFonts w:ascii="Times New Roman" w:eastAsia="Times New Roman" w:hAnsi="Times New Roman" w:cs="Times New Roman"/>
                <w:lang w:eastAsia="ar-SA"/>
              </w:rPr>
              <w:t>coef. 8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>).</w:t>
            </w:r>
          </w:p>
          <w:p w14:paraId="7D603247" w14:textId="3C55D6BC" w:rsidR="001F634A" w:rsidRPr="005D5082" w:rsidRDefault="00CF3936" w:rsidP="001F634A">
            <w:pPr>
              <w:suppressAutoHyphens/>
              <w:spacing w:before="12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F</w:t>
            </w:r>
            <w:r w:rsidR="001F634A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ournir les éléments suivants :</w:t>
            </w:r>
          </w:p>
          <w:p w14:paraId="6E75D0FD" w14:textId="77777777" w:rsidR="001F634A" w:rsidRPr="005D5082" w:rsidRDefault="001F634A" w:rsidP="001F634A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502" w:hanging="425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nombre et profil des personnels chargés du 1er niveau de prise en charge ; le profil fourni </w:t>
            </w: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lastRenderedPageBreak/>
              <w:t xml:space="preserve">peut être anonymisé mais doit préciser, pour chacun, la compétence et l’expérience garanties; </w:t>
            </w:r>
          </w:p>
          <w:p w14:paraId="38DF7C36" w14:textId="77777777" w:rsidR="001F634A" w:rsidRPr="005D5082" w:rsidRDefault="001F634A" w:rsidP="001F634A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502" w:hanging="425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description de l’organisation retenue pour assurer une réponse 24 /7 ; </w:t>
            </w:r>
          </w:p>
          <w:p w14:paraId="70ACF8A8" w14:textId="77777777" w:rsidR="001F634A" w:rsidRPr="005D5082" w:rsidRDefault="001F634A" w:rsidP="001F634A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502" w:hanging="425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moyens humains disponibles pour faire face à des pics d’activité ; préciser leur délai de mobilisation ; </w:t>
            </w:r>
          </w:p>
          <w:p w14:paraId="3481A652" w14:textId="77777777" w:rsidR="001C0FF9" w:rsidRPr="005D5082" w:rsidRDefault="001F634A" w:rsidP="001C0FF9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502" w:hanging="425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moyens mis en œuvre pour former ces personnels au contexte de l’Assemblée nationale et assurer leur formation continue</w:t>
            </w:r>
          </w:p>
          <w:p w14:paraId="0A63E3A1" w14:textId="0B220E0C" w:rsidR="001C0FF9" w:rsidRPr="005D5082" w:rsidRDefault="001C0FF9" w:rsidP="001C0FF9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502" w:hanging="425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>réactivité pour répondre à une demande d’augmentation du nombre d’appelants</w:t>
            </w:r>
          </w:p>
          <w:p w14:paraId="09FC8AA9" w14:textId="25E1CF38" w:rsidR="001F634A" w:rsidRPr="005D5082" w:rsidRDefault="001F634A" w:rsidP="00CF0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pct"/>
            <w:vAlign w:val="center"/>
          </w:tcPr>
          <w:p w14:paraId="38602F2A" w14:textId="1B239CED" w:rsidR="006F16FE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lastRenderedPageBreak/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6F16FE" w:rsidRPr="005D5082" w14:paraId="168FDB79" w14:textId="77777777" w:rsidTr="00057A28">
        <w:tc>
          <w:tcPr>
            <w:tcW w:w="970" w:type="pct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FFD05C8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D390FD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749523A4" w14:textId="214DA09D" w:rsidR="001F634A" w:rsidRPr="005D5082" w:rsidRDefault="00870111" w:rsidP="00870111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1.3 : 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>p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ertinence de la composition de </w:t>
            </w:r>
            <w:r w:rsidR="001F634A"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l’équipe pluridisciplinaire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F634A"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assurant l’analyse détaillée de chaque situation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(</w:t>
            </w:r>
            <w:r w:rsidR="00DB5E7B" w:rsidRPr="005D5082">
              <w:rPr>
                <w:rFonts w:ascii="Times New Roman" w:eastAsia="Times New Roman" w:hAnsi="Times New Roman" w:cs="Times New Roman"/>
                <w:lang w:eastAsia="ar-SA"/>
              </w:rPr>
              <w:t>coef. 8</w:t>
            </w:r>
            <w:r w:rsidR="001F634A" w:rsidRPr="005D5082">
              <w:rPr>
                <w:rFonts w:ascii="Times New Roman" w:eastAsia="Times New Roman" w:hAnsi="Times New Roman" w:cs="Times New Roman"/>
                <w:lang w:eastAsia="ar-SA"/>
              </w:rPr>
              <w:t>).</w:t>
            </w:r>
          </w:p>
          <w:p w14:paraId="753FFB64" w14:textId="11E45D19" w:rsidR="001F634A" w:rsidRDefault="001F634A" w:rsidP="00DB5E7B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0D4515E" w14:textId="6C4228FC" w:rsidR="005D5082" w:rsidRDefault="005D5082" w:rsidP="00DB5E7B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12B4156" w14:textId="77777777" w:rsidR="005D5082" w:rsidRPr="005D5082" w:rsidRDefault="005D5082" w:rsidP="00DB5E7B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25696D" w14:textId="484B46B6" w:rsidR="001F634A" w:rsidRPr="005D5082" w:rsidRDefault="001F634A" w:rsidP="001F634A">
            <w:pPr>
              <w:suppressAutoHyphens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lastRenderedPageBreak/>
              <w:t xml:space="preserve"> </w:t>
            </w:r>
            <w:r w:rsidR="00CF3936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F</w:t>
            </w: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ournir les éléments suivants :</w:t>
            </w:r>
          </w:p>
          <w:p w14:paraId="131E2E4F" w14:textId="77777777" w:rsidR="00006BFF" w:rsidRPr="005D5082" w:rsidRDefault="001F634A" w:rsidP="00006BFF">
            <w:pPr>
              <w:pStyle w:val="Paragraphedeliste"/>
              <w:numPr>
                <w:ilvl w:val="0"/>
                <w:numId w:val="13"/>
              </w:numPr>
              <w:suppressAutoHyphens/>
              <w:spacing w:after="120"/>
              <w:ind w:left="218" w:hanging="283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nombre et profil détaillé des personnes composant l’équipe pluridisciplinaire chargée de faire l’analyse approfondie de chaque situation</w:t>
            </w:r>
            <w:r w:rsidR="00006BFF" w:rsidRPr="005D5082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</w:t>
            </w:r>
            <w:r w:rsidR="00006BFF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(dont profils et qualification des intervenants chargés de la prestation de conseil juridique)</w:t>
            </w: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 ; </w:t>
            </w:r>
          </w:p>
          <w:p w14:paraId="09551BC8" w14:textId="77777777" w:rsidR="00006BFF" w:rsidRPr="005D5082" w:rsidRDefault="001F634A" w:rsidP="00006BFF">
            <w:pPr>
              <w:pStyle w:val="Paragraphedeliste"/>
              <w:numPr>
                <w:ilvl w:val="0"/>
                <w:numId w:val="13"/>
              </w:numPr>
              <w:suppressAutoHyphens/>
              <w:spacing w:after="120"/>
              <w:ind w:left="218" w:hanging="283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expérience et qualification du personnel spécifiquement chargé des prestations de conseil juridique ;</w:t>
            </w:r>
          </w:p>
          <w:p w14:paraId="21164326" w14:textId="749EC0BD" w:rsidR="006F16FE" w:rsidRPr="005D5082" w:rsidRDefault="001F634A" w:rsidP="00006BFF">
            <w:pPr>
              <w:pStyle w:val="Paragraphedeliste"/>
              <w:numPr>
                <w:ilvl w:val="0"/>
                <w:numId w:val="13"/>
              </w:numPr>
              <w:suppressAutoHyphens/>
              <w:spacing w:after="120"/>
              <w:ind w:left="218" w:hanging="283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moyens mis en œuvre pour former ces personnels au contexte de l’Assemblée nationale et assurer leur formation continue</w:t>
            </w:r>
            <w:r w:rsidR="00CF3936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.</w:t>
            </w:r>
          </w:p>
        </w:tc>
        <w:tc>
          <w:tcPr>
            <w:tcW w:w="2413" w:type="pct"/>
            <w:vAlign w:val="center"/>
          </w:tcPr>
          <w:p w14:paraId="6E1AD5FA" w14:textId="594748C5" w:rsidR="006F16FE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lastRenderedPageBreak/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E7470B" w:rsidRPr="005D5082" w14:paraId="742378E7" w14:textId="77777777" w:rsidTr="00057A28">
        <w:tc>
          <w:tcPr>
            <w:tcW w:w="970" w:type="pct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4C3EBB00" w14:textId="77777777" w:rsidR="00E7470B" w:rsidRPr="005D5082" w:rsidRDefault="00E7470B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1D98C64B" w14:textId="77777777" w:rsidR="00E7470B" w:rsidRPr="005D5082" w:rsidRDefault="00E7470B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72D8E54D" w14:textId="65481FA5" w:rsidR="00E7470B" w:rsidRPr="005D5082" w:rsidRDefault="00E7470B" w:rsidP="00E7470B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Sous-critère 1.4 : 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pertinence des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personnels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chargés des prestations de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formation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(</w:t>
            </w:r>
            <w:r w:rsidR="00DB5E7B" w:rsidRPr="005D5082">
              <w:rPr>
                <w:rFonts w:ascii="Times New Roman" w:eastAsia="Times New Roman" w:hAnsi="Times New Roman" w:cs="Times New Roman"/>
                <w:lang w:eastAsia="ar-SA"/>
              </w:rPr>
              <w:t>c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>oef. 5).</w:t>
            </w:r>
          </w:p>
          <w:p w14:paraId="7ABAB561" w14:textId="77777777" w:rsidR="00E7470B" w:rsidRDefault="00CF3936" w:rsidP="005D5082">
            <w:pPr>
              <w:suppressAutoHyphens/>
              <w:spacing w:after="120"/>
              <w:ind w:right="52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P</w:t>
            </w:r>
            <w:r w:rsidR="00E7470B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réciser le nombre, l’expérience et profils des personnels chargés des prestations de formation </w:t>
            </w:r>
          </w:p>
          <w:p w14:paraId="08FBF62E" w14:textId="6A5FDD53" w:rsidR="005D5082" w:rsidRPr="005D5082" w:rsidRDefault="005D5082" w:rsidP="005D5082">
            <w:pPr>
              <w:suppressAutoHyphens/>
              <w:spacing w:after="120"/>
              <w:ind w:right="52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413" w:type="pct"/>
            <w:vAlign w:val="center"/>
          </w:tcPr>
          <w:p w14:paraId="451FE866" w14:textId="4F6B6C60" w:rsidR="00E7470B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068D4" w:rsidRPr="005D5082" w14:paraId="464037A0" w14:textId="77777777" w:rsidTr="005A0CAF">
        <w:tc>
          <w:tcPr>
            <w:tcW w:w="970" w:type="pct"/>
            <w:shd w:val="clear" w:color="auto" w:fill="BDD6EE" w:themeFill="accent1" w:themeFillTint="66"/>
            <w:vAlign w:val="center"/>
          </w:tcPr>
          <w:p w14:paraId="27E369FB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BDD6EE" w:themeFill="accent1" w:themeFillTint="66"/>
            <w:vAlign w:val="center"/>
          </w:tcPr>
          <w:p w14:paraId="5A657E6D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BDD6EE" w:themeFill="accent1" w:themeFillTint="66"/>
            <w:vAlign w:val="center"/>
          </w:tcPr>
          <w:p w14:paraId="02AFF6F0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pct"/>
            <w:shd w:val="clear" w:color="auto" w:fill="BDD6EE" w:themeFill="accent1" w:themeFillTint="66"/>
            <w:vAlign w:val="center"/>
          </w:tcPr>
          <w:p w14:paraId="33A118C6" w14:textId="77777777" w:rsidR="006F16FE" w:rsidRPr="005D5082" w:rsidRDefault="006F16FE" w:rsidP="00947B98">
            <w:pPr>
              <w:rPr>
                <w:rFonts w:ascii="Times New Roman" w:hAnsi="Times New Roman" w:cs="Times New Roman"/>
              </w:rPr>
            </w:pPr>
          </w:p>
        </w:tc>
      </w:tr>
      <w:tr w:rsidR="00947B98" w:rsidRPr="005D5082" w14:paraId="33608AD1" w14:textId="77777777" w:rsidTr="00947B98">
        <w:tc>
          <w:tcPr>
            <w:tcW w:w="970" w:type="pct"/>
            <w:shd w:val="clear" w:color="auto" w:fill="EDEDED" w:themeFill="accent3" w:themeFillTint="33"/>
            <w:vAlign w:val="center"/>
          </w:tcPr>
          <w:p w14:paraId="3C7CC9C8" w14:textId="77777777" w:rsidR="00E7470B" w:rsidRPr="005D5082" w:rsidRDefault="00E7470B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688F87F2" w14:textId="77777777" w:rsidR="00E7470B" w:rsidRPr="005D5082" w:rsidRDefault="00E7470B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13C44B13" w14:textId="77777777" w:rsidR="00E7470B" w:rsidRPr="005D5082" w:rsidRDefault="00E7470B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25490B6D" w14:textId="77777777" w:rsidR="00E7470B" w:rsidRPr="005D5082" w:rsidRDefault="00E7470B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31F0D2F2" w14:textId="77777777" w:rsidR="00E7470B" w:rsidRPr="005D5082" w:rsidRDefault="00E7470B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28A2E1D9" w14:textId="7E482CEF" w:rsidR="00EE6B57" w:rsidRPr="005D5082" w:rsidRDefault="00EE6B57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Critère 2 : </w:t>
            </w:r>
          </w:p>
          <w:p w14:paraId="391DABEF" w14:textId="13FD4F5C" w:rsidR="00E7470B" w:rsidRPr="005D5082" w:rsidRDefault="00E7470B" w:rsidP="00E7470B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Garanties apportées à l’ergonomie, la continuité et à l’accessibilité du service  </w:t>
            </w:r>
          </w:p>
          <w:p w14:paraId="3B0EA441" w14:textId="77777777" w:rsidR="00947B98" w:rsidRPr="005D5082" w:rsidRDefault="00947B98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EDEDED" w:themeFill="accent3" w:themeFillTint="33"/>
            <w:vAlign w:val="center"/>
          </w:tcPr>
          <w:p w14:paraId="763D1F78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270A58C9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4CA29A3D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56203EE2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19F13226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69B572D6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29CB91B9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4583406F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0CFA915E" w14:textId="77777777" w:rsidR="00E7470B" w:rsidRPr="005D5082" w:rsidRDefault="00E7470B" w:rsidP="009A26E4">
            <w:pPr>
              <w:rPr>
                <w:rFonts w:ascii="Times New Roman" w:hAnsi="Times New Roman" w:cs="Times New Roman"/>
                <w:b/>
              </w:rPr>
            </w:pPr>
          </w:p>
          <w:p w14:paraId="3BC03186" w14:textId="574BAB61" w:rsidR="00947B98" w:rsidRPr="005D5082" w:rsidRDefault="00E7470B" w:rsidP="00E7470B">
            <w:pPr>
              <w:jc w:val="center"/>
              <w:rPr>
                <w:rFonts w:ascii="Times New Roman" w:hAnsi="Times New Roman" w:cs="Times New Roman"/>
              </w:rPr>
            </w:pPr>
            <w:r w:rsidRPr="005D5082">
              <w:rPr>
                <w:rFonts w:ascii="Times New Roman" w:hAnsi="Times New Roman" w:cs="Times New Roman"/>
                <w:b/>
              </w:rPr>
              <w:t>(7)</w:t>
            </w: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7B6F07E0" w14:textId="77777777" w:rsidR="00E7470B" w:rsidRPr="005D5082" w:rsidRDefault="00E7470B" w:rsidP="00E7470B">
            <w:pPr>
              <w:suppressAutoHyphens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  <w:p w14:paraId="6E56DD4E" w14:textId="0D8C6898" w:rsidR="00E7470B" w:rsidRPr="005D5082" w:rsidRDefault="00CF3936" w:rsidP="00E7470B">
            <w:pPr>
              <w:suppressAutoHyphens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lastRenderedPageBreak/>
              <w:t>F</w:t>
            </w:r>
            <w:r w:rsidR="00E7470B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ournir les éléments suivants :</w:t>
            </w:r>
          </w:p>
          <w:p w14:paraId="1574DB92" w14:textId="7D42657B" w:rsidR="00E7470B" w:rsidRPr="005D5082" w:rsidRDefault="00E7470B" w:rsidP="00006BFF">
            <w:pPr>
              <w:pStyle w:val="Paragraphedeliste"/>
              <w:numPr>
                <w:ilvl w:val="0"/>
                <w:numId w:val="14"/>
              </w:numPr>
              <w:suppressAutoHyphens/>
              <w:ind w:left="353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description des moyens techniques mis en </w:t>
            </w:r>
            <w:r w:rsidR="00006BFF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œuvre</w:t>
            </w: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 pour garantir la disponibilité 24/7 de la cellule téléphonique d’écoute ; </w:t>
            </w:r>
          </w:p>
          <w:p w14:paraId="3F18289C" w14:textId="77777777" w:rsidR="00E7470B" w:rsidRPr="005D5082" w:rsidRDefault="00E7470B" w:rsidP="00006BFF">
            <w:pPr>
              <w:pStyle w:val="Paragraphedeliste"/>
              <w:numPr>
                <w:ilvl w:val="0"/>
                <w:numId w:val="14"/>
              </w:numPr>
              <w:suppressAutoHyphens/>
              <w:ind w:left="353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présentation de la plateforme digitale dédiée: page d’accueil, formulaire de contact et contenus proposés ; </w:t>
            </w:r>
          </w:p>
          <w:p w14:paraId="1CDAC7D5" w14:textId="77777777" w:rsidR="00E7470B" w:rsidRPr="005D5082" w:rsidRDefault="00E7470B" w:rsidP="00006BFF">
            <w:pPr>
              <w:pStyle w:val="Paragraphedeliste"/>
              <w:numPr>
                <w:ilvl w:val="0"/>
                <w:numId w:val="14"/>
              </w:numPr>
              <w:suppressAutoHyphens/>
              <w:ind w:left="353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moyens techniques prévus pour assurer sa disponibilité </w:t>
            </w:r>
          </w:p>
          <w:p w14:paraId="10310415" w14:textId="77777777" w:rsidR="00E7470B" w:rsidRPr="005D5082" w:rsidRDefault="00E7470B" w:rsidP="00006BFF">
            <w:pPr>
              <w:pStyle w:val="Paragraphedeliste"/>
              <w:numPr>
                <w:ilvl w:val="0"/>
                <w:numId w:val="14"/>
              </w:numPr>
              <w:suppressAutoHyphens/>
              <w:ind w:left="353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présentation des mesures prises pour faciliter l’accès des personnes touchées par un handicap auditif ou visuel  à la cellule d’écoute</w:t>
            </w: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 xml:space="preserve">. </w:t>
            </w:r>
          </w:p>
          <w:p w14:paraId="6EA2154A" w14:textId="77777777" w:rsidR="00947B98" w:rsidRPr="005D5082" w:rsidRDefault="00947B98" w:rsidP="00B84184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3" w:type="pct"/>
            <w:vAlign w:val="center"/>
          </w:tcPr>
          <w:p w14:paraId="5B17994A" w14:textId="77777777" w:rsidR="00947B98" w:rsidRPr="005D5082" w:rsidRDefault="00947B98" w:rsidP="00947B98">
            <w:pPr>
              <w:rPr>
                <w:rFonts w:ascii="Times New Roman" w:hAnsi="Times New Roman" w:cs="Times New Roman"/>
              </w:rPr>
            </w:pPr>
          </w:p>
        </w:tc>
      </w:tr>
      <w:tr w:rsidR="00947B98" w:rsidRPr="005D5082" w14:paraId="5E17FE77" w14:textId="77777777" w:rsidTr="00057A28">
        <w:tc>
          <w:tcPr>
            <w:tcW w:w="970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4A28A15" w14:textId="77777777" w:rsidR="00947B98" w:rsidRPr="005D5082" w:rsidRDefault="00947B98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A9819E6" w14:textId="77777777" w:rsidR="00947B98" w:rsidRPr="005D5082" w:rsidRDefault="00947B98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BDD6EE" w:themeFill="accent1" w:themeFillTint="66"/>
            <w:vAlign w:val="center"/>
          </w:tcPr>
          <w:p w14:paraId="18267755" w14:textId="77777777" w:rsidR="00947B98" w:rsidRPr="005D5082" w:rsidRDefault="00947B98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pct"/>
            <w:shd w:val="clear" w:color="auto" w:fill="BDD6EE" w:themeFill="accent1" w:themeFillTint="66"/>
            <w:vAlign w:val="center"/>
          </w:tcPr>
          <w:p w14:paraId="16BCA523" w14:textId="77777777" w:rsidR="00947B98" w:rsidRPr="005D5082" w:rsidRDefault="00947B98" w:rsidP="00947B98">
            <w:pPr>
              <w:rPr>
                <w:rFonts w:ascii="Times New Roman" w:hAnsi="Times New Roman" w:cs="Times New Roman"/>
              </w:rPr>
            </w:pPr>
          </w:p>
        </w:tc>
      </w:tr>
      <w:tr w:rsidR="00A15742" w:rsidRPr="005D5082" w14:paraId="5C0F18A6" w14:textId="77777777" w:rsidTr="00057A28">
        <w:tc>
          <w:tcPr>
            <w:tcW w:w="970" w:type="pct"/>
            <w:vMerge w:val="restart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989F166" w14:textId="77777777" w:rsidR="00EE6B57" w:rsidRPr="005D5082" w:rsidRDefault="00EE6B57" w:rsidP="00EE6B57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Critère 3 : </w:t>
            </w:r>
          </w:p>
          <w:p w14:paraId="38A90BFA" w14:textId="07B389FE" w:rsidR="00CF3936" w:rsidRPr="005D5082" w:rsidRDefault="00CF3936" w:rsidP="00CF3936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b/>
                <w:u w:val="single"/>
                <w:lang w:eastAsia="ar-SA"/>
              </w:rPr>
              <w:t xml:space="preserve">Qualité de la méthodologie pour assurer les prestations (26 points). </w:t>
            </w:r>
          </w:p>
          <w:p w14:paraId="1407FD5E" w14:textId="77777777" w:rsidR="00A15742" w:rsidRPr="005D5082" w:rsidRDefault="00A15742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vMerge w:val="restart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18FBB05" w14:textId="6FF181C1" w:rsidR="00A15742" w:rsidRPr="005D5082" w:rsidRDefault="00CF3936" w:rsidP="00CF39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082">
              <w:rPr>
                <w:rFonts w:ascii="Times New Roman" w:hAnsi="Times New Roman" w:cs="Times New Roman"/>
                <w:b/>
              </w:rPr>
              <w:t>(</w:t>
            </w:r>
            <w:r w:rsidR="00DB5E7B" w:rsidRPr="005D5082">
              <w:rPr>
                <w:rFonts w:ascii="Times New Roman" w:hAnsi="Times New Roman" w:cs="Times New Roman"/>
                <w:b/>
              </w:rPr>
              <w:t>27</w:t>
            </w:r>
            <w:r w:rsidRPr="005D508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6545B144" w14:textId="2C390065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Sous-critère 3.1 : pertinence de la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méthodologie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mise en place pour traiter un cas de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harcèlement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(coef. 8)</w:t>
            </w:r>
          </w:p>
          <w:p w14:paraId="1CCBCF70" w14:textId="15D9C5F4" w:rsidR="00A15742" w:rsidRPr="005D5082" w:rsidRDefault="00CF3936" w:rsidP="00B84184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>Décrire la méthodologie retenue depuis la 1ère prise de contact jusqu’à la transmission de la note de signalement.</w:t>
            </w:r>
            <w:r w:rsidR="001C0FF9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 Présenter un </w:t>
            </w:r>
            <w:r w:rsidR="001C0FF9"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lastRenderedPageBreak/>
              <w:t>déroulé-type de l’appel.</w:t>
            </w: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 Préciser notamment les échanges </w:t>
            </w: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>internes à l’équipe pour qualifier la situation ; les méthodes de communication entre la cellule de 1er niveau et l’équipe pluridisciplinaire ; les modalités d’intervention des juristes ; la qualité de la personne chargée de la rédaction du rapport - si relectures internes préalables, le préciser ; indiquer le mode de transmission à l’administration et le délai de transmission ; préciser les modalités de suivi de la personne signalant les fait avant et après le signalement.</w:t>
            </w:r>
          </w:p>
        </w:tc>
        <w:tc>
          <w:tcPr>
            <w:tcW w:w="2413" w:type="pct"/>
            <w:vAlign w:val="center"/>
          </w:tcPr>
          <w:p w14:paraId="51E1BCA6" w14:textId="58D82716" w:rsidR="00A15742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lastRenderedPageBreak/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A15742" w:rsidRPr="005D5082" w14:paraId="75B0F172" w14:textId="77777777" w:rsidTr="00057A28">
        <w:tc>
          <w:tcPr>
            <w:tcW w:w="970" w:type="pct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A318B2B" w14:textId="77777777" w:rsidR="00A15742" w:rsidRPr="005D5082" w:rsidRDefault="00A15742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9B4DBEB" w14:textId="77777777" w:rsidR="00A15742" w:rsidRPr="005D5082" w:rsidRDefault="00A15742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12E3117A" w14:textId="5BA58D3C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Sous-critère 3.2 : pertinence de la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méthodologie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mise en place pour traiter un cas de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souffrance au travail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(coef. 6)</w:t>
            </w:r>
          </w:p>
          <w:p w14:paraId="3CD3A463" w14:textId="77777777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  <w:p w14:paraId="79281B92" w14:textId="7C17B534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hAnsi="Times New Roman" w:cs="Times New Roman"/>
                <w:i/>
                <w:color w:val="2E74B5" w:themeColor="accent1" w:themeShade="BF"/>
              </w:rPr>
              <w:t xml:space="preserve">Décrire la méthodologie retenue depuis la 1ère prise de contact jusqu’à la transmission de la note informative (préciser notamment les échanges </w:t>
            </w: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 xml:space="preserve">internes à l’équipe pour qualifier la situation ; préciser les modalités d’intervention de </w:t>
            </w: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lastRenderedPageBreak/>
              <w:t>l’équipe pluridisciplinaire ; qualité de la personne chargée de la rédaction du rapport - si relectures internes préalables, le préciser ; indiquer le mode de transmission à l’administration et le délai de transmission ; préciser les modalités de suivi de la personne signalant les faits</w:t>
            </w:r>
            <w:r w:rsidRPr="005D5082">
              <w:rPr>
                <w:rFonts w:ascii="Times New Roman" w:eastAsia="Times New Roman" w:hAnsi="Times New Roman" w:cs="Times New Roman"/>
                <w:color w:val="2E74B5" w:themeColor="accent1" w:themeShade="BF"/>
                <w:lang w:eastAsia="ar-SA"/>
              </w:rPr>
              <w:t>).</w:t>
            </w:r>
          </w:p>
          <w:p w14:paraId="0C985F27" w14:textId="77777777" w:rsidR="00A15742" w:rsidRPr="005D5082" w:rsidRDefault="00A15742" w:rsidP="00B84184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3" w:type="pct"/>
            <w:vAlign w:val="center"/>
          </w:tcPr>
          <w:p w14:paraId="4C871802" w14:textId="022F8B92" w:rsidR="00A15742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lastRenderedPageBreak/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CF3936" w:rsidRPr="005D5082" w14:paraId="0E25A4FE" w14:textId="77777777" w:rsidTr="00057A28"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3576807" w14:textId="77777777" w:rsidR="00CF3936" w:rsidRPr="005D5082" w:rsidRDefault="00CF3936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B3EC0AA" w14:textId="77777777" w:rsidR="00CF3936" w:rsidRPr="005D5082" w:rsidRDefault="00CF3936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0DCEDB75" w14:textId="48581369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Sous-critère 3.3 : pertinence de la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méthodologie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envisagée pour conduire une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enquête interne</w:t>
            </w:r>
            <w:r w:rsidR="00DB5E7B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(coef. 5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14:paraId="66B0676C" w14:textId="7E918DFB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color w:val="2E74B5" w:themeColor="accent1" w:themeShade="BF"/>
                <w:u w:val="single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>Fournir la méthodologie pour conduire une enquête interne ; cette méthodologie doit faire apparaitre le délai moyen de réalisation, les méthodes retenues pour recueillir les témoignages, les relations avec l’administration durant l’enquête ; présentation détaillée du livrable fourni.</w:t>
            </w:r>
          </w:p>
          <w:p w14:paraId="117217B9" w14:textId="77777777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3" w:type="pct"/>
            <w:vAlign w:val="center"/>
          </w:tcPr>
          <w:p w14:paraId="6104BF24" w14:textId="595FA005" w:rsidR="00CF3936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CF3936" w:rsidRPr="005D5082" w14:paraId="6EBE0FC5" w14:textId="77777777" w:rsidTr="00057A28">
        <w:tc>
          <w:tcPr>
            <w:tcW w:w="970" w:type="pct"/>
            <w:tcBorders>
              <w:top w:val="single" w:sz="4" w:space="0" w:color="auto"/>
              <w:bottom w:val="nil"/>
            </w:tcBorders>
            <w:shd w:val="clear" w:color="auto" w:fill="EDEDED" w:themeFill="accent3" w:themeFillTint="33"/>
            <w:vAlign w:val="center"/>
          </w:tcPr>
          <w:p w14:paraId="6AB3065E" w14:textId="77777777" w:rsidR="00CF3936" w:rsidRPr="005D5082" w:rsidRDefault="00CF3936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nil"/>
            </w:tcBorders>
            <w:shd w:val="clear" w:color="auto" w:fill="EDEDED" w:themeFill="accent3" w:themeFillTint="33"/>
            <w:vAlign w:val="center"/>
          </w:tcPr>
          <w:p w14:paraId="710837FC" w14:textId="77777777" w:rsidR="00CF3936" w:rsidRPr="005D5082" w:rsidRDefault="00CF3936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560CFADE" w14:textId="5C36806F" w:rsidR="00CF3936" w:rsidRPr="005D5082" w:rsidRDefault="00CF3936" w:rsidP="00CF3936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Sous-critère 3.4 : Pertinence du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programme de formation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sur les plans théorique et pratique, adaptation au public cible (personnels de l’Assemblée nationale) et adé</w:t>
            </w:r>
            <w:r w:rsidR="00870111" w:rsidRPr="005D5082">
              <w:rPr>
                <w:rFonts w:ascii="Times New Roman" w:eastAsia="Times New Roman" w:hAnsi="Times New Roman" w:cs="Times New Roman"/>
                <w:lang w:eastAsia="ar-SA"/>
              </w:rPr>
              <w:t>quation des moyens pédagogiques</w:t>
            </w:r>
            <w:r w:rsidR="00DB5E7B"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(coef. 5)</w:t>
            </w:r>
          </w:p>
          <w:p w14:paraId="6358B7B4" w14:textId="172A0AF9" w:rsidR="00CF3936" w:rsidRPr="005D5082" w:rsidRDefault="00CF3936" w:rsidP="00870111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lastRenderedPageBreak/>
              <w:t xml:space="preserve">Fournir 1 exemple de programme détaillé de formation d’1/2 journée sur le harcèlement, en précisant les moyens pédagogiques utilisés et les connaissances théoriques mobilisés.  </w:t>
            </w:r>
          </w:p>
        </w:tc>
        <w:tc>
          <w:tcPr>
            <w:tcW w:w="2413" w:type="pct"/>
            <w:vAlign w:val="center"/>
          </w:tcPr>
          <w:p w14:paraId="5D8C69A7" w14:textId="472412E4" w:rsidR="00CF3936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lastRenderedPageBreak/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  <w:tr w:rsidR="00FA2DE5" w:rsidRPr="005D5082" w14:paraId="39C3FA88" w14:textId="77777777" w:rsidTr="002E4238">
        <w:tc>
          <w:tcPr>
            <w:tcW w:w="970" w:type="pct"/>
            <w:tcBorders>
              <w:top w:val="nil"/>
            </w:tcBorders>
            <w:shd w:val="clear" w:color="auto" w:fill="EDEDED" w:themeFill="accent3" w:themeFillTint="33"/>
            <w:vAlign w:val="center"/>
          </w:tcPr>
          <w:p w14:paraId="6EE5AEA5" w14:textId="77777777" w:rsidR="00FA2DE5" w:rsidRPr="005D5082" w:rsidRDefault="00FA2DE5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nil"/>
            </w:tcBorders>
            <w:shd w:val="clear" w:color="auto" w:fill="EDEDED" w:themeFill="accent3" w:themeFillTint="33"/>
            <w:vAlign w:val="center"/>
          </w:tcPr>
          <w:p w14:paraId="7C69E7C9" w14:textId="77777777" w:rsidR="00FA2DE5" w:rsidRPr="005D5082" w:rsidRDefault="00FA2DE5" w:rsidP="00947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EDEDED" w:themeFill="accent3" w:themeFillTint="33"/>
            <w:vAlign w:val="center"/>
          </w:tcPr>
          <w:p w14:paraId="257738C1" w14:textId="095C3D3D" w:rsidR="00FA2DE5" w:rsidRPr="005D5082" w:rsidRDefault="00FA2DE5" w:rsidP="00FA2DE5">
            <w:pPr>
              <w:pStyle w:val="Paragraphedeliste"/>
              <w:suppressAutoHyphens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Sous-critère 3.5 : adéquation des </w:t>
            </w:r>
            <w:r w:rsidRPr="005D5082">
              <w:rPr>
                <w:rFonts w:ascii="Times New Roman" w:eastAsia="Times New Roman" w:hAnsi="Times New Roman" w:cs="Times New Roman"/>
                <w:b/>
                <w:lang w:eastAsia="ar-SA"/>
              </w:rPr>
              <w:t>livrables</w:t>
            </w:r>
            <w:r w:rsidRPr="005D5082">
              <w:rPr>
                <w:rFonts w:ascii="Times New Roman" w:eastAsia="Times New Roman" w:hAnsi="Times New Roman" w:cs="Times New Roman"/>
                <w:lang w:eastAsia="ar-SA"/>
              </w:rPr>
              <w:t xml:space="preserve"> fournis à l’administration (coef. 3)</w:t>
            </w:r>
          </w:p>
          <w:p w14:paraId="33DF9BA7" w14:textId="6FB3576F" w:rsidR="00FA2DE5" w:rsidRPr="005D5082" w:rsidRDefault="00FA2DE5" w:rsidP="00FA2DE5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 xml:space="preserve">Fournir des exemples de livrables énumérés ci-après : </w:t>
            </w:r>
          </w:p>
          <w:p w14:paraId="24631CDA" w14:textId="77777777" w:rsidR="00FA2DE5" w:rsidRPr="005D5082" w:rsidRDefault="00FA2DE5" w:rsidP="00FA2DE5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 xml:space="preserve">1 rapport signalant des faits pouvant être constitutifs de harcèlement </w:t>
            </w:r>
          </w:p>
          <w:p w14:paraId="0956A01B" w14:textId="77777777" w:rsidR="00FA2DE5" w:rsidRPr="005D5082" w:rsidRDefault="00FA2DE5" w:rsidP="00FA2DE5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 xml:space="preserve">1 rapport informant d’un cas de souffrance au travail ; </w:t>
            </w:r>
          </w:p>
          <w:p w14:paraId="05EE0B93" w14:textId="51044DBE" w:rsidR="00FA2DE5" w:rsidRPr="005D5082" w:rsidRDefault="00FA2DE5" w:rsidP="00006BFF">
            <w:pPr>
              <w:pStyle w:val="Paragraphedeliste"/>
              <w:numPr>
                <w:ilvl w:val="0"/>
                <w:numId w:val="12"/>
              </w:numPr>
              <w:suppressAutoHyphens/>
              <w:spacing w:after="120"/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</w:pP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 xml:space="preserve">1 rapport </w:t>
            </w:r>
            <w:r w:rsidR="00006BFF"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>trimestrie</w:t>
            </w:r>
            <w:r w:rsidRPr="005D5082">
              <w:rPr>
                <w:rFonts w:ascii="Times New Roman" w:eastAsia="Times New Roman" w:hAnsi="Times New Roman" w:cs="Times New Roman"/>
                <w:i/>
                <w:color w:val="2E74B5" w:themeColor="accent1" w:themeShade="BF"/>
                <w:lang w:eastAsia="ar-SA"/>
              </w:rPr>
              <w:t>l à l’attention de l’administration de l’Assemblée nationale</w:t>
            </w:r>
          </w:p>
        </w:tc>
        <w:tc>
          <w:tcPr>
            <w:tcW w:w="2413" w:type="pct"/>
            <w:vAlign w:val="center"/>
          </w:tcPr>
          <w:p w14:paraId="183EBC21" w14:textId="1C87FFA9" w:rsidR="00FA2DE5" w:rsidRPr="005D5082" w:rsidRDefault="00944329" w:rsidP="00947B98">
            <w:pPr>
              <w:rPr>
                <w:rFonts w:ascii="Times New Roman" w:hAnsi="Times New Roman" w:cs="Times New Roman"/>
              </w:rPr>
            </w:pPr>
            <w:r>
              <w:rPr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</w:p>
        </w:tc>
      </w:tr>
    </w:tbl>
    <w:p w14:paraId="63E1CACC" w14:textId="77777777" w:rsidR="007875E5" w:rsidRPr="005D5082" w:rsidRDefault="00944329" w:rsidP="00DB5E7B">
      <w:pPr>
        <w:rPr>
          <w:rFonts w:ascii="Times New Roman" w:hAnsi="Times New Roman" w:cs="Times New Roman"/>
        </w:rPr>
      </w:pPr>
    </w:p>
    <w:sectPr w:rsidR="007875E5" w:rsidRPr="005D5082" w:rsidSect="006F16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E7A6E" w14:textId="77777777" w:rsidR="00F51EF2" w:rsidRDefault="00F51EF2" w:rsidP="00947B98">
      <w:pPr>
        <w:spacing w:after="0" w:line="240" w:lineRule="auto"/>
      </w:pPr>
      <w:r>
        <w:separator/>
      </w:r>
    </w:p>
  </w:endnote>
  <w:endnote w:type="continuationSeparator" w:id="0">
    <w:p w14:paraId="2FFC7A77" w14:textId="77777777" w:rsidR="00F51EF2" w:rsidRDefault="00F51EF2" w:rsidP="0094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6C050" w14:textId="77777777" w:rsidR="00F51EF2" w:rsidRDefault="00F51EF2" w:rsidP="00947B98">
      <w:pPr>
        <w:spacing w:after="0" w:line="240" w:lineRule="auto"/>
      </w:pPr>
      <w:r>
        <w:separator/>
      </w:r>
    </w:p>
  </w:footnote>
  <w:footnote w:type="continuationSeparator" w:id="0">
    <w:p w14:paraId="1CFB8C3A" w14:textId="77777777" w:rsidR="00F51EF2" w:rsidRDefault="00F51EF2" w:rsidP="00947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130DD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C8260D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69710E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A55D29"/>
    <w:multiLevelType w:val="hybridMultilevel"/>
    <w:tmpl w:val="584CCB16"/>
    <w:lvl w:ilvl="0" w:tplc="65005186">
      <w:start w:val="4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277720"/>
    <w:multiLevelType w:val="multilevel"/>
    <w:tmpl w:val="DC7638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5" w15:restartNumberingAfterBreak="0">
    <w:nsid w:val="27D716F1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55C3988"/>
    <w:multiLevelType w:val="hybridMultilevel"/>
    <w:tmpl w:val="2FBC8DA8"/>
    <w:lvl w:ilvl="0" w:tplc="0EC88D1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C95693B"/>
    <w:multiLevelType w:val="multilevel"/>
    <w:tmpl w:val="DC7638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8" w15:restartNumberingAfterBreak="0">
    <w:nsid w:val="41DB3249"/>
    <w:multiLevelType w:val="hybridMultilevel"/>
    <w:tmpl w:val="A6F0ECB2"/>
    <w:lvl w:ilvl="0" w:tplc="6500518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30C0D"/>
    <w:multiLevelType w:val="multilevel"/>
    <w:tmpl w:val="DC7638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10" w15:restartNumberingAfterBreak="0">
    <w:nsid w:val="4DDC2E58"/>
    <w:multiLevelType w:val="multilevel"/>
    <w:tmpl w:val="11DA303A"/>
    <w:lvl w:ilvl="0">
      <w:start w:val="1"/>
      <w:numFmt w:val="decimal"/>
      <w:pStyle w:val="Titre1"/>
      <w:suff w:val="nothing"/>
      <w:lvlText w:val="ARTICLE %1 : "/>
      <w:lvlJc w:val="left"/>
      <w:pPr>
        <w:ind w:left="142" w:firstLine="0"/>
      </w:pPr>
      <w:rPr>
        <w:rFonts w:hint="default"/>
        <w:b/>
      </w:rPr>
    </w:lvl>
    <w:lvl w:ilvl="1">
      <w:start w:val="1"/>
      <w:numFmt w:val="decimal"/>
      <w:pStyle w:val="Titre2"/>
      <w:suff w:val="nothing"/>
      <w:lvlText w:val="%1.%2. 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4AE2A9A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F1E0EFC"/>
    <w:multiLevelType w:val="hybridMultilevel"/>
    <w:tmpl w:val="7E807AD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04029B2"/>
    <w:multiLevelType w:val="hybridMultilevel"/>
    <w:tmpl w:val="918637D4"/>
    <w:lvl w:ilvl="0" w:tplc="29AADC52">
      <w:start w:val="6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1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12"/>
  </w:num>
  <w:num w:numId="10">
    <w:abstractNumId w:val="5"/>
  </w:num>
  <w:num w:numId="11">
    <w:abstractNumId w:val="6"/>
  </w:num>
  <w:num w:numId="12">
    <w:abstractNumId w:val="13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forms" w:enforcement="1" w:cryptProviderType="rsaAES" w:cryptAlgorithmClass="hash" w:cryptAlgorithmType="typeAny" w:cryptAlgorithmSid="14" w:cryptSpinCount="100000" w:hash="xfv1JUzE2tbYPI636pq/QE4BLLRT+ISDf1Q9Q0mJ3bm95/TevIjTTTF5fYBEKfwYlNaWXSbpCLca/eng2PnThw==" w:salt="ntKC3qhMc1m+LNn56fYJO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98"/>
    <w:rsid w:val="00006BFF"/>
    <w:rsid w:val="00057A28"/>
    <w:rsid w:val="000B15FB"/>
    <w:rsid w:val="0012635F"/>
    <w:rsid w:val="001C0FF9"/>
    <w:rsid w:val="001F634A"/>
    <w:rsid w:val="0026362C"/>
    <w:rsid w:val="002A0A0C"/>
    <w:rsid w:val="002E4238"/>
    <w:rsid w:val="00390712"/>
    <w:rsid w:val="003C1FB6"/>
    <w:rsid w:val="0041595C"/>
    <w:rsid w:val="004B6F4B"/>
    <w:rsid w:val="00551912"/>
    <w:rsid w:val="005A0CAF"/>
    <w:rsid w:val="005D5082"/>
    <w:rsid w:val="00665D53"/>
    <w:rsid w:val="006B7294"/>
    <w:rsid w:val="006F13A6"/>
    <w:rsid w:val="006F16FE"/>
    <w:rsid w:val="00770863"/>
    <w:rsid w:val="007720E1"/>
    <w:rsid w:val="00782BE8"/>
    <w:rsid w:val="007A5A9B"/>
    <w:rsid w:val="00870111"/>
    <w:rsid w:val="00890A7B"/>
    <w:rsid w:val="008D234D"/>
    <w:rsid w:val="00944329"/>
    <w:rsid w:val="00947B98"/>
    <w:rsid w:val="00965E22"/>
    <w:rsid w:val="009A26E4"/>
    <w:rsid w:val="00A068D4"/>
    <w:rsid w:val="00A15742"/>
    <w:rsid w:val="00B04C46"/>
    <w:rsid w:val="00B33DF3"/>
    <w:rsid w:val="00B4021C"/>
    <w:rsid w:val="00B74C21"/>
    <w:rsid w:val="00B80398"/>
    <w:rsid w:val="00B84184"/>
    <w:rsid w:val="00B95C3E"/>
    <w:rsid w:val="00C03820"/>
    <w:rsid w:val="00CE3081"/>
    <w:rsid w:val="00CF0B5B"/>
    <w:rsid w:val="00CF3936"/>
    <w:rsid w:val="00DB5E7B"/>
    <w:rsid w:val="00E7470B"/>
    <w:rsid w:val="00EE6B57"/>
    <w:rsid w:val="00F17788"/>
    <w:rsid w:val="00F51EF2"/>
    <w:rsid w:val="00FA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6458"/>
  <w15:chartTrackingRefBased/>
  <w15:docId w15:val="{52B437CC-E185-4520-9B52-F0E8A86B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16FE"/>
    <w:pPr>
      <w:keepNext/>
      <w:numPr>
        <w:numId w:val="1"/>
      </w:numPr>
      <w:pBdr>
        <w:bottom w:val="single" w:sz="6" w:space="1" w:color="auto"/>
      </w:pBdr>
      <w:spacing w:before="48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32"/>
      <w:szCs w:val="32"/>
      <w:lang w:eastAsia="fr-FR"/>
    </w:rPr>
  </w:style>
  <w:style w:type="paragraph" w:styleId="Titre2">
    <w:name w:val="heading 2"/>
    <w:aliases w:val="Titre 2 a)"/>
    <w:basedOn w:val="Paragraphedeliste"/>
    <w:next w:val="Normal"/>
    <w:link w:val="Titre2Car"/>
    <w:qFormat/>
    <w:rsid w:val="006F16FE"/>
    <w:pPr>
      <w:numPr>
        <w:ilvl w:val="1"/>
        <w:numId w:val="1"/>
      </w:numPr>
      <w:spacing w:before="240" w:after="240" w:line="240" w:lineRule="auto"/>
      <w:contextualSpacing w:val="0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F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F1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6FE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6F16FE"/>
    <w:rPr>
      <w:rFonts w:ascii="Times New Roman" w:eastAsia="Times New Roman" w:hAnsi="Times New Roman" w:cs="Times New Roman"/>
      <w:b/>
      <w:caps/>
      <w:sz w:val="32"/>
      <w:szCs w:val="32"/>
      <w:lang w:eastAsia="fr-FR"/>
    </w:rPr>
  </w:style>
  <w:style w:type="character" w:customStyle="1" w:styleId="Titre2Car">
    <w:name w:val="Titre 2 Car"/>
    <w:aliases w:val="Titre 2 a) Car"/>
    <w:basedOn w:val="Policepardfaut"/>
    <w:link w:val="Titre2"/>
    <w:rsid w:val="006F16FE"/>
    <w:rPr>
      <w:rFonts w:ascii="Times New Roman" w:eastAsia="Times New Roman" w:hAnsi="Times New Roman" w:cs="Times New Roman"/>
      <w:b/>
      <w:sz w:val="28"/>
      <w:szCs w:val="24"/>
      <w:lang w:eastAsia="fr-FR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6F16FE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6F16FE"/>
  </w:style>
  <w:style w:type="paragraph" w:styleId="En-tte">
    <w:name w:val="header"/>
    <w:basedOn w:val="Normal"/>
    <w:link w:val="En-tteCar"/>
    <w:uiPriority w:val="99"/>
    <w:unhideWhenUsed/>
    <w:rsid w:val="0094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7B98"/>
  </w:style>
  <w:style w:type="paragraph" w:styleId="Pieddepage">
    <w:name w:val="footer"/>
    <w:basedOn w:val="Normal"/>
    <w:link w:val="PieddepageCar"/>
    <w:uiPriority w:val="99"/>
    <w:unhideWhenUsed/>
    <w:rsid w:val="0094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7B98"/>
  </w:style>
  <w:style w:type="character" w:styleId="Marquedecommentaire">
    <w:name w:val="annotation reference"/>
    <w:basedOn w:val="Policepardfaut"/>
    <w:semiHidden/>
    <w:unhideWhenUsed/>
    <w:rsid w:val="007720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720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720E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20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2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C709-8A57-4B46-B877-065A6C4B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David-Scannavino</dc:creator>
  <cp:keywords/>
  <dc:description/>
  <cp:lastModifiedBy>Camille Pottier</cp:lastModifiedBy>
  <cp:revision>34</cp:revision>
  <dcterms:created xsi:type="dcterms:W3CDTF">2024-12-13T13:12:00Z</dcterms:created>
  <dcterms:modified xsi:type="dcterms:W3CDTF">2025-03-07T16:23:00Z</dcterms:modified>
</cp:coreProperties>
</file>