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5C931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01D12544" wp14:editId="4F8F4FB5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A5B1D" w14:textId="68F3503B" w:rsidR="00347786" w:rsidRPr="00A42A76" w:rsidRDefault="00A42A76" w:rsidP="00347786">
      <w:pPr>
        <w:pBdr>
          <w:top w:val="single" w:sz="4" w:space="1" w:color="auto"/>
        </w:pBdr>
        <w:jc w:val="center"/>
        <w:rPr>
          <w:rFonts w:eastAsia="Batang"/>
          <w:b/>
          <w:smallCaps/>
          <w:color w:val="333399"/>
          <w:sz w:val="16"/>
        </w:rPr>
      </w:pPr>
      <w:r w:rsidRPr="00A42A76">
        <w:rPr>
          <w:rFonts w:eastAsia="Batang"/>
          <w:b/>
          <w:smallCaps/>
          <w:color w:val="333399"/>
          <w:sz w:val="16"/>
        </w:rPr>
        <w:t xml:space="preserve">DIRECTION DE LA GESTION PARLEMENTAIRE ET SOCIALE – DIVISION DE LA GESTION FINANCIERE PARLEMENTAIRE </w:t>
      </w:r>
    </w:p>
    <w:p w14:paraId="209C6DEE" w14:textId="53653F4D" w:rsidR="00975666" w:rsidRPr="003D1431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</w:p>
    <w:p w14:paraId="2C3207B9" w14:textId="77777777" w:rsidR="006D3D0F" w:rsidRPr="003D1431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0C6D4AAF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165F09E5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570B46D2" w14:textId="00DA4EF6" w:rsidR="001430F3" w:rsidRDefault="00A42A76" w:rsidP="001430F3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</w:pPr>
            <w:r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  <w:t>DISPOSITIF</w:t>
            </w:r>
            <w:r w:rsidR="001430F3" w:rsidRPr="005E5912"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  <w:t xml:space="preserve"> DE PRÉVENTION ET DE LUTTE CONTRE LE HARCÈLEMENT ET LES RISQUES PSYCHOSOCIAUX DANS LES RELATIONS DE TRAVAIL</w:t>
            </w:r>
          </w:p>
          <w:p w14:paraId="66A8BBB5" w14:textId="77777777" w:rsidR="001430F3" w:rsidRDefault="001430F3" w:rsidP="001430F3">
            <w:pPr>
              <w:pStyle w:val="Corpsdetexte3"/>
              <w:jc w:val="center"/>
              <w:rPr>
                <w:rFonts w:ascii="Times New Roman" w:hAnsi="Times New Roman"/>
                <w:color w:val="00B0F0"/>
                <w:sz w:val="32"/>
                <w:szCs w:val="32"/>
              </w:rPr>
            </w:pPr>
          </w:p>
          <w:p w14:paraId="7235EB4A" w14:textId="4DE4E1E3" w:rsidR="001430F3" w:rsidRPr="00A42A76" w:rsidRDefault="00A42A76" w:rsidP="001430F3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2"/>
                <w:szCs w:val="36"/>
                <w:lang w:val="en-GB"/>
              </w:rPr>
            </w:pPr>
            <w:r w:rsidRPr="00A42A76">
              <w:rPr>
                <w:rFonts w:ascii="Times New Roman" w:eastAsia="Batang" w:hAnsi="Times New Roman"/>
                <w:smallCaps/>
                <w:color w:val="333399"/>
                <w:sz w:val="32"/>
                <w:szCs w:val="36"/>
                <w:lang w:val="en-GB"/>
              </w:rPr>
              <w:t>ACCORD-CADRE N°</w:t>
            </w:r>
            <w:r w:rsidR="001430F3" w:rsidRPr="00A42A76">
              <w:rPr>
                <w:rFonts w:ascii="Times New Roman" w:eastAsia="Batang" w:hAnsi="Times New Roman"/>
                <w:smallCaps/>
                <w:color w:val="333399"/>
                <w:sz w:val="32"/>
                <w:szCs w:val="36"/>
                <w:lang w:val="en-GB"/>
              </w:rPr>
              <w:t xml:space="preserve"> </w:t>
            </w:r>
            <w:r w:rsidR="00066F1C" w:rsidRPr="00A42A76">
              <w:rPr>
                <w:rFonts w:ascii="Times New Roman" w:eastAsia="Batang" w:hAnsi="Times New Roman"/>
                <w:smallCaps/>
                <w:color w:val="333399"/>
                <w:sz w:val="32"/>
                <w:szCs w:val="36"/>
                <w:lang w:val="en-GB"/>
              </w:rPr>
              <w:t>24M032-02H</w:t>
            </w:r>
          </w:p>
          <w:p w14:paraId="19905C3D" w14:textId="77777777" w:rsidR="006C31F0" w:rsidRPr="005D0548" w:rsidRDefault="006C31F0" w:rsidP="00A722EF">
            <w:pPr>
              <w:pStyle w:val="Corpsdetexte3"/>
              <w:jc w:val="center"/>
              <w:rPr>
                <w:rFonts w:ascii="Times New Roman" w:hAnsi="Times New Roman"/>
                <w:color w:val="00B0F0"/>
                <w:sz w:val="32"/>
                <w:szCs w:val="32"/>
                <w:lang w:val="en-GB"/>
              </w:rPr>
            </w:pPr>
          </w:p>
          <w:p w14:paraId="522F486E" w14:textId="77777777" w:rsidR="001430F3" w:rsidRPr="005D0548" w:rsidRDefault="001430F3" w:rsidP="00A722EF">
            <w:pPr>
              <w:pStyle w:val="Corpsdetexte3"/>
              <w:jc w:val="center"/>
              <w:rPr>
                <w:rFonts w:ascii="Times New Roman" w:hAnsi="Times New Roman"/>
                <w:color w:val="00B0F0"/>
                <w:sz w:val="32"/>
                <w:szCs w:val="32"/>
                <w:lang w:val="en-GB"/>
              </w:rPr>
            </w:pPr>
          </w:p>
          <w:p w14:paraId="7AFA8D9B" w14:textId="77777777" w:rsidR="006C31F0" w:rsidRPr="005D0548" w:rsidRDefault="003C406C" w:rsidP="00A722EF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  <w:lang w:val="en-GB"/>
              </w:rPr>
            </w:pPr>
            <w:r w:rsidRPr="005D0548"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  <w:lang w:val="en-GB"/>
              </w:rPr>
              <w:t>Lot 2</w:t>
            </w:r>
          </w:p>
          <w:p w14:paraId="791777DB" w14:textId="77777777" w:rsidR="003C406C" w:rsidRPr="005D0548" w:rsidRDefault="003C406C" w:rsidP="00A722EF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  <w:lang w:val="en-GB"/>
              </w:rPr>
            </w:pPr>
          </w:p>
          <w:p w14:paraId="145DF2D7" w14:textId="4D7BF43E" w:rsidR="003C406C" w:rsidRPr="001430F3" w:rsidRDefault="005D0548" w:rsidP="00A722EF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</w:pPr>
            <w:r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  <w:t>FORMATION AU MANAGEMENT DES DÉPUTÉ</w:t>
            </w:r>
            <w:r w:rsidRPr="001430F3"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  <w:t>S ET COACHING INDIVIDUEL</w:t>
            </w:r>
          </w:p>
          <w:p w14:paraId="7339D355" w14:textId="77777777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57D6D724" w14:textId="77777777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6808696D" w14:textId="77777777"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25C16346" w14:textId="77777777" w:rsidR="00EE5D3B" w:rsidRPr="004C0093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00B0F0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1430F3">
        <w:rPr>
          <w:sz w:val="24"/>
          <w:szCs w:val="24"/>
        </w:rPr>
        <w:tab/>
      </w:r>
      <w:r w:rsidR="00066F1C">
        <w:rPr>
          <w:b/>
          <w:sz w:val="24"/>
          <w:szCs w:val="24"/>
        </w:rPr>
        <w:t>24M032-02H</w:t>
      </w:r>
    </w:p>
    <w:p w14:paraId="070A44C2" w14:textId="77777777" w:rsidR="006D3D0F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3C406C" w:rsidRPr="001430F3">
        <w:rPr>
          <w:sz w:val="24"/>
          <w:szCs w:val="24"/>
        </w:rPr>
        <w:t>Procédure adaptée passée en application des articles L. 2123-1 et R. 2123-1, 3° du code de la commande publique</w:t>
      </w:r>
      <w:r w:rsidR="003C406C" w:rsidRPr="004C0093">
        <w:rPr>
          <w:sz w:val="24"/>
          <w:szCs w:val="24"/>
        </w:rPr>
        <w:t>.</w:t>
      </w:r>
    </w:p>
    <w:p w14:paraId="2FFC6F2A" w14:textId="77777777" w:rsidR="006D3D0F" w:rsidRPr="004C0093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14:paraId="024169F1" w14:textId="77777777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2289E133" w14:textId="1D88E18F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 xml:space="preserve">Collège des </w:t>
      </w:r>
      <w:r w:rsidR="001430F3" w:rsidRPr="004C0093">
        <w:rPr>
          <w:b/>
          <w:sz w:val="24"/>
          <w:szCs w:val="24"/>
        </w:rPr>
        <w:t>Questeur</w:t>
      </w:r>
      <w:r w:rsidR="00FF62BC">
        <w:rPr>
          <w:b/>
          <w:sz w:val="24"/>
          <w:szCs w:val="24"/>
        </w:rPr>
        <w:t>e</w:t>
      </w:r>
      <w:r w:rsidR="001430F3">
        <w:rPr>
          <w:b/>
          <w:sz w:val="24"/>
          <w:szCs w:val="24"/>
        </w:rPr>
        <w:t>s</w:t>
      </w:r>
    </w:p>
    <w:p w14:paraId="1E91202C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408BFCC5" w14:textId="77777777" w:rsidR="00EE5D3B" w:rsidRPr="004C0093" w:rsidRDefault="00EE5D3B" w:rsidP="00DC2D6C">
      <w:pPr>
        <w:rPr>
          <w:sz w:val="24"/>
          <w:szCs w:val="24"/>
        </w:rPr>
      </w:pPr>
    </w:p>
    <w:p w14:paraId="556CE1AA" w14:textId="77777777" w:rsidR="00EE5D3B" w:rsidRPr="00777280" w:rsidRDefault="00EE5D3B" w:rsidP="00DC2D6C"/>
    <w:p w14:paraId="4D1A1744" w14:textId="77777777" w:rsidR="00EE5D3B" w:rsidRPr="00777280" w:rsidRDefault="00EE5D3B" w:rsidP="00DC2D6C"/>
    <w:p w14:paraId="7CFB63BE" w14:textId="77777777" w:rsidR="009E4B5A" w:rsidRPr="003D143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965741" w:rsidRPr="001430F3">
        <w:rPr>
          <w:b/>
          <w:color w:val="333399"/>
          <w:sz w:val="24"/>
          <w:szCs w:val="24"/>
        </w:rPr>
        <w:t>DE</w:t>
      </w:r>
      <w:r w:rsidR="00090DE3" w:rsidRPr="001430F3">
        <w:rPr>
          <w:b/>
          <w:color w:val="333399"/>
          <w:sz w:val="24"/>
          <w:szCs w:val="24"/>
        </w:rPr>
        <w:t xml:space="preserve"> L’ACCORD-CADRE</w:t>
      </w:r>
    </w:p>
    <w:p w14:paraId="532E5A45" w14:textId="77777777" w:rsidR="006D3D0F" w:rsidRPr="003D1431" w:rsidRDefault="006D3D0F" w:rsidP="00BC420A">
      <w:pPr>
        <w:spacing w:after="120"/>
        <w:ind w:firstLine="709"/>
        <w:jc w:val="both"/>
        <w:rPr>
          <w:sz w:val="24"/>
          <w:szCs w:val="24"/>
        </w:rPr>
      </w:pPr>
    </w:p>
    <w:p w14:paraId="3449F8C9" w14:textId="7F26F75D" w:rsidR="001430F3" w:rsidRPr="001430F3" w:rsidRDefault="001430F3" w:rsidP="00BC420A">
      <w:pPr>
        <w:spacing w:after="120"/>
        <w:ind w:firstLine="709"/>
        <w:jc w:val="both"/>
        <w:rPr>
          <w:sz w:val="24"/>
          <w:szCs w:val="24"/>
        </w:rPr>
      </w:pPr>
      <w:r w:rsidRPr="001430F3">
        <w:rPr>
          <w:sz w:val="24"/>
          <w:szCs w:val="24"/>
        </w:rPr>
        <w:t>Le présent accord-cadre a pour objet la mise en place de dispositifs de prévention et de lutte contre le harcèlement et les risques psychosociaux</w:t>
      </w:r>
      <w:r w:rsidR="005D0548">
        <w:rPr>
          <w:sz w:val="24"/>
          <w:szCs w:val="24"/>
        </w:rPr>
        <w:t xml:space="preserve"> ainsi que de formation au management</w:t>
      </w:r>
      <w:r w:rsidRPr="001430F3">
        <w:rPr>
          <w:sz w:val="24"/>
          <w:szCs w:val="24"/>
        </w:rPr>
        <w:t xml:space="preserve"> dans les relations de travail.</w:t>
      </w:r>
    </w:p>
    <w:p w14:paraId="14DA0A31" w14:textId="51B1F2F9" w:rsidR="001430F3" w:rsidRDefault="003C406C" w:rsidP="00BC420A">
      <w:pPr>
        <w:spacing w:after="120"/>
        <w:ind w:firstLine="709"/>
        <w:jc w:val="both"/>
        <w:rPr>
          <w:sz w:val="24"/>
          <w:szCs w:val="24"/>
        </w:rPr>
      </w:pPr>
      <w:r w:rsidRPr="001430F3">
        <w:rPr>
          <w:b/>
          <w:sz w:val="24"/>
          <w:szCs w:val="24"/>
        </w:rPr>
        <w:t>Cet acte d'engagement correspond au lot n°</w:t>
      </w:r>
      <w:r w:rsidR="005D0548">
        <w:rPr>
          <w:b/>
          <w:sz w:val="24"/>
          <w:szCs w:val="24"/>
        </w:rPr>
        <w:t> </w:t>
      </w:r>
      <w:r w:rsidRPr="001430F3">
        <w:rPr>
          <w:b/>
          <w:sz w:val="24"/>
          <w:szCs w:val="24"/>
        </w:rPr>
        <w:t>2 :</w:t>
      </w:r>
      <w:r>
        <w:rPr>
          <w:sz w:val="24"/>
          <w:szCs w:val="24"/>
        </w:rPr>
        <w:t xml:space="preserve"> </w:t>
      </w:r>
    </w:p>
    <w:p w14:paraId="3D276557" w14:textId="77777777" w:rsidR="003C406C" w:rsidRPr="003D1431" w:rsidRDefault="003C406C" w:rsidP="00BC420A">
      <w:pPr>
        <w:spacing w:after="120"/>
        <w:ind w:firstLine="709"/>
        <w:jc w:val="both"/>
        <w:rPr>
          <w:color w:val="00B0F0"/>
          <w:sz w:val="24"/>
          <w:szCs w:val="24"/>
        </w:rPr>
      </w:pPr>
      <w:r w:rsidRPr="003C406C">
        <w:rPr>
          <w:sz w:val="24"/>
          <w:szCs w:val="24"/>
        </w:rPr>
        <w:t>Formation au management des députés et coaching individuel</w:t>
      </w:r>
      <w:r>
        <w:rPr>
          <w:sz w:val="24"/>
          <w:szCs w:val="24"/>
        </w:rPr>
        <w:t>.</w:t>
      </w:r>
      <w:r w:rsidRPr="00B22573" w:rsidDel="00D777C5">
        <w:rPr>
          <w:sz w:val="24"/>
          <w:szCs w:val="24"/>
        </w:rPr>
        <w:t xml:space="preserve"> </w:t>
      </w:r>
    </w:p>
    <w:p w14:paraId="3EB9B678" w14:textId="77777777" w:rsidR="003C406C" w:rsidRDefault="003C406C" w:rsidP="00BC420A">
      <w:pPr>
        <w:spacing w:after="120"/>
        <w:ind w:firstLine="709"/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>
        <w:rPr>
          <w:sz w:val="24"/>
          <w:szCs w:val="24"/>
        </w:rPr>
        <w:t>CCTP</w:t>
      </w:r>
      <w:r w:rsidRPr="00AB1FAD">
        <w:rPr>
          <w:sz w:val="24"/>
          <w:szCs w:val="24"/>
        </w:rPr>
        <w:t xml:space="preserve"> </w:t>
      </w:r>
      <w:r w:rsidR="001430F3">
        <w:rPr>
          <w:sz w:val="24"/>
          <w:szCs w:val="24"/>
        </w:rPr>
        <w:t xml:space="preserve">du lot correspondant </w:t>
      </w:r>
      <w:r w:rsidRPr="00AB1FAD">
        <w:rPr>
          <w:sz w:val="24"/>
          <w:szCs w:val="24"/>
        </w:rPr>
        <w:t>(cahier des clauses techniques particulières</w:t>
      </w:r>
      <w:r>
        <w:rPr>
          <w:sz w:val="24"/>
          <w:szCs w:val="24"/>
        </w:rPr>
        <w:t>).</w:t>
      </w:r>
    </w:p>
    <w:p w14:paraId="7599DE00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AE69FFC" w14:textId="77777777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6C94554B" w14:textId="77777777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11991AC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39A519F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DE0D745" w14:textId="2F72593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05AF25B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2B45D6E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315279C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44172FB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488E90E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205A508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43CF232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C8380A7" w14:textId="2183E21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BEB7470" w14:textId="32D4BD6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2DECA92" w14:textId="35D863E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80E33BB" w14:textId="0B8DCF65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03E36D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891B4C">
        <w:rPr>
          <w:sz w:val="24"/>
          <w:szCs w:val="24"/>
        </w:rPr>
      </w:r>
      <w:r w:rsidR="00891B4C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6FE7F3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891B4C">
        <w:rPr>
          <w:sz w:val="24"/>
          <w:szCs w:val="24"/>
        </w:rPr>
      </w:r>
      <w:r w:rsidR="00891B4C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C6221D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BB900EF" w14:textId="4938BE2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1365A3C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3D48995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252F0069" w14:textId="77777777" w:rsidR="001C1254" w:rsidRDefault="001C1254" w:rsidP="00BC420A">
      <w:pPr>
        <w:spacing w:after="120"/>
        <w:ind w:firstLine="709"/>
        <w:rPr>
          <w:sz w:val="24"/>
          <w:szCs w:val="24"/>
        </w:rPr>
      </w:pPr>
    </w:p>
    <w:p w14:paraId="172F8E45" w14:textId="77777777" w:rsidR="003C406C" w:rsidRPr="00B74471" w:rsidRDefault="003C406C" w:rsidP="00BC420A">
      <w:pPr>
        <w:tabs>
          <w:tab w:val="left" w:pos="567"/>
          <w:tab w:val="left" w:pos="993"/>
          <w:tab w:val="left" w:pos="4070"/>
        </w:tabs>
        <w:spacing w:after="12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74471">
        <w:rPr>
          <w:sz w:val="24"/>
          <w:szCs w:val="24"/>
        </w:rPr>
        <w:t xml:space="preserve">accord-cadre </w:t>
      </w:r>
      <w:r w:rsidR="00066F1C">
        <w:rPr>
          <w:sz w:val="24"/>
          <w:szCs w:val="24"/>
        </w:rPr>
        <w:t>24M032-02H</w:t>
      </w:r>
      <w:r w:rsidRPr="00B74471">
        <w:rPr>
          <w:sz w:val="24"/>
          <w:szCs w:val="24"/>
        </w:rPr>
        <w:t>, je m'</w:t>
      </w:r>
      <w:r w:rsidRPr="00B74471">
        <w:rPr>
          <w:b/>
          <w:sz w:val="24"/>
          <w:szCs w:val="24"/>
        </w:rPr>
        <w:t>ENGAGE</w:t>
      </w:r>
      <w:r w:rsidRPr="00B7447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671A38B" w14:textId="77777777" w:rsidR="003C406C" w:rsidRDefault="003C406C" w:rsidP="00BC420A">
      <w:pPr>
        <w:tabs>
          <w:tab w:val="left" w:pos="567"/>
          <w:tab w:val="left" w:pos="993"/>
          <w:tab w:val="left" w:pos="4070"/>
        </w:tabs>
        <w:spacing w:after="120"/>
        <w:ind w:firstLine="709"/>
        <w:jc w:val="both"/>
        <w:rPr>
          <w:sz w:val="24"/>
          <w:szCs w:val="24"/>
        </w:rPr>
      </w:pPr>
      <w:r w:rsidRPr="00B74471">
        <w:rPr>
          <w:sz w:val="24"/>
          <w:szCs w:val="24"/>
        </w:rPr>
        <w:t xml:space="preserve">L'offre ainsi présentée ne me lie toutefois que si l’accord-cadre m’est attribué dans un délai de </w:t>
      </w:r>
      <w:r w:rsidRPr="00B74471">
        <w:rPr>
          <w:b/>
          <w:sz w:val="24"/>
          <w:szCs w:val="24"/>
        </w:rPr>
        <w:t>5 mois</w:t>
      </w:r>
      <w:r w:rsidRPr="00B74471">
        <w:rPr>
          <w:sz w:val="24"/>
          <w:szCs w:val="24"/>
        </w:rPr>
        <w:t xml:space="preserve"> à compter de la date limite de remise des offres fixée par le règlement </w:t>
      </w:r>
      <w:r w:rsidRPr="003D1431">
        <w:rPr>
          <w:sz w:val="24"/>
          <w:szCs w:val="24"/>
        </w:rPr>
        <w:t>de la consultation.</w:t>
      </w:r>
    </w:p>
    <w:p w14:paraId="209BC0FF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247C4A4" w14:textId="7AC9EA61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BC420A">
        <w:rPr>
          <w:sz w:val="24"/>
          <w:szCs w:val="24"/>
        </w:rPr>
        <w:t> :</w:t>
      </w:r>
    </w:p>
    <w:p w14:paraId="664F7E6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12B1F3F1" w14:textId="56290F2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FE81DF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16D1AC00" w14:textId="7C29DA9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BC420A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04C042B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5ECCEBC1" w14:textId="774E1950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67D338F" w14:textId="2D59C00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3C2FFD1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180D5D3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53BD8BC6" w14:textId="4668CF4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29A81CBF" w14:textId="1ABE0E6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numéro d'identité d'établissement (SIRET x 14 chiffres)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3163A1DB" w14:textId="00D90A6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56451990" w14:textId="2280154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33F27C5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891B4C">
        <w:rPr>
          <w:sz w:val="24"/>
          <w:szCs w:val="24"/>
        </w:rPr>
      </w:r>
      <w:r w:rsidR="00891B4C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898AC9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891B4C">
        <w:rPr>
          <w:sz w:val="24"/>
          <w:szCs w:val="24"/>
        </w:rPr>
      </w:r>
      <w:r w:rsidR="00891B4C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1422AD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1164C110" w14:textId="373BD6F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BC420A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614F43B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38E50F6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68CD96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247D2F58" w14:textId="0F9079B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18DFE2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6F5C57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449FD13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422940A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3A2508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44F87A00" w14:textId="081C68F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BC420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0B6D30D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76F8401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FFBF2C7" w14:textId="77777777" w:rsidR="00BC420A" w:rsidRDefault="00BC420A" w:rsidP="00BC420A">
      <w:pPr>
        <w:tabs>
          <w:tab w:val="left" w:pos="567"/>
          <w:tab w:val="left" w:pos="993"/>
          <w:tab w:val="left" w:pos="4070"/>
        </w:tabs>
        <w:spacing w:after="120"/>
        <w:ind w:firstLine="709"/>
        <w:jc w:val="both"/>
        <w:rPr>
          <w:sz w:val="24"/>
          <w:szCs w:val="24"/>
        </w:rPr>
      </w:pPr>
    </w:p>
    <w:p w14:paraId="2CC06A5C" w14:textId="1D8EF28E" w:rsidR="003C406C" w:rsidRPr="00B74471" w:rsidRDefault="003C406C" w:rsidP="00BC420A">
      <w:pPr>
        <w:tabs>
          <w:tab w:val="left" w:pos="567"/>
          <w:tab w:val="left" w:pos="993"/>
          <w:tab w:val="left" w:pos="4070"/>
        </w:tabs>
        <w:spacing w:after="12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B74471">
        <w:rPr>
          <w:sz w:val="24"/>
          <w:szCs w:val="24"/>
        </w:rPr>
        <w:t xml:space="preserve">administratives particulières) et le CCTP (cahier des clauses techniques particulières) du présent accord-cadre </w:t>
      </w:r>
      <w:r w:rsidR="00066F1C">
        <w:rPr>
          <w:sz w:val="24"/>
          <w:szCs w:val="24"/>
        </w:rPr>
        <w:t>24M032-02H</w:t>
      </w:r>
      <w:r w:rsidRPr="00B74471">
        <w:rPr>
          <w:sz w:val="24"/>
          <w:szCs w:val="24"/>
        </w:rPr>
        <w:t>, je m'</w:t>
      </w:r>
      <w:r w:rsidRPr="00B74471">
        <w:rPr>
          <w:b/>
          <w:sz w:val="24"/>
          <w:szCs w:val="24"/>
        </w:rPr>
        <w:t>ENGAGE</w:t>
      </w:r>
      <w:r w:rsidRPr="00B7447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6CBD0C62" w14:textId="77777777" w:rsidR="003C406C" w:rsidRPr="003D1431" w:rsidRDefault="003C406C" w:rsidP="00BC420A">
      <w:pPr>
        <w:tabs>
          <w:tab w:val="left" w:pos="567"/>
          <w:tab w:val="left" w:pos="993"/>
          <w:tab w:val="left" w:pos="4070"/>
        </w:tabs>
        <w:spacing w:after="120"/>
        <w:ind w:firstLine="709"/>
        <w:jc w:val="both"/>
        <w:rPr>
          <w:sz w:val="24"/>
          <w:szCs w:val="24"/>
        </w:rPr>
      </w:pPr>
      <w:r w:rsidRPr="00B74471">
        <w:rPr>
          <w:sz w:val="24"/>
          <w:szCs w:val="24"/>
        </w:rPr>
        <w:t xml:space="preserve">L'offre ainsi présentée ne me lie toutefois que si l’accord-cadre m’est attribué dans un délai de </w:t>
      </w:r>
      <w:r w:rsidRPr="00B74471">
        <w:rPr>
          <w:b/>
          <w:sz w:val="24"/>
          <w:szCs w:val="24"/>
        </w:rPr>
        <w:t>5 mois</w:t>
      </w:r>
      <w:r w:rsidRPr="00B74471">
        <w:rPr>
          <w:sz w:val="24"/>
          <w:szCs w:val="24"/>
        </w:rPr>
        <w:t xml:space="preserve"> à compter de la date limite de remise des offres fixée par le règlement </w:t>
      </w:r>
      <w:r w:rsidRPr="003D1431">
        <w:rPr>
          <w:sz w:val="24"/>
          <w:szCs w:val="24"/>
        </w:rPr>
        <w:t>de la consultation.</w:t>
      </w:r>
    </w:p>
    <w:p w14:paraId="2B90F7F3" w14:textId="77777777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</w:p>
    <w:p w14:paraId="7384F1ED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E420A55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569334D2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685E433D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03466B08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3F84CCA6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64ABE5BB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3199173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14:paraId="591C827A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35C678EF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14:paraId="1A1A30E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9D3041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14:paraId="2F505E44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393D18DE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14:paraId="77EFBF0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43809390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14:paraId="36A9C651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2A29E473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14:paraId="242DCD2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C23D53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14:paraId="55B7717A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9892EA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14:paraId="1ECEEA79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0305F3E9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14:paraId="166ADDDB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1CCDD47C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891B4C">
        <w:rPr>
          <w:sz w:val="24"/>
          <w:szCs w:val="24"/>
        </w:rPr>
      </w:r>
      <w:r w:rsidR="00891B4C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891B4C">
        <w:rPr>
          <w:sz w:val="24"/>
          <w:szCs w:val="24"/>
        </w:rPr>
      </w:r>
      <w:r w:rsidR="00891B4C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1F5D4CD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595901D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46A837A6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3E6BAB07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438D0F93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159B40B0" w14:textId="7B590915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BC420A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000D61F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1C738218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79F9F225" w14:textId="77777777" w:rsidR="00BC420A" w:rsidRDefault="00BC420A" w:rsidP="00BC420A">
      <w:pPr>
        <w:spacing w:after="120"/>
        <w:ind w:firstLine="709"/>
        <w:jc w:val="both"/>
        <w:rPr>
          <w:sz w:val="24"/>
          <w:szCs w:val="24"/>
        </w:rPr>
      </w:pPr>
    </w:p>
    <w:p w14:paraId="16528BE5" w14:textId="6AE8A474" w:rsidR="006A5C00" w:rsidRPr="00F24082" w:rsidRDefault="006A5C00" w:rsidP="00BC420A">
      <w:pPr>
        <w:spacing w:after="120"/>
        <w:ind w:firstLine="709"/>
        <w:jc w:val="both"/>
        <w:rPr>
          <w:sz w:val="24"/>
          <w:szCs w:val="24"/>
        </w:rPr>
      </w:pPr>
      <w:r w:rsidRPr="00F24082">
        <w:rPr>
          <w:sz w:val="24"/>
          <w:szCs w:val="24"/>
        </w:rPr>
        <w:t>Les membres du groupement ont donné mandat au mandataire</w:t>
      </w:r>
      <w:r w:rsidR="00544D70" w:rsidRPr="00F24082">
        <w:rPr>
          <w:sz w:val="24"/>
          <w:szCs w:val="24"/>
        </w:rPr>
        <w:t xml:space="preserve"> afin de :</w:t>
      </w:r>
    </w:p>
    <w:p w14:paraId="77CD81A4" w14:textId="77777777" w:rsidR="006A5C00" w:rsidRPr="00F24082" w:rsidRDefault="0098543C" w:rsidP="00BC420A">
      <w:pPr>
        <w:spacing w:after="120"/>
        <w:ind w:left="704" w:firstLine="709"/>
        <w:jc w:val="both"/>
        <w:rPr>
          <w:sz w:val="24"/>
          <w:szCs w:val="24"/>
        </w:rPr>
      </w:pPr>
      <w:r w:rsidRPr="00F24082">
        <w:rPr>
          <w:sz w:val="24"/>
          <w:szCs w:val="24"/>
        </w:rPr>
        <w:t xml:space="preserve">- </w:t>
      </w:r>
      <w:r w:rsidR="006A5C00" w:rsidRPr="00F24082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21F36C49" w14:textId="77777777" w:rsidR="006A5C00" w:rsidRPr="00F24082" w:rsidRDefault="0098543C" w:rsidP="00BC420A">
      <w:pPr>
        <w:spacing w:after="120"/>
        <w:ind w:left="1418" w:firstLine="709"/>
        <w:jc w:val="both"/>
        <w:rPr>
          <w:sz w:val="24"/>
          <w:szCs w:val="24"/>
        </w:rPr>
      </w:pPr>
      <w:r w:rsidRPr="00F24082">
        <w:rPr>
          <w:sz w:val="24"/>
          <w:szCs w:val="24"/>
        </w:rPr>
        <w:t xml:space="preserve">- </w:t>
      </w:r>
      <w:r w:rsidR="006A5C00" w:rsidRPr="00F24082">
        <w:rPr>
          <w:sz w:val="24"/>
          <w:szCs w:val="24"/>
        </w:rPr>
        <w:t>signer, en leur nom et pour leur compte, les modifications ultérieures</w:t>
      </w:r>
      <w:r w:rsidR="00ED5FA5" w:rsidRPr="00F24082">
        <w:rPr>
          <w:sz w:val="24"/>
          <w:szCs w:val="24"/>
        </w:rPr>
        <w:t>.</w:t>
      </w:r>
    </w:p>
    <w:p w14:paraId="128E022A" w14:textId="77777777" w:rsidR="006A5C00" w:rsidRPr="00F24082" w:rsidRDefault="00D068A4" w:rsidP="00BC420A">
      <w:pPr>
        <w:spacing w:after="120"/>
        <w:ind w:firstLine="709"/>
        <w:jc w:val="both"/>
        <w:rPr>
          <w:i/>
          <w:sz w:val="24"/>
          <w:szCs w:val="24"/>
        </w:rPr>
      </w:pPr>
      <w:r w:rsidRPr="00F24082">
        <w:rPr>
          <w:i/>
          <w:sz w:val="24"/>
          <w:szCs w:val="24"/>
        </w:rPr>
        <w:t>Joindre impérativement le</w:t>
      </w:r>
      <w:r w:rsidR="00544D70" w:rsidRPr="00F24082">
        <w:rPr>
          <w:i/>
          <w:sz w:val="24"/>
          <w:szCs w:val="24"/>
        </w:rPr>
        <w:t xml:space="preserve"> mandat </w:t>
      </w:r>
      <w:r w:rsidRPr="00F24082">
        <w:rPr>
          <w:i/>
          <w:sz w:val="24"/>
          <w:szCs w:val="24"/>
        </w:rPr>
        <w:t>en annexe du présent document.</w:t>
      </w:r>
      <w:r w:rsidR="00544D70" w:rsidRPr="00F24082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14:paraId="6CF5D055" w14:textId="1407437F"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14:paraId="75B5098B" w14:textId="77777777" w:rsidR="00BC420A" w:rsidRDefault="00BC420A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14:paraId="2D464D3C" w14:textId="77777777" w:rsidR="003C406C" w:rsidRPr="00B74471" w:rsidRDefault="003C406C" w:rsidP="00BC420A">
      <w:pPr>
        <w:spacing w:after="120"/>
        <w:ind w:firstLine="709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Après </w:t>
      </w:r>
      <w:r w:rsidRPr="00B74471">
        <w:rPr>
          <w:sz w:val="24"/>
          <w:szCs w:val="24"/>
        </w:rPr>
        <w:t xml:space="preserve">avoir pris connaissance des documents contractuels dont le CCAP (cahier des clauses administratives particulières) et le CCTP (cahier des clauses techniques particulières) du présent accord-cadre </w:t>
      </w:r>
      <w:r w:rsidR="00066F1C">
        <w:rPr>
          <w:sz w:val="24"/>
          <w:szCs w:val="24"/>
        </w:rPr>
        <w:t>24M032-02H</w:t>
      </w:r>
      <w:r w:rsidRPr="00B74471">
        <w:rPr>
          <w:sz w:val="24"/>
          <w:szCs w:val="24"/>
        </w:rPr>
        <w:t xml:space="preserve">, nous nous </w:t>
      </w:r>
      <w:r w:rsidRPr="00B74471">
        <w:rPr>
          <w:b/>
          <w:sz w:val="24"/>
          <w:szCs w:val="24"/>
        </w:rPr>
        <w:t>ENGAGEONS</w:t>
      </w:r>
      <w:r w:rsidRPr="00B7447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les documents contractuels. </w:t>
      </w:r>
    </w:p>
    <w:p w14:paraId="7D0DB01D" w14:textId="6ABEEDE6" w:rsidR="003C406C" w:rsidRPr="003D1431" w:rsidRDefault="003C406C" w:rsidP="00BC420A">
      <w:pPr>
        <w:spacing w:after="120"/>
        <w:ind w:firstLine="709"/>
        <w:jc w:val="both"/>
        <w:rPr>
          <w:sz w:val="24"/>
          <w:szCs w:val="24"/>
        </w:rPr>
      </w:pPr>
      <w:r w:rsidRPr="00B74471">
        <w:rPr>
          <w:sz w:val="24"/>
          <w:szCs w:val="24"/>
        </w:rPr>
        <w:t xml:space="preserve">L'offre ainsi présentée ne nous lie toutefois que si l’accord-cadre est attribué au groupement dans un délai de </w:t>
      </w:r>
      <w:r w:rsidRPr="00B74471">
        <w:rPr>
          <w:b/>
          <w:sz w:val="24"/>
          <w:szCs w:val="24"/>
        </w:rPr>
        <w:t>5 </w:t>
      </w:r>
      <w:r w:rsidR="00BC420A">
        <w:rPr>
          <w:b/>
          <w:sz w:val="24"/>
          <w:szCs w:val="24"/>
        </w:rPr>
        <w:t xml:space="preserve">mois </w:t>
      </w:r>
      <w:r w:rsidRPr="00B74471">
        <w:rPr>
          <w:sz w:val="24"/>
          <w:szCs w:val="24"/>
        </w:rPr>
        <w:t xml:space="preserve">à compter de la date limite de remise des offres fixée par le règlement </w:t>
      </w:r>
      <w:r w:rsidRPr="003D1431">
        <w:rPr>
          <w:sz w:val="24"/>
          <w:szCs w:val="24"/>
        </w:rPr>
        <w:t>de la consultation.</w:t>
      </w:r>
    </w:p>
    <w:p w14:paraId="112A4704" w14:textId="77777777" w:rsidR="00653E2E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1DF32F4F" w14:textId="2DBE4B67" w:rsidR="003C406C" w:rsidRPr="00B74471" w:rsidRDefault="003C406C" w:rsidP="00BC420A">
      <w:pPr>
        <w:pStyle w:val="Texte"/>
        <w:spacing w:before="0" w:line="259" w:lineRule="auto"/>
        <w:ind w:firstLine="709"/>
        <w:rPr>
          <w:rFonts w:eastAsia="SimSun"/>
        </w:rPr>
      </w:pPr>
      <w:r w:rsidRPr="00010714">
        <w:rPr>
          <w:rFonts w:eastAsia="SimSun"/>
        </w:rPr>
        <w:t>Le lot 2 est conclu sans montant minimum et avec un montant maximum de 280</w:t>
      </w:r>
      <w:r w:rsidR="00BC420A">
        <w:rPr>
          <w:rFonts w:eastAsia="SimSun"/>
        </w:rPr>
        <w:t> 000 </w:t>
      </w:r>
      <w:r w:rsidRPr="00010714">
        <w:rPr>
          <w:rFonts w:eastAsia="SimSun"/>
        </w:rPr>
        <w:t xml:space="preserve">€ TTC sur sa durée totale. </w:t>
      </w:r>
    </w:p>
    <w:p w14:paraId="156AAEC9" w14:textId="40ED3727" w:rsidR="003C406C" w:rsidRDefault="003C406C" w:rsidP="00BC420A">
      <w:pPr>
        <w:pStyle w:val="Texte"/>
        <w:spacing w:before="0"/>
        <w:ind w:firstLine="709"/>
      </w:pPr>
      <w:r w:rsidRPr="00B74471">
        <w:t>Le lot 2 est conclu sous la forme d’un accord-cadre mono attributaire à bons de commande, conformémen</w:t>
      </w:r>
      <w:r w:rsidR="00A033C3">
        <w:t>t aux dispositions des articles</w:t>
      </w:r>
      <w:r w:rsidR="00E62971">
        <w:t xml:space="preserve"> R. 2162-1 à R. 2162-6 et </w:t>
      </w:r>
      <w:r w:rsidR="00E62971" w:rsidRPr="00E62971">
        <w:t xml:space="preserve">R. 2162-13 et R. 2162-14 </w:t>
      </w:r>
      <w:r w:rsidRPr="00B74471">
        <w:t xml:space="preserve">du code de la commande publique. </w:t>
      </w:r>
    </w:p>
    <w:p w14:paraId="6769AC68" w14:textId="503EDE64" w:rsidR="00283035" w:rsidRDefault="00283035" w:rsidP="00BC420A">
      <w:pPr>
        <w:pStyle w:val="Texte"/>
        <w:spacing w:before="0"/>
        <w:ind w:firstLine="709"/>
      </w:pPr>
      <w:r>
        <w:t>Le bordereau de prix unitaires figure en annexe (cf. Annexe 3).</w:t>
      </w:r>
    </w:p>
    <w:p w14:paraId="38C01AA1" w14:textId="0FDC72B7" w:rsidR="00B74471" w:rsidRPr="00B74471" w:rsidRDefault="00B74471" w:rsidP="00BC420A">
      <w:pPr>
        <w:pStyle w:val="Texte"/>
        <w:spacing w:before="0"/>
        <w:ind w:firstLine="709"/>
      </w:pPr>
      <w:r>
        <w:t>Le lot 2 prévoit un</w:t>
      </w:r>
      <w:r w:rsidR="00283035">
        <w:t>e</w:t>
      </w:r>
      <w:r>
        <w:t xml:space="preserve"> prestation supplémentair</w:t>
      </w:r>
      <w:r w:rsidR="00283035">
        <w:t>e éventuelle (PSE) facultative (cf. Annexe 3).</w:t>
      </w:r>
    </w:p>
    <w:p w14:paraId="3CCA6283" w14:textId="77777777" w:rsidR="00653E2E" w:rsidRPr="00B74471" w:rsidRDefault="00653E2E" w:rsidP="00BC420A">
      <w:pPr>
        <w:pStyle w:val="tabulation"/>
        <w:widowControl w:val="0"/>
        <w:tabs>
          <w:tab w:val="clear" w:pos="4678"/>
          <w:tab w:val="left" w:leader="dot" w:pos="8364"/>
        </w:tabs>
        <w:spacing w:before="0" w:after="120"/>
        <w:ind w:left="0" w:firstLine="709"/>
        <w:rPr>
          <w:rFonts w:ascii="Times New Roman" w:hAnsi="Times New Roman"/>
          <w:szCs w:val="24"/>
        </w:rPr>
      </w:pPr>
      <w:r w:rsidRPr="00B74471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B74471">
        <w:rPr>
          <w:rFonts w:ascii="Times New Roman" w:hAnsi="Times New Roman"/>
          <w:szCs w:val="24"/>
        </w:rPr>
        <w:t xml:space="preserve">« Prix » du </w:t>
      </w:r>
      <w:r w:rsidRPr="00B74471">
        <w:rPr>
          <w:rFonts w:ascii="Times New Roman" w:hAnsi="Times New Roman"/>
          <w:szCs w:val="24"/>
        </w:rPr>
        <w:t>CCAP.</w:t>
      </w:r>
    </w:p>
    <w:p w14:paraId="3B321521" w14:textId="77777777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0B616F27" w14:textId="4E9A3318" w:rsidR="003C406C" w:rsidRPr="00E62971" w:rsidRDefault="003C406C" w:rsidP="00BC420A">
      <w:pPr>
        <w:spacing w:after="120" w:line="259" w:lineRule="auto"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E62971">
        <w:rPr>
          <w:rFonts w:eastAsiaTheme="minorHAnsi"/>
          <w:sz w:val="24"/>
          <w:szCs w:val="22"/>
          <w:lang w:eastAsia="en-US"/>
        </w:rPr>
        <w:t>La duré</w:t>
      </w:r>
      <w:r w:rsidR="00283035">
        <w:rPr>
          <w:rFonts w:eastAsiaTheme="minorHAnsi"/>
          <w:sz w:val="24"/>
          <w:szCs w:val="22"/>
          <w:lang w:eastAsia="en-US"/>
        </w:rPr>
        <w:t xml:space="preserve">e de validité du lot 2 </w:t>
      </w:r>
      <w:r w:rsidRPr="00E62971">
        <w:rPr>
          <w:rFonts w:eastAsiaTheme="minorHAnsi"/>
          <w:sz w:val="24"/>
          <w:szCs w:val="22"/>
          <w:lang w:eastAsia="en-US"/>
        </w:rPr>
        <w:t>est la durée pendant laquelle les bons de commande peuvent être émis.</w:t>
      </w:r>
    </w:p>
    <w:p w14:paraId="33F1EEAE" w14:textId="2B2BC1F3" w:rsidR="003C406C" w:rsidRPr="00E62971" w:rsidRDefault="003C406C" w:rsidP="00BC420A">
      <w:pPr>
        <w:spacing w:after="120" w:line="259" w:lineRule="auto"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E62971">
        <w:rPr>
          <w:rFonts w:eastAsiaTheme="minorHAnsi"/>
          <w:sz w:val="24"/>
          <w:szCs w:val="22"/>
          <w:lang w:eastAsia="en-US"/>
        </w:rPr>
        <w:t>Cette durée est de 1 an à compter de la date de not</w:t>
      </w:r>
      <w:r w:rsidR="00283035">
        <w:rPr>
          <w:rFonts w:eastAsiaTheme="minorHAnsi"/>
          <w:sz w:val="24"/>
          <w:szCs w:val="22"/>
          <w:lang w:eastAsia="en-US"/>
        </w:rPr>
        <w:t>ification du lot 2</w:t>
      </w:r>
      <w:r w:rsidRPr="00E62971">
        <w:rPr>
          <w:rFonts w:eastAsiaTheme="minorHAnsi"/>
          <w:sz w:val="24"/>
          <w:szCs w:val="22"/>
          <w:lang w:eastAsia="en-US"/>
        </w:rPr>
        <w:t>.</w:t>
      </w:r>
    </w:p>
    <w:p w14:paraId="635E55F0" w14:textId="3D37602D" w:rsidR="003C406C" w:rsidRDefault="003C406C" w:rsidP="00BC420A">
      <w:pPr>
        <w:spacing w:after="120" w:line="259" w:lineRule="auto"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E62971">
        <w:rPr>
          <w:rFonts w:eastAsiaTheme="minorHAnsi"/>
          <w:sz w:val="24"/>
          <w:szCs w:val="22"/>
          <w:lang w:eastAsia="en-US"/>
        </w:rPr>
        <w:t>Il pourra être reconduit de façon expresse 3 fois par périodes consécutives de 1 an.</w:t>
      </w:r>
    </w:p>
    <w:p w14:paraId="0559CA92" w14:textId="77777777" w:rsidR="00DB4802" w:rsidRDefault="00DB4802" w:rsidP="00BC420A">
      <w:pPr>
        <w:spacing w:after="120"/>
        <w:ind w:firstLine="709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>Il ne peut dépasser 4 ans.</w:t>
      </w:r>
    </w:p>
    <w:p w14:paraId="3513B207" w14:textId="77777777" w:rsidR="003C406C" w:rsidRPr="00E62971" w:rsidRDefault="003C406C" w:rsidP="00BC420A">
      <w:pPr>
        <w:spacing w:after="120" w:line="259" w:lineRule="auto"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E62971">
        <w:rPr>
          <w:rFonts w:eastAsiaTheme="minorHAnsi"/>
          <w:sz w:val="24"/>
          <w:szCs w:val="22"/>
          <w:lang w:eastAsia="en-US"/>
        </w:rPr>
        <w:t>La décision de reconduction est notifiée au titulaire au moins 3 mois avant son expiration par lettre recommandée avec accusé de réception. Le titulaire ne peut pas refuser la reconduction.</w:t>
      </w:r>
    </w:p>
    <w:p w14:paraId="4FA18837" w14:textId="77777777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02F37F60" w14:textId="77777777"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26A2DBC" w14:textId="77777777" w:rsidR="002676B0" w:rsidRPr="00DC2D6C" w:rsidRDefault="002676B0" w:rsidP="00BC420A">
      <w:pPr>
        <w:autoSpaceDE w:val="0"/>
        <w:autoSpaceDN w:val="0"/>
        <w:adjustRightInd w:val="0"/>
        <w:spacing w:after="120"/>
        <w:ind w:firstLine="709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4E69776A" w14:textId="1FA54FAF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BC420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F17007D" w14:textId="140909B3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BC420A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707A9339" w14:textId="765EAB8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BC420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296EED6A" w14:textId="5C44F606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BC420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F96D127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77E2903E" w14:textId="62717368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BC420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05D92863" w14:textId="77777777" w:rsidR="005251D5" w:rsidRPr="00DC2D6C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76EF079F" w14:textId="77777777"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0779F3D9" w14:textId="77777777" w:rsidR="00BC420A" w:rsidRDefault="00BC420A" w:rsidP="00BC420A">
      <w:pPr>
        <w:tabs>
          <w:tab w:val="left" w:pos="2552"/>
        </w:tabs>
        <w:ind w:firstLine="709"/>
        <w:jc w:val="both"/>
        <w:rPr>
          <w:b/>
          <w:sz w:val="24"/>
          <w:szCs w:val="24"/>
        </w:rPr>
      </w:pPr>
    </w:p>
    <w:p w14:paraId="4B045EAA" w14:textId="79107589" w:rsidR="005E6120" w:rsidRPr="003322F8" w:rsidRDefault="005E6120" w:rsidP="00BC420A">
      <w:pPr>
        <w:tabs>
          <w:tab w:val="left" w:pos="2552"/>
        </w:tabs>
        <w:ind w:firstLine="709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01B07C00" w14:textId="77777777" w:rsidR="00C97AFC" w:rsidRDefault="00C97AFC" w:rsidP="00BC420A">
      <w:pPr>
        <w:tabs>
          <w:tab w:val="right" w:leader="dot" w:pos="9498"/>
        </w:tabs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</w:p>
    <w:p w14:paraId="6A91B01D" w14:textId="77777777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721E3781" w14:textId="07072246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C444115" w14:textId="0A8F5689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318187CA" w14:textId="2AD6A45D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1431CF5" w14:textId="6125CDC1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6BAD54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89491FC" w14:textId="52C7989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6B122D4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2491CDEC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0895A556" w14:textId="7F17C830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FF49C78" w14:textId="7E57D9E0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623ABB2" w14:textId="5BF2945E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17E8821" w14:textId="2A82C7D0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E394A3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6E1972C" w14:textId="68044183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7712F60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7C335F25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59D61683" w14:textId="1A235BBC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52A740A" w14:textId="101D2773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48B24BF2" w14:textId="2B7E088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B18521C" w14:textId="090CFB85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F12FC2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466020EF" w14:textId="421E5C6C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0DC56A6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4FF518BD" w14:textId="77777777" w:rsidR="00F70DFB" w:rsidRDefault="005E6120" w:rsidP="00BC420A">
      <w:pPr>
        <w:pStyle w:val="Corpsdetexte"/>
        <w:spacing w:before="0" w:after="120"/>
        <w:ind w:firstLine="709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08C2DD03" w14:textId="7C43DA69" w:rsidR="00BC420A" w:rsidRDefault="00BC420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6A5611B" w14:textId="77777777" w:rsidR="005251D5" w:rsidRPr="003322F8" w:rsidRDefault="005251D5" w:rsidP="00BC420A">
      <w:pPr>
        <w:tabs>
          <w:tab w:val="left" w:pos="2552"/>
        </w:tabs>
        <w:spacing w:after="120"/>
        <w:ind w:firstLine="709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50305DD3" w14:textId="77777777" w:rsidR="005251D5" w:rsidRPr="003322F8" w:rsidRDefault="005251D5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6A8C3A4C" w14:textId="77777777" w:rsidR="005251D5" w:rsidRDefault="005251D5" w:rsidP="00BC420A">
      <w:pPr>
        <w:tabs>
          <w:tab w:val="right" w:leader="dot" w:pos="9498"/>
        </w:tabs>
        <w:autoSpaceDE w:val="0"/>
        <w:autoSpaceDN w:val="0"/>
        <w:adjustRightInd w:val="0"/>
        <w:spacing w:after="120"/>
        <w:ind w:firstLine="709"/>
        <w:rPr>
          <w:color w:val="000000"/>
          <w:sz w:val="24"/>
          <w:szCs w:val="24"/>
        </w:rPr>
      </w:pPr>
    </w:p>
    <w:p w14:paraId="20A56854" w14:textId="3889900B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4A01584" w14:textId="7B3B03CA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0C6628DF" w14:textId="72E2980D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63AA42A" w14:textId="0B58928B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2B8BF17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487BB69" w14:textId="2C0C4021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BC420A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62D6DC2" w14:textId="77777777"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07D87150" w14:textId="77777777"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39D8D03A" w14:textId="77777777" w:rsidR="00BC420A" w:rsidRDefault="00BC420A" w:rsidP="00BC420A">
      <w:pPr>
        <w:tabs>
          <w:tab w:val="left" w:pos="2552"/>
        </w:tabs>
        <w:spacing w:after="120"/>
        <w:ind w:firstLine="709"/>
        <w:jc w:val="both"/>
        <w:rPr>
          <w:sz w:val="24"/>
          <w:szCs w:val="24"/>
        </w:rPr>
      </w:pPr>
    </w:p>
    <w:p w14:paraId="157FC8A1" w14:textId="293D9062" w:rsidR="0025090B" w:rsidRPr="0025090B" w:rsidRDefault="0025090B" w:rsidP="00BC420A">
      <w:pPr>
        <w:tabs>
          <w:tab w:val="left" w:pos="2552"/>
        </w:tabs>
        <w:spacing w:after="120"/>
        <w:ind w:firstLine="709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624095AA" w14:textId="77777777"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891B4C">
        <w:rPr>
          <w:sz w:val="24"/>
          <w:szCs w:val="24"/>
        </w:rPr>
      </w:r>
      <w:r w:rsidR="00891B4C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891B4C">
        <w:rPr>
          <w:sz w:val="24"/>
          <w:szCs w:val="24"/>
        </w:rPr>
      </w:r>
      <w:r w:rsidR="00891B4C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62BA780B" w14:textId="77777777"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269C1D4F" w14:textId="77777777" w:rsidR="001C1254" w:rsidRPr="00777280" w:rsidRDefault="001C1254" w:rsidP="00BC420A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4CBA73EA" w14:textId="72EBF4FB" w:rsidR="001C1254" w:rsidRPr="00871ECA" w:rsidRDefault="001C1254" w:rsidP="00BC420A">
      <w:pPr>
        <w:tabs>
          <w:tab w:val="left" w:leader="dot" w:pos="9072"/>
        </w:tabs>
        <w:spacing w:after="120"/>
        <w:ind w:firstLine="709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BC420A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27FDC195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891B4C">
        <w:rPr>
          <w:rFonts w:eastAsia="SimSun"/>
        </w:rPr>
      </w:r>
      <w:r w:rsidR="00891B4C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14:paraId="4CF84858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891B4C">
        <w:rPr>
          <w:rFonts w:eastAsia="SimSun"/>
        </w:rPr>
      </w:r>
      <w:r w:rsidR="00891B4C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4119A808" w14:textId="77777777" w:rsidR="00BC420A" w:rsidRDefault="00BC420A" w:rsidP="00BC420A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4788076B" w14:textId="624C457B" w:rsidR="001C1254" w:rsidRPr="00871ECA" w:rsidRDefault="001C1254" w:rsidP="00BC420A">
      <w:pPr>
        <w:tabs>
          <w:tab w:val="left" w:leader="dot" w:pos="9072"/>
        </w:tabs>
        <w:spacing w:after="120"/>
        <w:ind w:firstLine="709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</w:t>
      </w:r>
      <w:r w:rsidR="00BC420A">
        <w:rPr>
          <w:sz w:val="24"/>
          <w:szCs w:val="24"/>
        </w:rPr>
        <w:t> 2</w:t>
      </w:r>
      <w:r w:rsidR="005251D5">
        <w:rPr>
          <w:sz w:val="24"/>
          <w:szCs w:val="24"/>
        </w:rPr>
        <w:t>003/361/CE du 6</w:t>
      </w:r>
      <w:r w:rsidR="00BC420A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48917B7F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891B4C">
        <w:rPr>
          <w:rFonts w:ascii="Times New Roman" w:eastAsia="SimSun" w:hAnsi="Times New Roman"/>
          <w:szCs w:val="24"/>
        </w:rPr>
      </w:r>
      <w:r w:rsidR="00891B4C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891B4C">
        <w:rPr>
          <w:rFonts w:ascii="Times New Roman" w:eastAsia="SimSun" w:hAnsi="Times New Roman"/>
          <w:szCs w:val="24"/>
        </w:rPr>
      </w:r>
      <w:r w:rsidR="00891B4C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103B98FF" w14:textId="77777777"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59692AA7" w14:textId="57ED63A2" w:rsidR="00871ECA" w:rsidRDefault="00871ECA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  <w:r w:rsidRPr="00BC420A">
        <w:rPr>
          <w:color w:val="000000"/>
          <w:sz w:val="24"/>
          <w:szCs w:val="24"/>
        </w:rPr>
        <w:t>Dans les limites définies au titre IX du livre</w:t>
      </w:r>
      <w:r w:rsidR="00BC420A" w:rsidRPr="00BC420A">
        <w:rPr>
          <w:color w:val="000000"/>
          <w:sz w:val="24"/>
          <w:szCs w:val="24"/>
        </w:rPr>
        <w:t> </w:t>
      </w:r>
      <w:r w:rsidRPr="00BC420A">
        <w:rPr>
          <w:color w:val="000000"/>
          <w:sz w:val="24"/>
          <w:szCs w:val="24"/>
        </w:rPr>
        <w:t>Ier de la deuxième partie du code de la commande publique, le titulaire est habilité à sous-traiter l’exécution des prestations, à condition d’avoir obtenu du pouvoir adjudicateur l’acceptation de chaque sous-traitant et l’agrément de ses conditions de paiement.</w:t>
      </w:r>
    </w:p>
    <w:p w14:paraId="49143031" w14:textId="585DDC4C" w:rsidR="006B1802" w:rsidRDefault="006B1802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</w:p>
    <w:p w14:paraId="23D93C42" w14:textId="77777777" w:rsidR="006B1802" w:rsidRPr="00BC420A" w:rsidRDefault="006B1802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</w:p>
    <w:p w14:paraId="32963577" w14:textId="77777777"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14:paraId="0988B144" w14:textId="77777777" w:rsidR="00BC420A" w:rsidRDefault="00BC420A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</w:p>
    <w:p w14:paraId="478DE62E" w14:textId="48734772" w:rsidR="00DC78F6" w:rsidRPr="00BC420A" w:rsidRDefault="00871ECA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  <w:r w:rsidRPr="00BC420A">
        <w:rPr>
          <w:color w:val="000000"/>
          <w:sz w:val="24"/>
          <w:szCs w:val="24"/>
        </w:rPr>
        <w:t xml:space="preserve">Pour chaque sous-traitant présenté, le </w:t>
      </w:r>
      <w:r w:rsidR="00DC2D6C" w:rsidRPr="00BC420A">
        <w:rPr>
          <w:color w:val="000000"/>
          <w:sz w:val="24"/>
          <w:szCs w:val="24"/>
        </w:rPr>
        <w:t>cocontractant</w:t>
      </w:r>
      <w:r w:rsidRPr="00BC420A">
        <w:rPr>
          <w:color w:val="000000"/>
          <w:sz w:val="24"/>
          <w:szCs w:val="24"/>
        </w:rPr>
        <w:t xml:space="preserve"> annexe au présent acte d’engagement, sous les numéros </w:t>
      </w:r>
      <w:r w:rsidRPr="00BC420A">
        <w:rPr>
          <w:color w:val="000000"/>
          <w:sz w:val="24"/>
          <w:szCs w:val="24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BC420A">
        <w:rPr>
          <w:color w:val="000000"/>
          <w:sz w:val="24"/>
          <w:szCs w:val="24"/>
        </w:rPr>
        <w:instrText xml:space="preserve"> FORMTEXT </w:instrText>
      </w:r>
      <w:r w:rsidRPr="00BC420A">
        <w:rPr>
          <w:color w:val="000000"/>
          <w:sz w:val="24"/>
          <w:szCs w:val="24"/>
        </w:rPr>
      </w:r>
      <w:r w:rsidRPr="00BC420A">
        <w:rPr>
          <w:color w:val="000000"/>
          <w:sz w:val="24"/>
          <w:szCs w:val="24"/>
        </w:rPr>
        <w:fldChar w:fldCharType="separate"/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fldChar w:fldCharType="end"/>
      </w:r>
      <w:bookmarkEnd w:id="21"/>
      <w:r w:rsidRPr="00BC420A">
        <w:rPr>
          <w:color w:val="000000"/>
          <w:sz w:val="24"/>
          <w:szCs w:val="24"/>
        </w:rPr>
        <w:t xml:space="preserve"> à </w:t>
      </w:r>
      <w:r w:rsidRPr="00BC420A">
        <w:rPr>
          <w:color w:val="000000"/>
          <w:sz w:val="24"/>
          <w:szCs w:val="24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BC420A">
        <w:rPr>
          <w:color w:val="000000"/>
          <w:sz w:val="24"/>
          <w:szCs w:val="24"/>
        </w:rPr>
        <w:instrText xml:space="preserve"> FORMTEXT </w:instrText>
      </w:r>
      <w:r w:rsidRPr="00BC420A">
        <w:rPr>
          <w:color w:val="000000"/>
          <w:sz w:val="24"/>
          <w:szCs w:val="24"/>
        </w:rPr>
      </w:r>
      <w:r w:rsidRPr="00BC420A">
        <w:rPr>
          <w:color w:val="000000"/>
          <w:sz w:val="24"/>
          <w:szCs w:val="24"/>
        </w:rPr>
        <w:fldChar w:fldCharType="separate"/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t> </w:t>
      </w:r>
      <w:r w:rsidRPr="00BC420A">
        <w:rPr>
          <w:color w:val="000000"/>
          <w:sz w:val="24"/>
          <w:szCs w:val="24"/>
        </w:rPr>
        <w:fldChar w:fldCharType="end"/>
      </w:r>
      <w:r w:rsidRPr="00BC420A">
        <w:rPr>
          <w:color w:val="000000"/>
          <w:sz w:val="24"/>
          <w:szCs w:val="24"/>
        </w:rPr>
        <w:t xml:space="preserve">, un </w:t>
      </w:r>
      <w:r w:rsidR="00DC78F6" w:rsidRPr="00BC420A">
        <w:rPr>
          <w:color w:val="000000"/>
          <w:sz w:val="24"/>
          <w:szCs w:val="24"/>
        </w:rPr>
        <w:t>formulaire DC4 dans sa dernière version en vigueur (annexe 3 au présent acte d’engagement), dûment complété, portant présentation de sous-traitant. Sont joints au formulaire, les pièces listées à l’article 6.1 du CCAP sur la « Sous-traitance ».</w:t>
      </w:r>
    </w:p>
    <w:p w14:paraId="29C44549" w14:textId="77777777" w:rsidR="00871ECA" w:rsidRPr="00BC420A" w:rsidRDefault="00871ECA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  <w:r w:rsidRPr="00BC420A">
        <w:rPr>
          <w:color w:val="000000"/>
          <w:sz w:val="24"/>
          <w:szCs w:val="24"/>
        </w:rPr>
        <w:t>À chaque acte spécial sont joints une déclaration du sous-traitant concerné indiquant qu'il ne tombe sous le coup d’aucune interdiction d’accéder aux marchés publics, ainsi que les documents établissant ses capacités professionnelles et financières.</w:t>
      </w:r>
    </w:p>
    <w:p w14:paraId="69A2BB70" w14:textId="77777777" w:rsidR="00871ECA" w:rsidRPr="00BC420A" w:rsidRDefault="00871ECA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  <w:r w:rsidRPr="00BC420A">
        <w:rPr>
          <w:color w:val="000000"/>
          <w:sz w:val="24"/>
          <w:szCs w:val="24"/>
        </w:rPr>
        <w:t xml:space="preserve">Le </w:t>
      </w:r>
      <w:r w:rsidR="00DC2D6C" w:rsidRPr="00BC420A">
        <w:rPr>
          <w:color w:val="000000"/>
          <w:sz w:val="24"/>
          <w:szCs w:val="24"/>
        </w:rPr>
        <w:t>cocontractant</w:t>
      </w:r>
      <w:r w:rsidRPr="00BC420A">
        <w:rPr>
          <w:color w:val="000000"/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22FDA130" w14:textId="77777777" w:rsidR="003C406C" w:rsidRPr="00BC420A" w:rsidRDefault="003C406C" w:rsidP="00BC420A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sz w:val="24"/>
          <w:szCs w:val="24"/>
        </w:rPr>
      </w:pPr>
      <w:r w:rsidRPr="00BC420A">
        <w:rPr>
          <w:color w:val="000000"/>
          <w:sz w:val="24"/>
          <w:szCs w:val="24"/>
        </w:rPr>
        <w:t>La notification de l’accord-cadre emporte acceptation du sous-traitant et agrément de ses conditions de paiement. Le montant des prestations sous-traitées indiqué dans chaque annexe constitue le montant maximal de la créance que le sous-traitant concerné pourra présenter en nantissement ou cession de créance.</w:t>
      </w:r>
    </w:p>
    <w:p w14:paraId="771D7EAF" w14:textId="339A952E" w:rsidR="00871ECA" w:rsidRPr="003D1431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3D1431">
        <w:rPr>
          <w:rFonts w:ascii="Times New Roman" w:hAnsi="Times New Roman"/>
          <w:b/>
          <w:szCs w:val="24"/>
        </w:rPr>
        <w:t>7</w:t>
      </w:r>
      <w:r w:rsidR="00871ECA" w:rsidRPr="003D1431">
        <w:rPr>
          <w:rFonts w:ascii="Times New Roman" w:hAnsi="Times New Roman"/>
          <w:b/>
          <w:szCs w:val="24"/>
        </w:rPr>
        <w:t xml:space="preserve">.2 Sous-traitance déclarée après la </w:t>
      </w:r>
      <w:r w:rsidR="00BC420A">
        <w:rPr>
          <w:rFonts w:ascii="Times New Roman" w:hAnsi="Times New Roman"/>
          <w:b/>
          <w:szCs w:val="24"/>
        </w:rPr>
        <w:t xml:space="preserve">conclusion </w:t>
      </w:r>
      <w:r w:rsidRPr="00773FCC">
        <w:rPr>
          <w:rFonts w:ascii="Times New Roman" w:hAnsi="Times New Roman"/>
          <w:b/>
          <w:szCs w:val="24"/>
        </w:rPr>
        <w:t>d</w:t>
      </w:r>
      <w:r w:rsidR="00871ECA" w:rsidRPr="00773FCC">
        <w:rPr>
          <w:rFonts w:ascii="Times New Roman" w:hAnsi="Times New Roman"/>
          <w:b/>
          <w:szCs w:val="24"/>
        </w:rPr>
        <w:t>e l’accord-cadre</w:t>
      </w:r>
    </w:p>
    <w:p w14:paraId="59D71A8F" w14:textId="77777777" w:rsidR="006B1802" w:rsidRDefault="006B1802" w:rsidP="00BC420A">
      <w:pPr>
        <w:tabs>
          <w:tab w:val="left" w:leader="dot" w:pos="9072"/>
        </w:tabs>
        <w:spacing w:after="120"/>
        <w:ind w:firstLine="709"/>
        <w:jc w:val="both"/>
        <w:rPr>
          <w:sz w:val="24"/>
          <w:szCs w:val="24"/>
        </w:rPr>
      </w:pPr>
    </w:p>
    <w:p w14:paraId="4191EE05" w14:textId="65005C05" w:rsidR="00871ECA" w:rsidRPr="00C753C1" w:rsidRDefault="00871ECA" w:rsidP="00BC420A">
      <w:pPr>
        <w:tabs>
          <w:tab w:val="left" w:leader="dot" w:pos="9072"/>
        </w:tabs>
        <w:spacing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remettra un acte spécial et les documents 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 xml:space="preserve">.1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14:paraId="166505C5" w14:textId="77777777" w:rsidR="00871ECA" w:rsidRPr="00C753C1" w:rsidRDefault="00871ECA" w:rsidP="00BC420A">
      <w:pPr>
        <w:tabs>
          <w:tab w:val="left" w:leader="dot" w:pos="9072"/>
        </w:tabs>
        <w:spacing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3C9B02C6" w14:textId="77777777" w:rsidR="00871ECA" w:rsidRDefault="00871ECA" w:rsidP="00BC420A">
      <w:pPr>
        <w:spacing w:after="120"/>
        <w:ind w:firstLine="709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14:paraId="21C64637" w14:textId="77777777"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14:paraId="4E806F1E" w14:textId="77777777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3033A226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03FEFB44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47E053E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47CBDCC5" w14:textId="77777777" w:rsidTr="00555DEF">
        <w:tc>
          <w:tcPr>
            <w:tcW w:w="9847" w:type="dxa"/>
            <w:vAlign w:val="center"/>
          </w:tcPr>
          <w:p w14:paraId="67FA24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0250DF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73A54A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273949F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D637C1" w14:textId="77777777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="00133A29">
              <w:rPr>
                <w:rFonts w:ascii="Times New Roman" w:hAnsi="Times New Roman"/>
                <w:szCs w:val="24"/>
              </w:rPr>
              <w:t xml:space="preserve"> </w:t>
            </w:r>
            <w:r w:rsidR="00133A29" w:rsidRPr="00133A29">
              <w:rPr>
                <w:rFonts w:ascii="Times New Roman" w:hAnsi="Times New Roman"/>
                <w:i/>
                <w:color w:val="FF0000"/>
                <w:szCs w:val="24"/>
              </w:rPr>
              <w:t>(*)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4425D076" w14:textId="7A1C45BE" w:rsidR="00133A29" w:rsidRDefault="007D1694" w:rsidP="00133A29">
            <w:pPr>
              <w:rPr>
                <w:i/>
                <w:szCs w:val="24"/>
              </w:rPr>
            </w:pPr>
            <w:r w:rsidRPr="007D1694">
              <w:rPr>
                <w:i/>
                <w:szCs w:val="24"/>
              </w:rPr>
              <w:t>Nota</w:t>
            </w:r>
            <w:r w:rsidR="00BC420A">
              <w:rPr>
                <w:i/>
                <w:szCs w:val="24"/>
              </w:rPr>
              <w:t> </w:t>
            </w:r>
            <w:r w:rsidRPr="007D1694">
              <w:rPr>
                <w:i/>
                <w:szCs w:val="24"/>
              </w:rPr>
              <w:t>: la signature du présent acte d’engagement emporte signature de ses annexes</w:t>
            </w:r>
          </w:p>
          <w:p w14:paraId="79BB278A" w14:textId="77777777" w:rsidR="00133A29" w:rsidRPr="00133A29" w:rsidRDefault="00133A29" w:rsidP="00133A29">
            <w:pPr>
              <w:rPr>
                <w:rFonts w:eastAsia="Calibri"/>
                <w:i/>
                <w:color w:val="FF0000"/>
                <w:lang w:eastAsia="en-US"/>
              </w:rPr>
            </w:pPr>
            <w:r w:rsidRPr="00133A29">
              <w:rPr>
                <w:rFonts w:eastAsia="Calibri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1BE8CFD2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4D797A5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57274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28AE08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4D4800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1208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888CE0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54C23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5AC034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305F32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64E533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5DB77B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F8B8DC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48B79F36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72E14F9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3C23FD02" w14:textId="77777777" w:rsidTr="00555DEF">
        <w:tc>
          <w:tcPr>
            <w:tcW w:w="9847" w:type="dxa"/>
            <w:vAlign w:val="center"/>
          </w:tcPr>
          <w:p w14:paraId="4763B38F" w14:textId="77777777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56EC3FB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055A70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30F6677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7EB9CC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24EACE7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EFEB5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97BAA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3E1083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B04F495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27C05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80B6728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8814C4A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35875C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3ABCE7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11C0C9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C1BA53E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9F11B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07688CC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E6AB74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F04F47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4BAE05E6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6E253007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23B076D4" w14:textId="77777777"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43CB6747" w14:textId="77777777"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6D45D479" w14:textId="77777777"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14:paraId="2AF52350" w14:textId="77777777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1958898F" w14:textId="77777777"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14:paraId="74A1F016" w14:textId="492272E3" w:rsidR="004A4694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773FCC">
        <w:rPr>
          <w:b/>
          <w:sz w:val="24"/>
          <w:szCs w:val="24"/>
        </w:rPr>
        <w:t>ANNEXE </w:t>
      </w:r>
      <w:r w:rsidR="00F07717" w:rsidRPr="00773FCC">
        <w:rPr>
          <w:b/>
          <w:sz w:val="24"/>
          <w:szCs w:val="24"/>
        </w:rPr>
        <w:t>3</w:t>
      </w:r>
      <w:r w:rsidR="0019470C" w:rsidRPr="00773FCC">
        <w:rPr>
          <w:b/>
          <w:sz w:val="24"/>
          <w:szCs w:val="24"/>
        </w:rPr>
        <w:t> </w:t>
      </w:r>
      <w:r w:rsidR="0019470C" w:rsidRPr="00773FCC">
        <w:rPr>
          <w:sz w:val="24"/>
          <w:szCs w:val="24"/>
        </w:rPr>
        <w:t>:</w:t>
      </w:r>
      <w:r w:rsidR="003322F8" w:rsidRPr="00773FCC">
        <w:rPr>
          <w:b/>
          <w:sz w:val="24"/>
          <w:szCs w:val="24"/>
        </w:rPr>
        <w:tab/>
      </w:r>
      <w:r w:rsidR="003C406C" w:rsidRPr="00076F4F">
        <w:rPr>
          <w:sz w:val="24"/>
          <w:szCs w:val="24"/>
        </w:rPr>
        <w:t>BORDEREAU DES PRIX UNITAIRES</w:t>
      </w:r>
      <w:r w:rsidR="003C406C">
        <w:rPr>
          <w:sz w:val="24"/>
          <w:szCs w:val="24"/>
        </w:rPr>
        <w:t xml:space="preserve"> – DEVIS QUANTITATIF ESTIMATIF</w:t>
      </w:r>
      <w:r w:rsidR="00946B5F">
        <w:rPr>
          <w:sz w:val="24"/>
          <w:szCs w:val="24"/>
        </w:rPr>
        <w:t>– PSE (facultative)</w:t>
      </w:r>
    </w:p>
    <w:p w14:paraId="03848497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0DDF4D6E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4AAA2DC2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7DAA392C" w14:textId="77777777" w:rsidR="00F70DFB" w:rsidRPr="00777280" w:rsidRDefault="00F70DFB" w:rsidP="00B35D28">
      <w:pPr>
        <w:jc w:val="both"/>
      </w:pPr>
    </w:p>
    <w:p w14:paraId="06605B0D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3991C42F" w14:textId="77777777"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14:paraId="28201D56" w14:textId="77777777"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24082">
        <w:rPr>
          <w:b/>
          <w:sz w:val="22"/>
          <w:szCs w:val="22"/>
          <w:vertAlign w:val="superscript"/>
        </w:rPr>
        <w:t xml:space="preserve"> </w:t>
      </w:r>
      <w:r w:rsidR="00F24082">
        <w:rPr>
          <w:rStyle w:val="Appelnotedebasdep"/>
          <w:b/>
          <w:sz w:val="22"/>
          <w:szCs w:val="22"/>
        </w:rPr>
        <w:footnoteReference w:id="1"/>
      </w:r>
    </w:p>
    <w:p w14:paraId="7312330C" w14:textId="77777777" w:rsidR="00DC78F6" w:rsidRDefault="00DC78F6" w:rsidP="00F70DFB">
      <w:pPr>
        <w:jc w:val="center"/>
        <w:rPr>
          <w:sz w:val="22"/>
          <w:szCs w:val="22"/>
        </w:rPr>
      </w:pPr>
    </w:p>
    <w:p w14:paraId="1C3D4627" w14:textId="77777777" w:rsidR="00DC78F6" w:rsidRDefault="00DC78F6" w:rsidP="00F70DFB">
      <w:pPr>
        <w:jc w:val="center"/>
        <w:rPr>
          <w:sz w:val="22"/>
          <w:szCs w:val="22"/>
        </w:rPr>
      </w:pPr>
    </w:p>
    <w:p w14:paraId="75B90421" w14:textId="77777777" w:rsidR="00DC78F6" w:rsidRDefault="00DC78F6" w:rsidP="00F70DFB">
      <w:pPr>
        <w:jc w:val="center"/>
        <w:rPr>
          <w:sz w:val="22"/>
          <w:szCs w:val="22"/>
        </w:rPr>
      </w:pPr>
    </w:p>
    <w:p w14:paraId="55E06E82" w14:textId="77777777"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14:paraId="1DFC4945" w14:textId="77777777"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14:paraId="72939FF3" w14:textId="77777777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246C1CD9" w14:textId="77777777"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14:paraId="629B7624" w14:textId="77777777"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14:paraId="01101D98" w14:textId="77777777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54AB2D07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24C13E1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A37968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75417A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DD616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74EAF1FD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27B9B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B5CDD86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126A4E7C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45EB4D18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F96C9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85CC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D5D9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D704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27CFB093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13519EFA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4C8B9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C936D6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D9E56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3B05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49476C8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B5C420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31FFD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3039B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21EE5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0DAB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9DB74CC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4E9D7C45" w14:textId="77777777" w:rsidR="00DE1223" w:rsidRPr="00777280" w:rsidRDefault="00DE1223" w:rsidP="00DE122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AB543F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6FC95C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B88C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A1F3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30668DA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31C5FFF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329B81B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2CC3F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2619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562CE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3BDA5DAB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7F12420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903AA8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CB2ECA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D2E5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58770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77F09A47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48502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37924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F38A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1FDE1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8047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3B6221E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5B8D74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4E7821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634D6D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E145B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FC505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7D478F71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3D56EB3F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4A8B99D7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6899B1A8" w14:textId="77777777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6B417117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489C713F" w14:textId="77777777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3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34B15B53" w14:textId="77777777" w:rsidR="00E54527" w:rsidRPr="00773FCC" w:rsidRDefault="00E54527" w:rsidP="00F118E4">
      <w:pPr>
        <w:spacing w:before="240" w:after="240"/>
        <w:jc w:val="center"/>
        <w:rPr>
          <w:b/>
          <w:sz w:val="22"/>
          <w:szCs w:val="22"/>
        </w:rPr>
      </w:pPr>
      <w:r w:rsidRPr="00773FCC">
        <w:rPr>
          <w:b/>
          <w:sz w:val="22"/>
          <w:szCs w:val="22"/>
        </w:rPr>
        <w:t>BORDEREAU DE</w:t>
      </w:r>
      <w:r w:rsidR="005F2C6F" w:rsidRPr="00773FCC">
        <w:rPr>
          <w:b/>
          <w:sz w:val="22"/>
          <w:szCs w:val="22"/>
        </w:rPr>
        <w:t>S</w:t>
      </w:r>
      <w:r w:rsidRPr="00773FCC">
        <w:rPr>
          <w:b/>
          <w:sz w:val="22"/>
          <w:szCs w:val="22"/>
        </w:rPr>
        <w:t xml:space="preserve"> PRIX </w:t>
      </w:r>
      <w:r w:rsidR="00412138" w:rsidRPr="00773FCC">
        <w:rPr>
          <w:b/>
          <w:sz w:val="22"/>
          <w:szCs w:val="22"/>
        </w:rPr>
        <w:t>UNITAIRES</w:t>
      </w:r>
    </w:p>
    <w:p w14:paraId="1309460A" w14:textId="77777777" w:rsidR="00B12958" w:rsidRPr="00773FCC" w:rsidRDefault="00E54527" w:rsidP="00ED5332">
      <w:pPr>
        <w:jc w:val="center"/>
        <w:rPr>
          <w:b/>
          <w:color w:val="FF0000"/>
          <w:sz w:val="22"/>
          <w:szCs w:val="22"/>
        </w:rPr>
      </w:pPr>
      <w:r w:rsidRPr="00773FCC">
        <w:rPr>
          <w:b/>
          <w:color w:val="FF0000"/>
          <w:sz w:val="22"/>
          <w:szCs w:val="22"/>
        </w:rPr>
        <w:t>(</w:t>
      </w:r>
      <w:r w:rsidR="00ED5332" w:rsidRPr="00773FCC">
        <w:rPr>
          <w:b/>
          <w:color w:val="FF0000"/>
          <w:sz w:val="22"/>
          <w:szCs w:val="22"/>
        </w:rPr>
        <w:t>v</w:t>
      </w:r>
      <w:r w:rsidRPr="00773FCC">
        <w:rPr>
          <w:b/>
          <w:color w:val="FF0000"/>
          <w:sz w:val="22"/>
          <w:szCs w:val="22"/>
        </w:rPr>
        <w:t>oir fichier EXCEL joint)</w:t>
      </w:r>
    </w:p>
    <w:p w14:paraId="65D09AAA" w14:textId="77777777"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p w14:paraId="0ECA4BF8" w14:textId="77777777" w:rsidR="00B13738" w:rsidRPr="003D1431" w:rsidRDefault="00B13738" w:rsidP="00ED5332">
      <w:pPr>
        <w:jc w:val="center"/>
        <w:rPr>
          <w:color w:val="00B0F0"/>
        </w:rPr>
      </w:pPr>
    </w:p>
    <w:sectPr w:rsidR="00B13738" w:rsidRPr="003D143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49E71" w14:textId="77777777" w:rsidR="005663E5" w:rsidRDefault="005663E5">
      <w:r>
        <w:separator/>
      </w:r>
    </w:p>
  </w:endnote>
  <w:endnote w:type="continuationSeparator" w:id="0">
    <w:p w14:paraId="7974DBF0" w14:textId="77777777" w:rsidR="005663E5" w:rsidRDefault="0056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BDCAE" w14:textId="77777777" w:rsidR="005663E5" w:rsidRDefault="005663E5">
      <w:r>
        <w:separator/>
      </w:r>
    </w:p>
  </w:footnote>
  <w:footnote w:type="continuationSeparator" w:id="0">
    <w:p w14:paraId="002D30BC" w14:textId="77777777" w:rsidR="005663E5" w:rsidRDefault="005663E5">
      <w:r>
        <w:continuationSeparator/>
      </w:r>
    </w:p>
  </w:footnote>
  <w:footnote w:id="1">
    <w:p w14:paraId="52F90CDE" w14:textId="77777777" w:rsidR="00F24082" w:rsidRDefault="00F240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24082">
        <w:t>https://www.economie.gouv.fr/daj/formulaires-declaration-du-candidat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74732" w14:textId="33D97E11" w:rsidR="00B74471" w:rsidRPr="008C6FCA" w:rsidRDefault="00B74471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891B4C">
      <w:rPr>
        <w:rFonts w:ascii="Times New Roman" w:hAnsi="Times New Roman"/>
        <w:bCs/>
        <w:noProof/>
        <w:sz w:val="18"/>
        <w:szCs w:val="18"/>
      </w:rPr>
      <w:t>7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891B4C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7D4332A9" w14:textId="77777777" w:rsidR="00B74471" w:rsidRDefault="00B7447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EWpUD9aoB8TY988UczWZLPIy41riUGJTDRBRoKTzoCf7YwW5e8zwp1sIzbcWJn+lIdC6Ds4MAayJ8VOVBjOcg==" w:salt="DcInYskSVwWC+YN8LX/yy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66F1C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0F3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035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47786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C406C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3E9"/>
    <w:rsid w:val="005663E5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0548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1802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3FC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2E6B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B4C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5F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8621A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3C3"/>
    <w:rsid w:val="00A0394E"/>
    <w:rsid w:val="00A1255F"/>
    <w:rsid w:val="00A17CCD"/>
    <w:rsid w:val="00A24128"/>
    <w:rsid w:val="00A24EB4"/>
    <w:rsid w:val="00A279AB"/>
    <w:rsid w:val="00A302A3"/>
    <w:rsid w:val="00A351CE"/>
    <w:rsid w:val="00A42A76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471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420A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B4802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971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4082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3022"/>
    <w:rsid w:val="00FE7104"/>
    <w:rsid w:val="00FF239C"/>
    <w:rsid w:val="00FF5E60"/>
    <w:rsid w:val="00FF5FD1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1E8FAFE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098B7-4B69-46F4-A829-42850BDE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14</Pages>
  <Words>2508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23</cp:revision>
  <cp:lastPrinted>2014-07-22T08:29:00Z</cp:lastPrinted>
  <dcterms:created xsi:type="dcterms:W3CDTF">2023-05-24T08:57:00Z</dcterms:created>
  <dcterms:modified xsi:type="dcterms:W3CDTF">2025-03-07T16:03:00Z</dcterms:modified>
</cp:coreProperties>
</file>