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10" w:type="dxa"/>
        <w:tblLayout w:type="fixed"/>
        <w:tblCellMar>
          <w:left w:w="71" w:type="dxa"/>
          <w:right w:w="71" w:type="dxa"/>
        </w:tblCellMar>
        <w:tblLook w:val="0000" w:firstRow="0" w:lastRow="0" w:firstColumn="0" w:lastColumn="0" w:noHBand="0" w:noVBand="0"/>
      </w:tblPr>
      <w:tblGrid>
        <w:gridCol w:w="4324"/>
        <w:gridCol w:w="5386"/>
      </w:tblGrid>
      <w:tr w:rsidR="00A37CB4" w:rsidRPr="0032491A" w:rsidTr="007E62C3">
        <w:trPr>
          <w:cantSplit/>
          <w:trHeight w:hRule="exact" w:val="2268"/>
        </w:trPr>
        <w:tc>
          <w:tcPr>
            <w:tcW w:w="4324" w:type="dxa"/>
            <w:shd w:val="clear" w:color="auto" w:fill="FFFFFF"/>
          </w:tcPr>
          <w:p w:rsidR="00A37CB4" w:rsidRPr="0032491A" w:rsidRDefault="00A37CB4" w:rsidP="007E62C3">
            <w:pPr>
              <w:pStyle w:val="En-tte"/>
              <w:ind w:right="-45"/>
              <w:jc w:val="center"/>
              <w:rPr>
                <w:rFonts w:ascii="Mâcon" w:hAnsi="Mâcon"/>
                <w:color w:val="0000FF"/>
                <w:sz w:val="126"/>
              </w:rPr>
            </w:pPr>
            <w:r w:rsidRPr="0032491A">
              <w:rPr>
                <w:noProof/>
              </w:rPr>
              <w:drawing>
                <wp:inline distT="0" distB="0" distL="0" distR="0">
                  <wp:extent cx="2677160" cy="1031240"/>
                  <wp:effectExtent l="0" t="0" r="889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77160" cy="1031240"/>
                          </a:xfrm>
                          <a:prstGeom prst="rect">
                            <a:avLst/>
                          </a:prstGeom>
                          <a:noFill/>
                          <a:ln>
                            <a:noFill/>
                          </a:ln>
                        </pic:spPr>
                      </pic:pic>
                    </a:graphicData>
                  </a:graphic>
                </wp:inline>
              </w:drawing>
            </w:r>
          </w:p>
        </w:tc>
        <w:tc>
          <w:tcPr>
            <w:tcW w:w="5386" w:type="dxa"/>
          </w:tcPr>
          <w:p w:rsidR="00A37CB4" w:rsidRPr="0032491A" w:rsidRDefault="00A37CB4" w:rsidP="007E62C3">
            <w:pPr>
              <w:pStyle w:val="Pieddepage"/>
              <w:jc w:val="center"/>
              <w:rPr>
                <w:color w:val="808080"/>
              </w:rPr>
            </w:pPr>
          </w:p>
        </w:tc>
      </w:tr>
    </w:tbl>
    <w:p w:rsidR="00A37CB4" w:rsidRDefault="00A37CB4" w:rsidP="00A37CB4">
      <w:pPr>
        <w:rPr>
          <w:sz w:val="40"/>
          <w:szCs w:val="40"/>
        </w:rPr>
      </w:pPr>
    </w:p>
    <w:p w:rsidR="00A37CB4" w:rsidRDefault="00A37CB4" w:rsidP="00A37CB4">
      <w:pPr>
        <w:rPr>
          <w:sz w:val="40"/>
          <w:szCs w:val="40"/>
        </w:rPr>
      </w:pPr>
    </w:p>
    <w:p w:rsidR="00A37CB4" w:rsidRDefault="00A37CB4" w:rsidP="00A37CB4">
      <w:pPr>
        <w:rPr>
          <w:sz w:val="40"/>
          <w:szCs w:val="40"/>
        </w:rPr>
      </w:pPr>
    </w:p>
    <w:p w:rsidR="00A37CB4" w:rsidRPr="004F04CF" w:rsidRDefault="00A37CB4" w:rsidP="00A37CB4">
      <w:pPr>
        <w:rPr>
          <w:sz w:val="40"/>
          <w:szCs w:val="40"/>
        </w:rPr>
      </w:pPr>
    </w:p>
    <w:p w:rsidR="00A37CB4" w:rsidRDefault="00A37CB4" w:rsidP="00A37CB4">
      <w:pPr>
        <w:spacing w:after="160" w:line="256" w:lineRule="auto"/>
        <w:jc w:val="center"/>
      </w:pPr>
      <w:bookmarkStart w:id="0" w:name="_Hlk10449107"/>
      <w:r>
        <w:rPr>
          <w:color w:val="000000"/>
          <w:sz w:val="32"/>
          <w:szCs w:val="32"/>
        </w:rPr>
        <w:t>Marché public de services</w:t>
      </w:r>
      <w:bookmarkEnd w:id="0"/>
    </w:p>
    <w:p w:rsidR="00A37CB4" w:rsidRDefault="00A37CB4" w:rsidP="00A37CB4">
      <w:pPr>
        <w:spacing w:after="160" w:line="256" w:lineRule="auto"/>
        <w:jc w:val="center"/>
        <w:rPr>
          <w:sz w:val="32"/>
          <w:szCs w:val="32"/>
        </w:rPr>
      </w:pPr>
    </w:p>
    <w:p w:rsidR="00A37CB4" w:rsidRDefault="00A37CB4" w:rsidP="00A37CB4">
      <w:pPr>
        <w:spacing w:after="160" w:line="259" w:lineRule="auto"/>
        <w:rPr>
          <w:sz w:val="32"/>
          <w:szCs w:val="32"/>
        </w:rPr>
      </w:pPr>
    </w:p>
    <w:p w:rsidR="00A37CB4" w:rsidRDefault="00A37CB4" w:rsidP="00A37CB4">
      <w:pPr>
        <w:pBdr>
          <w:top w:val="single" w:sz="12" w:space="1" w:color="2F4F9D"/>
        </w:pBdr>
        <w:spacing w:after="160" w:line="259" w:lineRule="auto"/>
        <w:jc w:val="center"/>
        <w:rPr>
          <w:sz w:val="32"/>
          <w:szCs w:val="32"/>
        </w:rPr>
      </w:pPr>
    </w:p>
    <w:p w:rsidR="00A37CB4" w:rsidRPr="00A01BE6" w:rsidRDefault="00A37CB4" w:rsidP="00A37CB4">
      <w:pPr>
        <w:spacing w:after="160" w:line="259" w:lineRule="auto"/>
        <w:jc w:val="center"/>
        <w:rPr>
          <w:b/>
          <w:bCs/>
          <w:sz w:val="32"/>
          <w:szCs w:val="32"/>
        </w:rPr>
      </w:pPr>
      <w:r>
        <w:rPr>
          <w:b/>
          <w:bCs/>
          <w:color w:val="000000"/>
          <w:sz w:val="32"/>
          <w:szCs w:val="32"/>
        </w:rPr>
        <w:t>Sécurisation des accès extérieurs</w:t>
      </w:r>
    </w:p>
    <w:p w:rsidR="00A37CB4" w:rsidRDefault="00A37CB4" w:rsidP="00A37CB4">
      <w:pPr>
        <w:spacing w:after="160" w:line="259" w:lineRule="auto"/>
        <w:jc w:val="center"/>
        <w:rPr>
          <w:sz w:val="32"/>
          <w:szCs w:val="32"/>
        </w:rPr>
      </w:pPr>
      <w:r>
        <w:rPr>
          <w:iCs/>
          <w:color w:val="000000"/>
          <w:sz w:val="32"/>
          <w:szCs w:val="32"/>
        </w:rPr>
        <w:t>Appel d’offres ouvert</w:t>
      </w:r>
    </w:p>
    <w:p w:rsidR="00A37CB4" w:rsidRPr="00A01BE6" w:rsidRDefault="00A37CB4" w:rsidP="00A37CB4">
      <w:pPr>
        <w:pBdr>
          <w:bottom w:val="single" w:sz="12" w:space="1" w:color="2F4F9D"/>
        </w:pBdr>
        <w:spacing w:after="160" w:line="259" w:lineRule="auto"/>
        <w:rPr>
          <w:iCs/>
          <w:sz w:val="32"/>
          <w:szCs w:val="32"/>
        </w:rPr>
      </w:pPr>
    </w:p>
    <w:p w:rsidR="00A37CB4" w:rsidRPr="004F04CF" w:rsidRDefault="00A37CB4" w:rsidP="00A37CB4">
      <w:pPr>
        <w:rPr>
          <w:sz w:val="40"/>
          <w:szCs w:val="40"/>
        </w:rPr>
      </w:pPr>
    </w:p>
    <w:p w:rsidR="00A37CB4" w:rsidRDefault="00A37CB4" w:rsidP="00A37CB4">
      <w:pPr>
        <w:rPr>
          <w:sz w:val="40"/>
          <w:szCs w:val="40"/>
        </w:rPr>
      </w:pPr>
    </w:p>
    <w:p w:rsidR="00A37CB4" w:rsidRPr="004F04CF" w:rsidRDefault="00A37CB4" w:rsidP="00A37CB4">
      <w:pPr>
        <w:rPr>
          <w:sz w:val="40"/>
          <w:szCs w:val="40"/>
        </w:rPr>
      </w:pPr>
    </w:p>
    <w:p w:rsidR="00A37CB4" w:rsidRDefault="00A37CB4" w:rsidP="00A37CB4">
      <w:pPr>
        <w:spacing w:after="160" w:line="259" w:lineRule="auto"/>
        <w:jc w:val="center"/>
        <w:rPr>
          <w:b/>
          <w:bCs/>
          <w:color w:val="2F4F9D"/>
          <w:sz w:val="44"/>
          <w:szCs w:val="44"/>
        </w:rPr>
      </w:pPr>
      <w:r>
        <w:rPr>
          <w:b/>
          <w:bCs/>
          <w:color w:val="2F4F9D"/>
          <w:sz w:val="44"/>
          <w:szCs w:val="44"/>
        </w:rPr>
        <w:t xml:space="preserve">Règlement de Consultation </w:t>
      </w:r>
      <w:r w:rsidRPr="009022C0">
        <w:rPr>
          <w:b/>
          <w:bCs/>
          <w:color w:val="2F4F9D"/>
          <w:sz w:val="44"/>
          <w:szCs w:val="44"/>
        </w:rPr>
        <w:t>(</w:t>
      </w:r>
      <w:r>
        <w:rPr>
          <w:b/>
          <w:bCs/>
          <w:color w:val="2F4F9D"/>
          <w:sz w:val="44"/>
          <w:szCs w:val="44"/>
        </w:rPr>
        <w:t>R.C</w:t>
      </w:r>
      <w:r w:rsidRPr="009022C0">
        <w:rPr>
          <w:b/>
          <w:bCs/>
          <w:color w:val="2F4F9D"/>
          <w:sz w:val="44"/>
          <w:szCs w:val="44"/>
        </w:rPr>
        <w:t>.)</w:t>
      </w:r>
    </w:p>
    <w:p w:rsidR="00A37CB4" w:rsidRPr="009022C0" w:rsidRDefault="00F361D1" w:rsidP="00A37CB4">
      <w:pPr>
        <w:spacing w:after="160" w:line="259" w:lineRule="auto"/>
        <w:jc w:val="center"/>
        <w:rPr>
          <w:b/>
          <w:bCs/>
          <w:color w:val="2F4F9D"/>
          <w:sz w:val="44"/>
          <w:szCs w:val="44"/>
        </w:rPr>
      </w:pPr>
      <w:r>
        <w:rPr>
          <w:b/>
          <w:bCs/>
          <w:color w:val="2F4F9D"/>
          <w:sz w:val="44"/>
          <w:szCs w:val="44"/>
        </w:rPr>
        <w:t>Annexe 3</w:t>
      </w:r>
    </w:p>
    <w:p w:rsidR="00B976A8" w:rsidRPr="004F354F" w:rsidRDefault="00B976A8" w:rsidP="00446F07">
      <w:pPr>
        <w:pStyle w:val="RedTitre"/>
        <w:framePr w:hSpace="0" w:wrap="auto" w:vAnchor="margin" w:xAlign="left" w:yAlign="inline"/>
        <w:widowControl/>
        <w:jc w:val="both"/>
        <w:rPr>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A37CB4" w:rsidRDefault="00A37CB4">
      <w:pPr>
        <w:widowControl/>
        <w:autoSpaceDE/>
        <w:autoSpaceDN/>
        <w:rPr>
          <w:rFonts w:ascii="Arial" w:hAnsi="Arial" w:cs="Arial"/>
          <w:b/>
          <w:bCs/>
          <w:sz w:val="18"/>
          <w:szCs w:val="18"/>
        </w:rPr>
      </w:pPr>
      <w:r>
        <w:rPr>
          <w:sz w:val="18"/>
          <w:szCs w:val="18"/>
        </w:rPr>
        <w:br w:type="page"/>
      </w:r>
    </w:p>
    <w:p w:rsidR="004C025A" w:rsidRPr="00A37CB4" w:rsidRDefault="00104E0D" w:rsidP="00A37CB4">
      <w:pPr>
        <w:widowControl/>
        <w:pBdr>
          <w:bottom w:val="single" w:sz="12" w:space="1" w:color="2F4F9D"/>
        </w:pBdr>
        <w:autoSpaceDE/>
        <w:autoSpaceDN/>
        <w:jc w:val="both"/>
        <w:rPr>
          <w:rFonts w:ascii="Calibri" w:hAnsi="Calibri"/>
          <w:b/>
          <w:color w:val="2F4F9D"/>
          <w:sz w:val="28"/>
          <w:szCs w:val="28"/>
          <w:lang w:eastAsia="en-US"/>
        </w:rPr>
      </w:pPr>
      <w:r w:rsidRPr="00A37CB4">
        <w:rPr>
          <w:rFonts w:ascii="Calibri" w:hAnsi="Calibri"/>
          <w:b/>
          <w:color w:val="2F4F9D"/>
          <w:sz w:val="28"/>
          <w:szCs w:val="28"/>
          <w:lang w:eastAsia="en-US"/>
        </w:rPr>
        <w:lastRenderedPageBreak/>
        <w:t>CADRE DE REPONSE TECHNIQUE</w:t>
      </w:r>
      <w:r w:rsidR="006416E3" w:rsidRPr="00A37CB4">
        <w:rPr>
          <w:rFonts w:ascii="Calibri" w:hAnsi="Calibri"/>
          <w:b/>
          <w:color w:val="2F4F9D"/>
          <w:sz w:val="28"/>
          <w:szCs w:val="28"/>
          <w:lang w:eastAsia="en-US"/>
        </w:rPr>
        <w:t xml:space="preserve"> </w:t>
      </w:r>
      <w:r w:rsidRPr="00A37CB4">
        <w:rPr>
          <w:rFonts w:ascii="Calibri" w:hAnsi="Calibri"/>
          <w:b/>
          <w:color w:val="2F4F9D"/>
          <w:sz w:val="28"/>
          <w:szCs w:val="28"/>
          <w:lang w:eastAsia="en-US"/>
        </w:rPr>
        <w:t xml:space="preserve">RELATIF AU MARCHE </w:t>
      </w:r>
      <w:r w:rsidR="00E64C1D" w:rsidRPr="00A37CB4">
        <w:rPr>
          <w:rFonts w:ascii="Calibri" w:hAnsi="Calibri"/>
          <w:b/>
          <w:color w:val="2F4F9D"/>
          <w:sz w:val="28"/>
          <w:szCs w:val="28"/>
          <w:lang w:eastAsia="en-US"/>
        </w:rPr>
        <w:t>MAINTENANCE DE SECURITE INCENDIE</w:t>
      </w:r>
    </w:p>
    <w:p w:rsidR="004C025A" w:rsidRPr="004F354F" w:rsidRDefault="004C025A" w:rsidP="00446F07">
      <w:pPr>
        <w:pStyle w:val="RedNomDoc"/>
        <w:keepNext/>
        <w:widowControl/>
        <w:jc w:val="both"/>
        <w:rPr>
          <w:sz w:val="18"/>
          <w:szCs w:val="18"/>
        </w:rPr>
      </w:pPr>
    </w:p>
    <w:p w:rsidR="0077086A" w:rsidRPr="004F354F" w:rsidRDefault="0077086A" w:rsidP="00446F07">
      <w:pPr>
        <w:pStyle w:val="xmsonormal"/>
        <w:shd w:val="clear" w:color="auto" w:fill="FFFFFF"/>
        <w:spacing w:before="0" w:beforeAutospacing="0" w:after="0" w:afterAutospacing="0"/>
        <w:jc w:val="both"/>
        <w:rPr>
          <w:rFonts w:ascii="Arial" w:hAnsi="Arial" w:cs="Arial"/>
          <w:color w:val="212121"/>
          <w:sz w:val="18"/>
          <w:szCs w:val="18"/>
        </w:rPr>
      </w:pPr>
    </w:p>
    <w:p w:rsidR="004C025A" w:rsidRPr="00A37CB4" w:rsidRDefault="004C025A" w:rsidP="00446F07">
      <w:pPr>
        <w:pStyle w:val="RedNomDoc"/>
        <w:keepNext/>
        <w:widowControl/>
        <w:jc w:val="both"/>
        <w:rPr>
          <w:rFonts w:ascii="Calibri" w:hAnsi="Calibri" w:cs="Times New Roman"/>
          <w:bCs w:val="0"/>
          <w:color w:val="2F4F9D"/>
          <w:sz w:val="28"/>
          <w:szCs w:val="28"/>
          <w:lang w:eastAsia="en-US"/>
        </w:rPr>
      </w:pPr>
      <w:r w:rsidRPr="00A37CB4">
        <w:rPr>
          <w:rFonts w:ascii="Calibri" w:hAnsi="Calibri" w:cs="Times New Roman"/>
          <w:bCs w:val="0"/>
          <w:color w:val="2F4F9D"/>
          <w:sz w:val="28"/>
          <w:szCs w:val="28"/>
          <w:lang w:eastAsia="en-US"/>
        </w:rPr>
        <w:t>Consignes pour remplir le présent document</w:t>
      </w:r>
    </w:p>
    <w:p w:rsidR="004C025A" w:rsidRPr="004F354F" w:rsidRDefault="004C025A" w:rsidP="00446F07">
      <w:pPr>
        <w:widowControl/>
        <w:tabs>
          <w:tab w:val="left" w:pos="432"/>
        </w:tabs>
        <w:autoSpaceDE/>
        <w:autoSpaceDN/>
        <w:jc w:val="both"/>
        <w:rPr>
          <w:rFonts w:ascii="Arial" w:hAnsi="Arial" w:cs="Arial"/>
          <w:sz w:val="18"/>
          <w:szCs w:val="18"/>
        </w:rPr>
      </w:pPr>
    </w:p>
    <w:p w:rsidR="004C025A" w:rsidRPr="004F354F" w:rsidRDefault="004C025A" w:rsidP="00446F07">
      <w:pPr>
        <w:widowControl/>
        <w:tabs>
          <w:tab w:val="left" w:pos="432"/>
        </w:tabs>
        <w:autoSpaceDE/>
        <w:autoSpaceDN/>
        <w:jc w:val="both"/>
        <w:rPr>
          <w:rFonts w:ascii="Arial" w:hAnsi="Arial" w:cs="Arial"/>
          <w:sz w:val="18"/>
          <w:szCs w:val="18"/>
        </w:rPr>
      </w:pPr>
      <w:r w:rsidRPr="004F354F">
        <w:rPr>
          <w:rFonts w:ascii="Arial" w:hAnsi="Arial" w:cs="Arial"/>
          <w:sz w:val="18"/>
          <w:szCs w:val="18"/>
        </w:rPr>
        <w:t xml:space="preserve">Le candidat devra remplir intégralement chaque rubrique du présent cadre de réponse technique en apportant une réponse rédigée et adaptée au présent marché sans procéder seulement à un renvoi systématique à un document annexe. </w:t>
      </w:r>
    </w:p>
    <w:p w:rsidR="004C025A" w:rsidRPr="004F354F" w:rsidRDefault="004C025A" w:rsidP="00446F07">
      <w:pPr>
        <w:widowControl/>
        <w:tabs>
          <w:tab w:val="left" w:pos="432"/>
        </w:tabs>
        <w:autoSpaceDE/>
        <w:autoSpaceDN/>
        <w:jc w:val="both"/>
        <w:rPr>
          <w:rFonts w:ascii="Arial" w:hAnsi="Arial" w:cs="Arial"/>
          <w:sz w:val="18"/>
          <w:szCs w:val="18"/>
        </w:rPr>
      </w:pPr>
    </w:p>
    <w:p w:rsidR="004C025A" w:rsidRDefault="004C025A" w:rsidP="00446F07">
      <w:pPr>
        <w:widowControl/>
        <w:tabs>
          <w:tab w:val="left" w:pos="432"/>
        </w:tabs>
        <w:autoSpaceDE/>
        <w:autoSpaceDN/>
        <w:jc w:val="both"/>
        <w:rPr>
          <w:rFonts w:ascii="Arial" w:hAnsi="Arial" w:cs="Arial"/>
          <w:sz w:val="18"/>
          <w:szCs w:val="18"/>
        </w:rPr>
      </w:pPr>
      <w:r w:rsidRPr="004F354F">
        <w:rPr>
          <w:rFonts w:ascii="Arial" w:hAnsi="Arial" w:cs="Arial"/>
          <w:sz w:val="18"/>
          <w:szCs w:val="18"/>
        </w:rPr>
        <w:t>Les éléments inscrits ci-dessous engagent les candidats pour la durée du marché. En cas de modifications, un accord devra être trouvé entre les différentes parties au marché et formalisé par le biais d’un avenant.</w:t>
      </w:r>
    </w:p>
    <w:p w:rsidR="004F354F" w:rsidRDefault="004F354F" w:rsidP="00446F07">
      <w:pPr>
        <w:widowControl/>
        <w:tabs>
          <w:tab w:val="left" w:pos="432"/>
        </w:tabs>
        <w:autoSpaceDE/>
        <w:autoSpaceDN/>
        <w:jc w:val="both"/>
        <w:rPr>
          <w:rFonts w:ascii="Arial" w:hAnsi="Arial" w:cs="Arial"/>
          <w:sz w:val="18"/>
          <w:szCs w:val="18"/>
        </w:rPr>
      </w:pPr>
    </w:p>
    <w:p w:rsidR="004F354F" w:rsidRPr="004F354F" w:rsidRDefault="004F354F" w:rsidP="00446F07">
      <w:pPr>
        <w:widowControl/>
        <w:tabs>
          <w:tab w:val="left" w:pos="432"/>
        </w:tabs>
        <w:autoSpaceDE/>
        <w:autoSpaceDN/>
        <w:jc w:val="both"/>
        <w:rPr>
          <w:rFonts w:ascii="Arial" w:hAnsi="Arial" w:cs="Arial"/>
          <w:sz w:val="18"/>
          <w:szCs w:val="18"/>
        </w:rPr>
      </w:pPr>
      <w:bookmarkStart w:id="1" w:name="_GoBack"/>
      <w:bookmarkEnd w:id="1"/>
    </w:p>
    <w:p w:rsidR="004C025A" w:rsidRPr="004F354F" w:rsidRDefault="004C025A" w:rsidP="00446F07">
      <w:pPr>
        <w:widowControl/>
        <w:tabs>
          <w:tab w:val="left" w:pos="432"/>
        </w:tabs>
        <w:autoSpaceDE/>
        <w:autoSpaceDN/>
        <w:jc w:val="both"/>
        <w:rPr>
          <w:rFonts w:ascii="Arial" w:hAnsi="Arial" w:cs="Arial"/>
          <w:sz w:val="18"/>
          <w:szCs w:val="18"/>
        </w:rPr>
      </w:pPr>
    </w:p>
    <w:p w:rsidR="004C025A" w:rsidRPr="004F354F" w:rsidRDefault="004C025A" w:rsidP="00446F07">
      <w:pPr>
        <w:pStyle w:val="RedNomDoc"/>
        <w:keepNext/>
        <w:widowControl/>
        <w:numPr>
          <w:ilvl w:val="0"/>
          <w:numId w:val="1"/>
        </w:numPr>
        <w:jc w:val="both"/>
        <w:rPr>
          <w:bCs w:val="0"/>
          <w:sz w:val="18"/>
          <w:szCs w:val="18"/>
        </w:rPr>
      </w:pPr>
      <w:r w:rsidRPr="004F354F">
        <w:rPr>
          <w:b w:val="0"/>
          <w:sz w:val="18"/>
          <w:szCs w:val="18"/>
        </w:rPr>
        <w:br w:type="page"/>
      </w:r>
    </w:p>
    <w:p w:rsidR="004C025A" w:rsidRPr="004F354F" w:rsidRDefault="004C025A" w:rsidP="00446F07">
      <w:pPr>
        <w:pStyle w:val="RedNomDoc"/>
        <w:keepNext/>
        <w:widowControl/>
        <w:jc w:val="both"/>
        <w:rPr>
          <w:sz w:val="18"/>
          <w:szCs w:val="18"/>
        </w:rPr>
      </w:pPr>
    </w:p>
    <w:p w:rsidR="006B1FC4" w:rsidRPr="004F354F" w:rsidRDefault="006B1FC4" w:rsidP="00446F07">
      <w:pPr>
        <w:jc w:val="both"/>
        <w:rPr>
          <w:rFonts w:ascii="Arial" w:hAnsi="Arial" w:cs="Arial"/>
          <w:bCs/>
          <w:sz w:val="18"/>
          <w:szCs w:val="18"/>
        </w:rPr>
      </w:pPr>
      <w:r w:rsidRPr="004F354F">
        <w:rPr>
          <w:rFonts w:ascii="Arial" w:hAnsi="Arial" w:cs="Arial"/>
          <w:bCs/>
          <w:sz w:val="18"/>
          <w:szCs w:val="18"/>
        </w:rPr>
        <w:t>1 - Présentation du candidat</w:t>
      </w:r>
    </w:p>
    <w:p w:rsidR="006B1FC4" w:rsidRPr="004F354F" w:rsidRDefault="006B1FC4" w:rsidP="00446F07">
      <w:pPr>
        <w:ind w:left="142" w:hanging="142"/>
        <w:jc w:val="both"/>
        <w:rPr>
          <w:rFonts w:ascii="Arial" w:hAnsi="Arial" w:cs="Arial"/>
          <w:bCs/>
          <w:sz w:val="18"/>
          <w:szCs w:val="18"/>
        </w:rPr>
      </w:pPr>
    </w:p>
    <w:p w:rsidR="006B1FC4" w:rsidRPr="004F354F" w:rsidRDefault="006B1FC4" w:rsidP="00446F07">
      <w:pPr>
        <w:widowControl/>
        <w:numPr>
          <w:ilvl w:val="0"/>
          <w:numId w:val="3"/>
        </w:numPr>
        <w:autoSpaceDE/>
        <w:autoSpaceDN/>
        <w:ind w:left="142" w:hanging="142"/>
        <w:jc w:val="both"/>
        <w:rPr>
          <w:rFonts w:ascii="Arial" w:hAnsi="Arial" w:cs="Arial"/>
          <w:bCs/>
          <w:sz w:val="18"/>
          <w:szCs w:val="18"/>
        </w:rPr>
      </w:pPr>
      <w:r w:rsidRPr="004F354F">
        <w:rPr>
          <w:rFonts w:ascii="Arial" w:hAnsi="Arial" w:cs="Arial"/>
          <w:bCs/>
          <w:sz w:val="18"/>
          <w:szCs w:val="18"/>
        </w:rPr>
        <w:t xml:space="preserve">Coordonnées précises de la / les société(s) / agence(s) (adresse, </w:t>
      </w:r>
      <w:r w:rsidR="004F354F" w:rsidRPr="004F354F">
        <w:rPr>
          <w:rFonts w:ascii="Arial" w:hAnsi="Arial" w:cs="Arial"/>
          <w:bCs/>
          <w:sz w:val="18"/>
          <w:szCs w:val="18"/>
        </w:rPr>
        <w:t>téléphone…</w:t>
      </w:r>
      <w:r w:rsidRPr="004F354F">
        <w:rPr>
          <w:rFonts w:ascii="Arial" w:hAnsi="Arial" w:cs="Arial"/>
          <w:bCs/>
          <w:sz w:val="18"/>
          <w:szCs w:val="18"/>
        </w:rPr>
        <w:t>) en charge du marché</w:t>
      </w:r>
    </w:p>
    <w:p w:rsidR="006B1FC4" w:rsidRPr="004F354F" w:rsidRDefault="006B1FC4" w:rsidP="00446F07">
      <w:pPr>
        <w:widowControl/>
        <w:numPr>
          <w:ilvl w:val="0"/>
          <w:numId w:val="3"/>
        </w:numPr>
        <w:autoSpaceDE/>
        <w:autoSpaceDN/>
        <w:ind w:left="142" w:hanging="142"/>
        <w:jc w:val="both"/>
        <w:rPr>
          <w:rFonts w:ascii="Arial" w:hAnsi="Arial" w:cs="Arial"/>
          <w:bCs/>
          <w:sz w:val="18"/>
          <w:szCs w:val="18"/>
        </w:rPr>
      </w:pPr>
      <w:r w:rsidRPr="004F354F">
        <w:rPr>
          <w:rFonts w:ascii="Arial" w:hAnsi="Arial" w:cs="Arial"/>
          <w:bCs/>
          <w:sz w:val="18"/>
          <w:szCs w:val="18"/>
        </w:rPr>
        <w:t>Identification du / des responsable(s) de la / les société(s) en charge du marché avec ses coordonnées complètes</w:t>
      </w:r>
    </w:p>
    <w:p w:rsidR="006B1FC4" w:rsidRPr="004F354F" w:rsidRDefault="006B1FC4" w:rsidP="00446F07">
      <w:pPr>
        <w:widowControl/>
        <w:numPr>
          <w:ilvl w:val="0"/>
          <w:numId w:val="3"/>
        </w:numPr>
        <w:autoSpaceDE/>
        <w:autoSpaceDN/>
        <w:ind w:left="142" w:hanging="142"/>
        <w:jc w:val="both"/>
        <w:rPr>
          <w:rFonts w:ascii="Arial" w:hAnsi="Arial" w:cs="Arial"/>
          <w:bCs/>
          <w:sz w:val="18"/>
          <w:szCs w:val="18"/>
        </w:rPr>
      </w:pPr>
      <w:r w:rsidRPr="004F354F">
        <w:rPr>
          <w:rFonts w:ascii="Arial" w:hAnsi="Arial" w:cs="Arial"/>
          <w:bCs/>
          <w:sz w:val="18"/>
          <w:szCs w:val="18"/>
        </w:rPr>
        <w:t>Organisation et description de l'équipe de la / les société(s) en charge du marché</w:t>
      </w:r>
    </w:p>
    <w:p w:rsidR="006B1FC4" w:rsidRPr="004F354F" w:rsidRDefault="006B1FC4" w:rsidP="00446F07">
      <w:pPr>
        <w:widowControl/>
        <w:numPr>
          <w:ilvl w:val="0"/>
          <w:numId w:val="3"/>
        </w:numPr>
        <w:autoSpaceDE/>
        <w:autoSpaceDN/>
        <w:ind w:left="142" w:hanging="142"/>
        <w:jc w:val="both"/>
        <w:rPr>
          <w:rFonts w:ascii="Arial" w:hAnsi="Arial" w:cs="Arial"/>
          <w:bCs/>
          <w:sz w:val="18"/>
          <w:szCs w:val="18"/>
        </w:rPr>
      </w:pPr>
      <w:r w:rsidRPr="004F354F">
        <w:rPr>
          <w:rFonts w:ascii="Arial" w:hAnsi="Arial" w:cs="Arial"/>
          <w:bCs/>
          <w:sz w:val="18"/>
          <w:szCs w:val="18"/>
        </w:rPr>
        <w:t>Identification d'un référent au sein de la / les société(s) en charge du marché pour le suivi du dossier avec ses coordonnées complètes</w:t>
      </w:r>
    </w:p>
    <w:p w:rsidR="006B1FC4" w:rsidRPr="004F354F" w:rsidRDefault="006B1FC4" w:rsidP="00446F07">
      <w:pPr>
        <w:widowControl/>
        <w:numPr>
          <w:ilvl w:val="0"/>
          <w:numId w:val="3"/>
        </w:numPr>
        <w:autoSpaceDE/>
        <w:autoSpaceDN/>
        <w:ind w:left="142" w:hanging="142"/>
        <w:jc w:val="both"/>
        <w:rPr>
          <w:rFonts w:ascii="Arial" w:hAnsi="Arial" w:cs="Arial"/>
          <w:bCs/>
          <w:sz w:val="18"/>
          <w:szCs w:val="18"/>
        </w:rPr>
      </w:pPr>
      <w:r w:rsidRPr="004F354F">
        <w:rPr>
          <w:rFonts w:ascii="Arial" w:hAnsi="Arial" w:cs="Arial"/>
          <w:bCs/>
          <w:sz w:val="18"/>
          <w:szCs w:val="18"/>
        </w:rPr>
        <w:t xml:space="preserve">Adresse mail sur laquelle les documents et/ou la transmission d’informations doivent être envoyés </w:t>
      </w:r>
    </w:p>
    <w:p w:rsidR="006B1FC4" w:rsidRPr="004F354F" w:rsidRDefault="006B1FC4" w:rsidP="00446F07">
      <w:pPr>
        <w:widowControl/>
        <w:numPr>
          <w:ilvl w:val="0"/>
          <w:numId w:val="3"/>
        </w:numPr>
        <w:autoSpaceDE/>
        <w:autoSpaceDN/>
        <w:ind w:left="142" w:hanging="142"/>
        <w:jc w:val="both"/>
        <w:rPr>
          <w:rFonts w:ascii="Arial" w:hAnsi="Arial" w:cs="Arial"/>
          <w:bCs/>
          <w:sz w:val="18"/>
          <w:szCs w:val="18"/>
        </w:rPr>
      </w:pPr>
      <w:r w:rsidRPr="004F354F">
        <w:rPr>
          <w:rFonts w:ascii="Arial" w:hAnsi="Arial" w:cs="Arial"/>
          <w:bCs/>
          <w:sz w:val="18"/>
          <w:szCs w:val="18"/>
        </w:rPr>
        <w:t>Jours et horaires d'ouverture de la / les société(s) en charge du marché</w:t>
      </w:r>
    </w:p>
    <w:p w:rsidR="006B1FC4" w:rsidRPr="004F354F" w:rsidRDefault="006B1FC4" w:rsidP="00446F07">
      <w:pPr>
        <w:widowControl/>
        <w:autoSpaceDE/>
        <w:autoSpaceDN/>
        <w:jc w:val="both"/>
        <w:rPr>
          <w:rFonts w:ascii="Arial" w:hAnsi="Arial" w:cs="Arial"/>
          <w:bCs/>
          <w:sz w:val="18"/>
          <w:szCs w:val="18"/>
        </w:rPr>
      </w:pPr>
    </w:p>
    <w:p w:rsidR="00446F07" w:rsidRDefault="00446F07" w:rsidP="00446F07">
      <w:pPr>
        <w:jc w:val="both"/>
        <w:rPr>
          <w:rFonts w:ascii="Arial" w:hAnsi="Arial" w:cs="Arial"/>
          <w:bCs/>
          <w:sz w:val="18"/>
        </w:rPr>
      </w:pPr>
      <w:r>
        <w:rPr>
          <w:rFonts w:ascii="Arial" w:hAnsi="Arial" w:cs="Arial"/>
          <w:bCs/>
          <w:sz w:val="18"/>
        </w:rPr>
        <w:t>2</w:t>
      </w:r>
      <w:r w:rsidRPr="004F354F">
        <w:rPr>
          <w:rFonts w:ascii="Arial" w:hAnsi="Arial" w:cs="Arial"/>
          <w:bCs/>
          <w:sz w:val="18"/>
        </w:rPr>
        <w:t xml:space="preserve"> - Description de la procédure de dépannage et d’astreinte</w:t>
      </w:r>
    </w:p>
    <w:p w:rsidR="00446F07" w:rsidRDefault="00446F07" w:rsidP="00446F07">
      <w:pPr>
        <w:jc w:val="both"/>
        <w:rPr>
          <w:rFonts w:ascii="Arial" w:hAnsi="Arial" w:cs="Arial"/>
          <w:bCs/>
          <w:sz w:val="18"/>
        </w:rPr>
      </w:pPr>
    </w:p>
    <w:tbl>
      <w:tblPr>
        <w:tblStyle w:val="Grilledutableau"/>
        <w:tblW w:w="0" w:type="auto"/>
        <w:tblLook w:val="04A0" w:firstRow="1" w:lastRow="0" w:firstColumn="1" w:lastColumn="0" w:noHBand="0" w:noVBand="1"/>
      </w:tblPr>
      <w:tblGrid>
        <w:gridCol w:w="8280"/>
        <w:gridCol w:w="695"/>
        <w:gridCol w:w="653"/>
      </w:tblGrid>
      <w:tr w:rsidR="002215CE" w:rsidTr="002215CE">
        <w:tc>
          <w:tcPr>
            <w:tcW w:w="8897" w:type="dxa"/>
            <w:shd w:val="clear" w:color="auto" w:fill="D9D9D9" w:themeFill="background1" w:themeFillShade="D9"/>
          </w:tcPr>
          <w:p w:rsidR="002215CE" w:rsidRDefault="002215CE" w:rsidP="00446F07">
            <w:pPr>
              <w:jc w:val="both"/>
              <w:rPr>
                <w:rFonts w:ascii="Arial" w:hAnsi="Arial" w:cs="Arial"/>
                <w:bCs/>
                <w:sz w:val="18"/>
              </w:rPr>
            </w:pPr>
            <w:r>
              <w:rPr>
                <w:rFonts w:ascii="Arial" w:hAnsi="Arial" w:cs="Arial"/>
                <w:bCs/>
                <w:sz w:val="18"/>
              </w:rPr>
              <w:t>QUESTIONS</w:t>
            </w:r>
          </w:p>
        </w:tc>
        <w:tc>
          <w:tcPr>
            <w:tcW w:w="709" w:type="dxa"/>
            <w:shd w:val="clear" w:color="auto" w:fill="D9D9D9" w:themeFill="background1" w:themeFillShade="D9"/>
          </w:tcPr>
          <w:p w:rsidR="002215CE" w:rsidRDefault="002215CE" w:rsidP="00446F07">
            <w:pPr>
              <w:jc w:val="both"/>
              <w:rPr>
                <w:rFonts w:ascii="Arial" w:hAnsi="Arial" w:cs="Arial"/>
                <w:bCs/>
                <w:sz w:val="18"/>
              </w:rPr>
            </w:pPr>
            <w:r>
              <w:rPr>
                <w:rFonts w:ascii="Arial" w:hAnsi="Arial" w:cs="Arial"/>
                <w:bCs/>
                <w:sz w:val="18"/>
              </w:rPr>
              <w:t>OUI</w:t>
            </w:r>
          </w:p>
        </w:tc>
        <w:tc>
          <w:tcPr>
            <w:tcW w:w="656" w:type="dxa"/>
            <w:shd w:val="clear" w:color="auto" w:fill="D9D9D9" w:themeFill="background1" w:themeFillShade="D9"/>
          </w:tcPr>
          <w:p w:rsidR="002215CE" w:rsidRDefault="002215CE" w:rsidP="00446F07">
            <w:pPr>
              <w:jc w:val="both"/>
              <w:rPr>
                <w:rFonts w:ascii="Arial" w:hAnsi="Arial" w:cs="Arial"/>
                <w:bCs/>
                <w:sz w:val="18"/>
              </w:rPr>
            </w:pPr>
            <w:r>
              <w:rPr>
                <w:rFonts w:ascii="Arial" w:hAnsi="Arial" w:cs="Arial"/>
                <w:bCs/>
                <w:sz w:val="18"/>
              </w:rPr>
              <w:t>NON</w:t>
            </w:r>
          </w:p>
        </w:tc>
      </w:tr>
      <w:tr w:rsidR="002215CE" w:rsidTr="002215CE">
        <w:tc>
          <w:tcPr>
            <w:tcW w:w="8897" w:type="dxa"/>
          </w:tcPr>
          <w:p w:rsidR="002215CE" w:rsidRDefault="002215CE" w:rsidP="00446F07">
            <w:pPr>
              <w:jc w:val="both"/>
              <w:rPr>
                <w:rFonts w:ascii="Arial" w:hAnsi="Arial" w:cs="Arial"/>
                <w:bCs/>
                <w:sz w:val="18"/>
              </w:rPr>
            </w:pPr>
            <w:r>
              <w:rPr>
                <w:rFonts w:ascii="Arial" w:hAnsi="Arial" w:cs="Arial"/>
                <w:bCs/>
                <w:sz w:val="18"/>
              </w:rPr>
              <w:t>Possibilité de 5 000 utilisateurs dans la mémoire d’une UTL</w:t>
            </w:r>
          </w:p>
        </w:tc>
        <w:tc>
          <w:tcPr>
            <w:tcW w:w="709" w:type="dxa"/>
          </w:tcPr>
          <w:p w:rsidR="002215CE" w:rsidRDefault="002215CE" w:rsidP="00446F07">
            <w:pPr>
              <w:jc w:val="both"/>
              <w:rPr>
                <w:rFonts w:ascii="Arial" w:hAnsi="Arial" w:cs="Arial"/>
                <w:bCs/>
                <w:sz w:val="18"/>
              </w:rPr>
            </w:pPr>
          </w:p>
        </w:tc>
        <w:tc>
          <w:tcPr>
            <w:tcW w:w="656" w:type="dxa"/>
          </w:tcPr>
          <w:p w:rsidR="002215CE" w:rsidRDefault="002215CE" w:rsidP="00446F07">
            <w:pPr>
              <w:jc w:val="both"/>
              <w:rPr>
                <w:rFonts w:ascii="Arial" w:hAnsi="Arial" w:cs="Arial"/>
                <w:bCs/>
                <w:sz w:val="18"/>
              </w:rPr>
            </w:pPr>
          </w:p>
        </w:tc>
      </w:tr>
      <w:tr w:rsidR="002215CE" w:rsidTr="002215CE">
        <w:tc>
          <w:tcPr>
            <w:tcW w:w="8897" w:type="dxa"/>
          </w:tcPr>
          <w:p w:rsidR="002215CE" w:rsidRDefault="002215CE" w:rsidP="00446F07">
            <w:pPr>
              <w:jc w:val="both"/>
              <w:rPr>
                <w:rFonts w:ascii="Arial" w:hAnsi="Arial" w:cs="Arial"/>
                <w:bCs/>
                <w:sz w:val="18"/>
              </w:rPr>
            </w:pPr>
            <w:r>
              <w:rPr>
                <w:rFonts w:ascii="Arial" w:hAnsi="Arial" w:cs="Arial"/>
                <w:bCs/>
                <w:sz w:val="18"/>
              </w:rPr>
              <w:t>Possibilit</w:t>
            </w:r>
            <w:r w:rsidR="00EF3E7C">
              <w:rPr>
                <w:rFonts w:ascii="Arial" w:hAnsi="Arial" w:cs="Arial"/>
                <w:bCs/>
                <w:sz w:val="18"/>
              </w:rPr>
              <w:t>é</w:t>
            </w:r>
            <w:r>
              <w:rPr>
                <w:rFonts w:ascii="Arial" w:hAnsi="Arial" w:cs="Arial"/>
                <w:bCs/>
                <w:sz w:val="18"/>
              </w:rPr>
              <w:t xml:space="preserve"> d’identification biométrique d’un utilisateur</w:t>
            </w:r>
          </w:p>
        </w:tc>
        <w:tc>
          <w:tcPr>
            <w:tcW w:w="709" w:type="dxa"/>
          </w:tcPr>
          <w:p w:rsidR="002215CE" w:rsidRDefault="002215CE" w:rsidP="00446F07">
            <w:pPr>
              <w:jc w:val="both"/>
              <w:rPr>
                <w:rFonts w:ascii="Arial" w:hAnsi="Arial" w:cs="Arial"/>
                <w:bCs/>
                <w:sz w:val="18"/>
              </w:rPr>
            </w:pPr>
          </w:p>
        </w:tc>
        <w:tc>
          <w:tcPr>
            <w:tcW w:w="656" w:type="dxa"/>
          </w:tcPr>
          <w:p w:rsidR="002215CE" w:rsidRDefault="002215CE" w:rsidP="00446F07">
            <w:pPr>
              <w:jc w:val="both"/>
              <w:rPr>
                <w:rFonts w:ascii="Arial" w:hAnsi="Arial" w:cs="Arial"/>
                <w:bCs/>
                <w:sz w:val="18"/>
              </w:rPr>
            </w:pPr>
          </w:p>
        </w:tc>
      </w:tr>
      <w:tr w:rsidR="002215CE" w:rsidTr="002215CE">
        <w:tc>
          <w:tcPr>
            <w:tcW w:w="8897" w:type="dxa"/>
          </w:tcPr>
          <w:p w:rsidR="002215CE" w:rsidRDefault="002215CE" w:rsidP="00446F07">
            <w:pPr>
              <w:jc w:val="both"/>
              <w:rPr>
                <w:rFonts w:ascii="Arial" w:hAnsi="Arial" w:cs="Arial"/>
                <w:bCs/>
                <w:sz w:val="18"/>
              </w:rPr>
            </w:pPr>
            <w:r>
              <w:rPr>
                <w:rFonts w:ascii="Arial" w:hAnsi="Arial" w:cs="Arial"/>
                <w:bCs/>
                <w:sz w:val="18"/>
              </w:rPr>
              <w:t xml:space="preserve">Possibilité d’utiliser des badges RFID 37 bits – 13.56 Mhz </w:t>
            </w:r>
            <w:proofErr w:type="spellStart"/>
            <w:r>
              <w:rPr>
                <w:rFonts w:ascii="Arial" w:hAnsi="Arial" w:cs="Arial"/>
                <w:bCs/>
                <w:sz w:val="18"/>
              </w:rPr>
              <w:t>Desfire</w:t>
            </w:r>
            <w:proofErr w:type="spellEnd"/>
          </w:p>
        </w:tc>
        <w:tc>
          <w:tcPr>
            <w:tcW w:w="709" w:type="dxa"/>
          </w:tcPr>
          <w:p w:rsidR="002215CE" w:rsidRDefault="002215CE" w:rsidP="00446F07">
            <w:pPr>
              <w:jc w:val="both"/>
              <w:rPr>
                <w:rFonts w:ascii="Arial" w:hAnsi="Arial" w:cs="Arial"/>
                <w:bCs/>
                <w:sz w:val="18"/>
              </w:rPr>
            </w:pPr>
          </w:p>
        </w:tc>
        <w:tc>
          <w:tcPr>
            <w:tcW w:w="656" w:type="dxa"/>
          </w:tcPr>
          <w:p w:rsidR="002215CE" w:rsidRDefault="002215CE" w:rsidP="00446F07">
            <w:pPr>
              <w:jc w:val="both"/>
              <w:rPr>
                <w:rFonts w:ascii="Arial" w:hAnsi="Arial" w:cs="Arial"/>
                <w:bCs/>
                <w:sz w:val="18"/>
              </w:rPr>
            </w:pPr>
          </w:p>
        </w:tc>
      </w:tr>
      <w:tr w:rsidR="002215CE" w:rsidTr="002215CE">
        <w:tc>
          <w:tcPr>
            <w:tcW w:w="8897" w:type="dxa"/>
          </w:tcPr>
          <w:p w:rsidR="002215CE" w:rsidRDefault="00EF3E7C" w:rsidP="00446F07">
            <w:pPr>
              <w:jc w:val="both"/>
              <w:rPr>
                <w:rFonts w:ascii="Arial" w:hAnsi="Arial" w:cs="Arial"/>
                <w:bCs/>
                <w:sz w:val="18"/>
              </w:rPr>
            </w:pPr>
            <w:r>
              <w:rPr>
                <w:rFonts w:ascii="Arial" w:hAnsi="Arial" w:cs="Arial"/>
                <w:bCs/>
                <w:sz w:val="18"/>
              </w:rPr>
              <w:t>Possibilité d’utiliser des badges CPS (Professionnels de Santé)</w:t>
            </w:r>
          </w:p>
        </w:tc>
        <w:tc>
          <w:tcPr>
            <w:tcW w:w="709" w:type="dxa"/>
          </w:tcPr>
          <w:p w:rsidR="002215CE" w:rsidRDefault="002215CE" w:rsidP="00446F07">
            <w:pPr>
              <w:jc w:val="both"/>
              <w:rPr>
                <w:rFonts w:ascii="Arial" w:hAnsi="Arial" w:cs="Arial"/>
                <w:bCs/>
                <w:sz w:val="18"/>
              </w:rPr>
            </w:pPr>
          </w:p>
        </w:tc>
        <w:tc>
          <w:tcPr>
            <w:tcW w:w="656" w:type="dxa"/>
          </w:tcPr>
          <w:p w:rsidR="002215CE" w:rsidRDefault="002215CE" w:rsidP="00446F07">
            <w:pPr>
              <w:jc w:val="both"/>
              <w:rPr>
                <w:rFonts w:ascii="Arial" w:hAnsi="Arial" w:cs="Arial"/>
                <w:bCs/>
                <w:sz w:val="18"/>
              </w:rPr>
            </w:pPr>
          </w:p>
        </w:tc>
      </w:tr>
      <w:tr w:rsidR="002215CE" w:rsidTr="002215CE">
        <w:tc>
          <w:tcPr>
            <w:tcW w:w="8897" w:type="dxa"/>
          </w:tcPr>
          <w:p w:rsidR="002215CE" w:rsidRDefault="00EF3E7C" w:rsidP="00446F07">
            <w:pPr>
              <w:jc w:val="both"/>
              <w:rPr>
                <w:rFonts w:ascii="Arial" w:hAnsi="Arial" w:cs="Arial"/>
                <w:bCs/>
                <w:sz w:val="18"/>
              </w:rPr>
            </w:pPr>
            <w:r>
              <w:rPr>
                <w:rFonts w:ascii="Arial" w:hAnsi="Arial" w:cs="Arial"/>
                <w:bCs/>
                <w:sz w:val="18"/>
              </w:rPr>
              <w:t>Possibilité d’utiliser des lecteurs de badges + codes individuels</w:t>
            </w:r>
          </w:p>
        </w:tc>
        <w:tc>
          <w:tcPr>
            <w:tcW w:w="709" w:type="dxa"/>
          </w:tcPr>
          <w:p w:rsidR="002215CE" w:rsidRDefault="002215CE" w:rsidP="00446F07">
            <w:pPr>
              <w:jc w:val="both"/>
              <w:rPr>
                <w:rFonts w:ascii="Arial" w:hAnsi="Arial" w:cs="Arial"/>
                <w:bCs/>
                <w:sz w:val="18"/>
              </w:rPr>
            </w:pPr>
          </w:p>
        </w:tc>
        <w:tc>
          <w:tcPr>
            <w:tcW w:w="656" w:type="dxa"/>
          </w:tcPr>
          <w:p w:rsidR="002215CE" w:rsidRDefault="002215CE" w:rsidP="00446F07">
            <w:pPr>
              <w:jc w:val="both"/>
              <w:rPr>
                <w:rFonts w:ascii="Arial" w:hAnsi="Arial" w:cs="Arial"/>
                <w:bCs/>
                <w:sz w:val="18"/>
              </w:rPr>
            </w:pPr>
          </w:p>
        </w:tc>
      </w:tr>
      <w:tr w:rsidR="00275995" w:rsidTr="002215CE">
        <w:tc>
          <w:tcPr>
            <w:tcW w:w="8897" w:type="dxa"/>
          </w:tcPr>
          <w:p w:rsidR="00275995" w:rsidRPr="00292D4C" w:rsidRDefault="00275995" w:rsidP="00292D4C">
            <w:r>
              <w:t>Possibilité d’utiliser des poignées connectées avec ou sans codes individuels</w:t>
            </w:r>
          </w:p>
        </w:tc>
        <w:tc>
          <w:tcPr>
            <w:tcW w:w="709" w:type="dxa"/>
          </w:tcPr>
          <w:p w:rsidR="00275995" w:rsidRDefault="00275995" w:rsidP="00446F07">
            <w:pPr>
              <w:jc w:val="both"/>
              <w:rPr>
                <w:rFonts w:ascii="Arial" w:hAnsi="Arial" w:cs="Arial"/>
                <w:bCs/>
                <w:sz w:val="18"/>
              </w:rPr>
            </w:pPr>
          </w:p>
        </w:tc>
        <w:tc>
          <w:tcPr>
            <w:tcW w:w="656" w:type="dxa"/>
          </w:tcPr>
          <w:p w:rsidR="00275995" w:rsidRDefault="00275995" w:rsidP="00446F07">
            <w:pPr>
              <w:jc w:val="both"/>
              <w:rPr>
                <w:rFonts w:ascii="Arial" w:hAnsi="Arial" w:cs="Arial"/>
                <w:bCs/>
                <w:sz w:val="18"/>
              </w:rPr>
            </w:pPr>
          </w:p>
        </w:tc>
      </w:tr>
      <w:tr w:rsidR="002215CE" w:rsidTr="002215CE">
        <w:tc>
          <w:tcPr>
            <w:tcW w:w="8897" w:type="dxa"/>
          </w:tcPr>
          <w:p w:rsidR="002215CE" w:rsidRDefault="00EF3E7C" w:rsidP="00446F07">
            <w:pPr>
              <w:jc w:val="both"/>
              <w:rPr>
                <w:rFonts w:ascii="Arial" w:hAnsi="Arial" w:cs="Arial"/>
                <w:bCs/>
                <w:sz w:val="18"/>
              </w:rPr>
            </w:pPr>
            <w:r>
              <w:rPr>
                <w:rFonts w:ascii="Arial" w:hAnsi="Arial" w:cs="Arial"/>
                <w:bCs/>
                <w:sz w:val="18"/>
              </w:rPr>
              <w:t>Possibilité d’enchainement d’alarmes multimédia (mails, SMS, messages téléphoniques, diffusion vocale) suite à un état prédéterminé d’une lecture de badge et/ou une position de porte</w:t>
            </w:r>
          </w:p>
        </w:tc>
        <w:tc>
          <w:tcPr>
            <w:tcW w:w="709" w:type="dxa"/>
          </w:tcPr>
          <w:p w:rsidR="002215CE" w:rsidRDefault="002215CE" w:rsidP="00446F07">
            <w:pPr>
              <w:jc w:val="both"/>
              <w:rPr>
                <w:rFonts w:ascii="Arial" w:hAnsi="Arial" w:cs="Arial"/>
                <w:bCs/>
                <w:sz w:val="18"/>
              </w:rPr>
            </w:pPr>
          </w:p>
        </w:tc>
        <w:tc>
          <w:tcPr>
            <w:tcW w:w="656" w:type="dxa"/>
          </w:tcPr>
          <w:p w:rsidR="002215CE" w:rsidRDefault="002215CE" w:rsidP="00446F07">
            <w:pPr>
              <w:jc w:val="both"/>
              <w:rPr>
                <w:rFonts w:ascii="Arial" w:hAnsi="Arial" w:cs="Arial"/>
                <w:bCs/>
                <w:sz w:val="18"/>
              </w:rPr>
            </w:pPr>
          </w:p>
        </w:tc>
      </w:tr>
      <w:tr w:rsidR="002215CE" w:rsidTr="002215CE">
        <w:tc>
          <w:tcPr>
            <w:tcW w:w="8897" w:type="dxa"/>
          </w:tcPr>
          <w:p w:rsidR="002215CE" w:rsidRDefault="00EF3E7C" w:rsidP="00446F07">
            <w:pPr>
              <w:jc w:val="both"/>
              <w:rPr>
                <w:rFonts w:ascii="Arial" w:hAnsi="Arial" w:cs="Arial"/>
                <w:bCs/>
                <w:sz w:val="18"/>
              </w:rPr>
            </w:pPr>
            <w:r>
              <w:rPr>
                <w:rFonts w:ascii="Arial" w:hAnsi="Arial" w:cs="Arial"/>
                <w:bCs/>
                <w:sz w:val="18"/>
              </w:rPr>
              <w:t>Attribution d’un mode « PMR » à une ou plusieurs portes choisies</w:t>
            </w:r>
          </w:p>
        </w:tc>
        <w:tc>
          <w:tcPr>
            <w:tcW w:w="709" w:type="dxa"/>
          </w:tcPr>
          <w:p w:rsidR="002215CE" w:rsidRDefault="002215CE" w:rsidP="00446F07">
            <w:pPr>
              <w:jc w:val="both"/>
              <w:rPr>
                <w:rFonts w:ascii="Arial" w:hAnsi="Arial" w:cs="Arial"/>
                <w:bCs/>
                <w:sz w:val="18"/>
              </w:rPr>
            </w:pPr>
          </w:p>
        </w:tc>
        <w:tc>
          <w:tcPr>
            <w:tcW w:w="656" w:type="dxa"/>
          </w:tcPr>
          <w:p w:rsidR="002215CE" w:rsidRDefault="002215CE" w:rsidP="00446F07">
            <w:pPr>
              <w:jc w:val="both"/>
              <w:rPr>
                <w:rFonts w:ascii="Arial" w:hAnsi="Arial" w:cs="Arial"/>
                <w:bCs/>
                <w:sz w:val="18"/>
              </w:rPr>
            </w:pPr>
          </w:p>
        </w:tc>
      </w:tr>
      <w:tr w:rsidR="002215CE" w:rsidTr="002215CE">
        <w:tc>
          <w:tcPr>
            <w:tcW w:w="8897" w:type="dxa"/>
          </w:tcPr>
          <w:p w:rsidR="002215CE" w:rsidRDefault="00EF3E7C" w:rsidP="00446F07">
            <w:pPr>
              <w:jc w:val="both"/>
              <w:rPr>
                <w:rFonts w:ascii="Arial" w:hAnsi="Arial" w:cs="Arial"/>
                <w:bCs/>
                <w:sz w:val="18"/>
              </w:rPr>
            </w:pPr>
            <w:r>
              <w:rPr>
                <w:rFonts w:ascii="Arial" w:hAnsi="Arial" w:cs="Arial"/>
                <w:bCs/>
                <w:sz w:val="18"/>
              </w:rPr>
              <w:t>Attribution de la fonction « SAS » à un groupe de deux portes</w:t>
            </w:r>
          </w:p>
        </w:tc>
        <w:tc>
          <w:tcPr>
            <w:tcW w:w="709" w:type="dxa"/>
          </w:tcPr>
          <w:p w:rsidR="002215CE" w:rsidRDefault="002215CE" w:rsidP="00446F07">
            <w:pPr>
              <w:jc w:val="both"/>
              <w:rPr>
                <w:rFonts w:ascii="Arial" w:hAnsi="Arial" w:cs="Arial"/>
                <w:bCs/>
                <w:sz w:val="18"/>
              </w:rPr>
            </w:pPr>
          </w:p>
        </w:tc>
        <w:tc>
          <w:tcPr>
            <w:tcW w:w="656" w:type="dxa"/>
          </w:tcPr>
          <w:p w:rsidR="002215CE" w:rsidRDefault="002215CE" w:rsidP="00446F07">
            <w:pPr>
              <w:jc w:val="both"/>
              <w:rPr>
                <w:rFonts w:ascii="Arial" w:hAnsi="Arial" w:cs="Arial"/>
                <w:bCs/>
                <w:sz w:val="18"/>
              </w:rPr>
            </w:pPr>
          </w:p>
        </w:tc>
      </w:tr>
      <w:tr w:rsidR="002215CE" w:rsidTr="002215CE">
        <w:tc>
          <w:tcPr>
            <w:tcW w:w="8897" w:type="dxa"/>
          </w:tcPr>
          <w:p w:rsidR="002215CE" w:rsidRDefault="00EF3E7C" w:rsidP="00446F07">
            <w:pPr>
              <w:jc w:val="both"/>
              <w:rPr>
                <w:rFonts w:ascii="Arial" w:hAnsi="Arial" w:cs="Arial"/>
                <w:bCs/>
                <w:sz w:val="18"/>
              </w:rPr>
            </w:pPr>
            <w:r>
              <w:rPr>
                <w:rFonts w:ascii="Arial" w:hAnsi="Arial" w:cs="Arial"/>
                <w:bCs/>
                <w:sz w:val="18"/>
              </w:rPr>
              <w:t>Paramétrage et exploitation via un logiciel Web</w:t>
            </w:r>
          </w:p>
        </w:tc>
        <w:tc>
          <w:tcPr>
            <w:tcW w:w="709" w:type="dxa"/>
          </w:tcPr>
          <w:p w:rsidR="002215CE" w:rsidRDefault="002215CE" w:rsidP="00446F07">
            <w:pPr>
              <w:jc w:val="both"/>
              <w:rPr>
                <w:rFonts w:ascii="Arial" w:hAnsi="Arial" w:cs="Arial"/>
                <w:bCs/>
                <w:sz w:val="18"/>
              </w:rPr>
            </w:pPr>
          </w:p>
        </w:tc>
        <w:tc>
          <w:tcPr>
            <w:tcW w:w="656" w:type="dxa"/>
          </w:tcPr>
          <w:p w:rsidR="002215CE" w:rsidRDefault="002215CE" w:rsidP="00446F07">
            <w:pPr>
              <w:jc w:val="both"/>
              <w:rPr>
                <w:rFonts w:ascii="Arial" w:hAnsi="Arial" w:cs="Arial"/>
                <w:bCs/>
                <w:sz w:val="18"/>
              </w:rPr>
            </w:pPr>
          </w:p>
        </w:tc>
      </w:tr>
      <w:tr w:rsidR="002215CE" w:rsidTr="002215CE">
        <w:tc>
          <w:tcPr>
            <w:tcW w:w="8897" w:type="dxa"/>
          </w:tcPr>
          <w:p w:rsidR="002215CE" w:rsidRDefault="00EF3E7C" w:rsidP="00446F07">
            <w:pPr>
              <w:jc w:val="both"/>
              <w:rPr>
                <w:rFonts w:ascii="Arial" w:hAnsi="Arial" w:cs="Arial"/>
                <w:bCs/>
                <w:sz w:val="18"/>
              </w:rPr>
            </w:pPr>
            <w:r>
              <w:rPr>
                <w:rFonts w:ascii="Arial" w:hAnsi="Arial" w:cs="Arial"/>
                <w:bCs/>
                <w:sz w:val="18"/>
              </w:rPr>
              <w:t>L’interface d’enrôlement des badges peut-il être effectué par un logiciel Web</w:t>
            </w:r>
          </w:p>
        </w:tc>
        <w:tc>
          <w:tcPr>
            <w:tcW w:w="709" w:type="dxa"/>
          </w:tcPr>
          <w:p w:rsidR="002215CE" w:rsidRDefault="002215CE" w:rsidP="00446F07">
            <w:pPr>
              <w:jc w:val="both"/>
              <w:rPr>
                <w:rFonts w:ascii="Arial" w:hAnsi="Arial" w:cs="Arial"/>
                <w:bCs/>
                <w:sz w:val="18"/>
              </w:rPr>
            </w:pPr>
          </w:p>
        </w:tc>
        <w:tc>
          <w:tcPr>
            <w:tcW w:w="656" w:type="dxa"/>
          </w:tcPr>
          <w:p w:rsidR="002215CE" w:rsidRDefault="002215CE" w:rsidP="00446F07">
            <w:pPr>
              <w:jc w:val="both"/>
              <w:rPr>
                <w:rFonts w:ascii="Arial" w:hAnsi="Arial" w:cs="Arial"/>
                <w:bCs/>
                <w:sz w:val="18"/>
              </w:rPr>
            </w:pPr>
          </w:p>
        </w:tc>
      </w:tr>
      <w:tr w:rsidR="002215CE" w:rsidTr="002215CE">
        <w:tc>
          <w:tcPr>
            <w:tcW w:w="8897" w:type="dxa"/>
          </w:tcPr>
          <w:p w:rsidR="002215CE" w:rsidRDefault="00EF3E7C" w:rsidP="00446F07">
            <w:pPr>
              <w:jc w:val="both"/>
              <w:rPr>
                <w:rFonts w:ascii="Arial" w:hAnsi="Arial" w:cs="Arial"/>
                <w:bCs/>
                <w:sz w:val="18"/>
              </w:rPr>
            </w:pPr>
            <w:r>
              <w:rPr>
                <w:rFonts w:ascii="Arial" w:hAnsi="Arial" w:cs="Arial"/>
                <w:bCs/>
                <w:sz w:val="18"/>
              </w:rPr>
              <w:t>Les portes en détection d’intrusion pourront-elles être assujetties à des jours et horaires de surveillance</w:t>
            </w:r>
          </w:p>
        </w:tc>
        <w:tc>
          <w:tcPr>
            <w:tcW w:w="709" w:type="dxa"/>
          </w:tcPr>
          <w:p w:rsidR="002215CE" w:rsidRDefault="002215CE" w:rsidP="00446F07">
            <w:pPr>
              <w:jc w:val="both"/>
              <w:rPr>
                <w:rFonts w:ascii="Arial" w:hAnsi="Arial" w:cs="Arial"/>
                <w:bCs/>
                <w:sz w:val="18"/>
              </w:rPr>
            </w:pPr>
          </w:p>
        </w:tc>
        <w:tc>
          <w:tcPr>
            <w:tcW w:w="656" w:type="dxa"/>
          </w:tcPr>
          <w:p w:rsidR="002215CE" w:rsidRDefault="002215CE" w:rsidP="00446F07">
            <w:pPr>
              <w:jc w:val="both"/>
              <w:rPr>
                <w:rFonts w:ascii="Arial" w:hAnsi="Arial" w:cs="Arial"/>
                <w:bCs/>
                <w:sz w:val="18"/>
              </w:rPr>
            </w:pPr>
          </w:p>
        </w:tc>
      </w:tr>
      <w:tr w:rsidR="002215CE" w:rsidTr="002215CE">
        <w:tc>
          <w:tcPr>
            <w:tcW w:w="8897" w:type="dxa"/>
          </w:tcPr>
          <w:p w:rsidR="002215CE" w:rsidRDefault="00EF3E7C" w:rsidP="00446F07">
            <w:pPr>
              <w:jc w:val="both"/>
              <w:rPr>
                <w:rFonts w:ascii="Arial" w:hAnsi="Arial" w:cs="Arial"/>
                <w:bCs/>
                <w:sz w:val="18"/>
              </w:rPr>
            </w:pPr>
            <w:r>
              <w:rPr>
                <w:rFonts w:ascii="Arial" w:hAnsi="Arial" w:cs="Arial"/>
                <w:bCs/>
                <w:sz w:val="18"/>
              </w:rPr>
              <w:t xml:space="preserve">Une porte fracturée </w:t>
            </w:r>
            <w:r w:rsidR="00FA6E11">
              <w:rPr>
                <w:rFonts w:ascii="Arial" w:hAnsi="Arial" w:cs="Arial"/>
                <w:bCs/>
                <w:sz w:val="18"/>
              </w:rPr>
              <w:t>pourrait-elle</w:t>
            </w:r>
            <w:r>
              <w:rPr>
                <w:rFonts w:ascii="Arial" w:hAnsi="Arial" w:cs="Arial"/>
                <w:bCs/>
                <w:sz w:val="18"/>
              </w:rPr>
              <w:t xml:space="preserve"> donner lieu</w:t>
            </w:r>
            <w:r w:rsidR="00FA6E11">
              <w:rPr>
                <w:rFonts w:ascii="Arial" w:hAnsi="Arial" w:cs="Arial"/>
                <w:bCs/>
                <w:sz w:val="18"/>
              </w:rPr>
              <w:t xml:space="preserve"> à la vocalisation d’un message vocal en local et au PC de sécurité</w:t>
            </w:r>
          </w:p>
        </w:tc>
        <w:tc>
          <w:tcPr>
            <w:tcW w:w="709" w:type="dxa"/>
          </w:tcPr>
          <w:p w:rsidR="002215CE" w:rsidRDefault="002215CE" w:rsidP="00446F07">
            <w:pPr>
              <w:jc w:val="both"/>
              <w:rPr>
                <w:rFonts w:ascii="Arial" w:hAnsi="Arial" w:cs="Arial"/>
                <w:bCs/>
                <w:sz w:val="18"/>
              </w:rPr>
            </w:pPr>
          </w:p>
        </w:tc>
        <w:tc>
          <w:tcPr>
            <w:tcW w:w="656" w:type="dxa"/>
          </w:tcPr>
          <w:p w:rsidR="002215CE" w:rsidRDefault="002215CE" w:rsidP="00446F07">
            <w:pPr>
              <w:jc w:val="both"/>
              <w:rPr>
                <w:rFonts w:ascii="Arial" w:hAnsi="Arial" w:cs="Arial"/>
                <w:bCs/>
                <w:sz w:val="18"/>
              </w:rPr>
            </w:pPr>
          </w:p>
        </w:tc>
      </w:tr>
      <w:tr w:rsidR="002215CE" w:rsidTr="002215CE">
        <w:tc>
          <w:tcPr>
            <w:tcW w:w="8897" w:type="dxa"/>
          </w:tcPr>
          <w:p w:rsidR="00FA6E11" w:rsidRDefault="00FA6E11" w:rsidP="00446F07">
            <w:pPr>
              <w:jc w:val="both"/>
              <w:rPr>
                <w:rFonts w:ascii="Arial" w:hAnsi="Arial" w:cs="Arial"/>
                <w:bCs/>
                <w:sz w:val="18"/>
              </w:rPr>
            </w:pPr>
            <w:r>
              <w:rPr>
                <w:rFonts w:ascii="Arial" w:hAnsi="Arial" w:cs="Arial"/>
                <w:bCs/>
                <w:sz w:val="18"/>
              </w:rPr>
              <w:t>Les données personnelles (nom, prénom, fonction, identi</w:t>
            </w:r>
            <w:r w:rsidR="00947D87">
              <w:rPr>
                <w:rFonts w:ascii="Arial" w:hAnsi="Arial" w:cs="Arial"/>
                <w:bCs/>
                <w:sz w:val="18"/>
              </w:rPr>
              <w:t>fiant) des utilisateurs seront-</w:t>
            </w:r>
            <w:r>
              <w:rPr>
                <w:rFonts w:ascii="Arial" w:hAnsi="Arial" w:cs="Arial"/>
                <w:bCs/>
                <w:sz w:val="18"/>
              </w:rPr>
              <w:t xml:space="preserve">elles </w:t>
            </w:r>
            <w:r w:rsidR="00947D87">
              <w:rPr>
                <w:rFonts w:ascii="Arial" w:hAnsi="Arial" w:cs="Arial"/>
                <w:bCs/>
                <w:sz w:val="18"/>
              </w:rPr>
              <w:t>exclusivement traitées en interne sur le site et ce, quel que soit l’architecture informatique retenue par le Centre Hospitalier Les Charmes</w:t>
            </w:r>
          </w:p>
        </w:tc>
        <w:tc>
          <w:tcPr>
            <w:tcW w:w="709" w:type="dxa"/>
          </w:tcPr>
          <w:p w:rsidR="002215CE" w:rsidRDefault="002215CE" w:rsidP="00446F07">
            <w:pPr>
              <w:jc w:val="both"/>
              <w:rPr>
                <w:rFonts w:ascii="Arial" w:hAnsi="Arial" w:cs="Arial"/>
                <w:bCs/>
                <w:sz w:val="18"/>
              </w:rPr>
            </w:pPr>
          </w:p>
        </w:tc>
        <w:tc>
          <w:tcPr>
            <w:tcW w:w="656" w:type="dxa"/>
          </w:tcPr>
          <w:p w:rsidR="002215CE" w:rsidRDefault="002215CE" w:rsidP="00446F07">
            <w:pPr>
              <w:jc w:val="both"/>
              <w:rPr>
                <w:rFonts w:ascii="Arial" w:hAnsi="Arial" w:cs="Arial"/>
                <w:bCs/>
                <w:sz w:val="18"/>
              </w:rPr>
            </w:pPr>
          </w:p>
        </w:tc>
      </w:tr>
      <w:tr w:rsidR="002215CE" w:rsidTr="002215CE">
        <w:tc>
          <w:tcPr>
            <w:tcW w:w="8897" w:type="dxa"/>
          </w:tcPr>
          <w:p w:rsidR="002215CE" w:rsidRDefault="00947D87" w:rsidP="00446F07">
            <w:pPr>
              <w:jc w:val="both"/>
              <w:rPr>
                <w:rFonts w:ascii="Arial" w:hAnsi="Arial" w:cs="Arial"/>
                <w:bCs/>
                <w:sz w:val="18"/>
              </w:rPr>
            </w:pPr>
            <w:r>
              <w:rPr>
                <w:rFonts w:ascii="Arial" w:hAnsi="Arial" w:cs="Arial"/>
                <w:bCs/>
                <w:sz w:val="18"/>
              </w:rPr>
              <w:t>L’utilisation du mode vocal pour informer les agents du PCS et de l’envoi de sms, mails et appels téléphoniques distinctifs est-elle incluse dans votre offre</w:t>
            </w:r>
          </w:p>
        </w:tc>
        <w:tc>
          <w:tcPr>
            <w:tcW w:w="709" w:type="dxa"/>
          </w:tcPr>
          <w:p w:rsidR="002215CE" w:rsidRDefault="002215CE" w:rsidP="00446F07">
            <w:pPr>
              <w:jc w:val="both"/>
              <w:rPr>
                <w:rFonts w:ascii="Arial" w:hAnsi="Arial" w:cs="Arial"/>
                <w:bCs/>
                <w:sz w:val="18"/>
              </w:rPr>
            </w:pPr>
          </w:p>
        </w:tc>
        <w:tc>
          <w:tcPr>
            <w:tcW w:w="656" w:type="dxa"/>
          </w:tcPr>
          <w:p w:rsidR="002215CE" w:rsidRDefault="002215CE" w:rsidP="00446F07">
            <w:pPr>
              <w:jc w:val="both"/>
              <w:rPr>
                <w:rFonts w:ascii="Arial" w:hAnsi="Arial" w:cs="Arial"/>
                <w:bCs/>
                <w:sz w:val="18"/>
              </w:rPr>
            </w:pPr>
          </w:p>
        </w:tc>
      </w:tr>
      <w:tr w:rsidR="002215CE" w:rsidTr="002215CE">
        <w:tc>
          <w:tcPr>
            <w:tcW w:w="8897" w:type="dxa"/>
          </w:tcPr>
          <w:p w:rsidR="002215CE" w:rsidRDefault="00947D87" w:rsidP="00446F07">
            <w:pPr>
              <w:jc w:val="both"/>
              <w:rPr>
                <w:rFonts w:ascii="Arial" w:hAnsi="Arial" w:cs="Arial"/>
                <w:bCs/>
                <w:sz w:val="18"/>
              </w:rPr>
            </w:pPr>
            <w:r>
              <w:rPr>
                <w:rFonts w:ascii="Arial" w:hAnsi="Arial" w:cs="Arial"/>
                <w:bCs/>
                <w:sz w:val="18"/>
              </w:rPr>
              <w:t xml:space="preserve">Vos logiciels permettent-ils l’utilisation d’une API pour l’interconnexion avec le LDAP et la VMS de </w:t>
            </w:r>
            <w:proofErr w:type="spellStart"/>
            <w:r>
              <w:rPr>
                <w:rFonts w:ascii="Arial" w:hAnsi="Arial" w:cs="Arial"/>
                <w:bCs/>
                <w:sz w:val="18"/>
              </w:rPr>
              <w:t>vidéoprotection</w:t>
            </w:r>
            <w:proofErr w:type="spellEnd"/>
          </w:p>
        </w:tc>
        <w:tc>
          <w:tcPr>
            <w:tcW w:w="709" w:type="dxa"/>
          </w:tcPr>
          <w:p w:rsidR="002215CE" w:rsidRDefault="002215CE" w:rsidP="00446F07">
            <w:pPr>
              <w:jc w:val="both"/>
              <w:rPr>
                <w:rFonts w:ascii="Arial" w:hAnsi="Arial" w:cs="Arial"/>
                <w:bCs/>
                <w:sz w:val="18"/>
              </w:rPr>
            </w:pPr>
          </w:p>
        </w:tc>
        <w:tc>
          <w:tcPr>
            <w:tcW w:w="656" w:type="dxa"/>
          </w:tcPr>
          <w:p w:rsidR="002215CE" w:rsidRDefault="002215CE" w:rsidP="00446F07">
            <w:pPr>
              <w:jc w:val="both"/>
              <w:rPr>
                <w:rFonts w:ascii="Arial" w:hAnsi="Arial" w:cs="Arial"/>
                <w:bCs/>
                <w:sz w:val="18"/>
              </w:rPr>
            </w:pPr>
          </w:p>
        </w:tc>
      </w:tr>
      <w:tr w:rsidR="002215CE" w:rsidTr="002215CE">
        <w:tc>
          <w:tcPr>
            <w:tcW w:w="8897" w:type="dxa"/>
          </w:tcPr>
          <w:p w:rsidR="002215CE" w:rsidRDefault="00947D87" w:rsidP="00446F07">
            <w:pPr>
              <w:jc w:val="both"/>
              <w:rPr>
                <w:rFonts w:ascii="Arial" w:hAnsi="Arial" w:cs="Arial"/>
                <w:bCs/>
                <w:sz w:val="18"/>
              </w:rPr>
            </w:pPr>
            <w:r>
              <w:rPr>
                <w:rFonts w:ascii="Arial" w:hAnsi="Arial" w:cs="Arial"/>
                <w:bCs/>
                <w:sz w:val="18"/>
              </w:rPr>
              <w:t>Les alarmes d’intégrité du système peuvent-elles être vocalisées au PCS et transmises par SMS et mails</w:t>
            </w:r>
          </w:p>
        </w:tc>
        <w:tc>
          <w:tcPr>
            <w:tcW w:w="709" w:type="dxa"/>
          </w:tcPr>
          <w:p w:rsidR="002215CE" w:rsidRDefault="002215CE" w:rsidP="00446F07">
            <w:pPr>
              <w:jc w:val="both"/>
              <w:rPr>
                <w:rFonts w:ascii="Arial" w:hAnsi="Arial" w:cs="Arial"/>
                <w:bCs/>
                <w:sz w:val="18"/>
              </w:rPr>
            </w:pPr>
          </w:p>
        </w:tc>
        <w:tc>
          <w:tcPr>
            <w:tcW w:w="656" w:type="dxa"/>
          </w:tcPr>
          <w:p w:rsidR="002215CE" w:rsidRDefault="002215CE" w:rsidP="00446F07">
            <w:pPr>
              <w:jc w:val="both"/>
              <w:rPr>
                <w:rFonts w:ascii="Arial" w:hAnsi="Arial" w:cs="Arial"/>
                <w:bCs/>
                <w:sz w:val="18"/>
              </w:rPr>
            </w:pPr>
          </w:p>
        </w:tc>
      </w:tr>
    </w:tbl>
    <w:p w:rsidR="002215CE" w:rsidRPr="004F354F" w:rsidRDefault="002215CE" w:rsidP="00446F07">
      <w:pPr>
        <w:jc w:val="both"/>
        <w:rPr>
          <w:rFonts w:ascii="Arial" w:hAnsi="Arial" w:cs="Arial"/>
          <w:bCs/>
          <w:sz w:val="18"/>
        </w:rPr>
      </w:pPr>
    </w:p>
    <w:sectPr w:rsidR="002215CE" w:rsidRPr="004F354F" w:rsidSect="007D0C4E">
      <w:footerReference w:type="even" r:id="rId8"/>
      <w:footerReference w:type="default" r:id="rId9"/>
      <w:pgSz w:w="11906" w:h="16838"/>
      <w:pgMar w:top="1134" w:right="1134" w:bottom="1134" w:left="1134" w:header="709" w:footer="357" w:gutter="0"/>
      <w:cols w:space="709"/>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52E4" w:rsidRDefault="008652E4">
      <w:r>
        <w:separator/>
      </w:r>
    </w:p>
  </w:endnote>
  <w:endnote w:type="continuationSeparator" w:id="0">
    <w:p w:rsidR="008652E4" w:rsidRDefault="00865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G Times">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âcon">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2201" w:rsidRDefault="00EA220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EA2201" w:rsidRDefault="00EA220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2201" w:rsidRDefault="009D6F10" w:rsidP="009D6F10">
    <w:pPr>
      <w:pStyle w:val="Pieddepage"/>
      <w:widowControl/>
      <w:tabs>
        <w:tab w:val="clear" w:pos="4819"/>
        <w:tab w:val="clear" w:pos="9071"/>
        <w:tab w:val="right" w:pos="10263"/>
      </w:tabs>
      <w:jc w:val="both"/>
      <w:rPr>
        <w:rStyle w:val="Numrodepage"/>
        <w:sz w:val="16"/>
        <w:szCs w:val="16"/>
      </w:rPr>
    </w:pPr>
    <w:r>
      <w:rPr>
        <w:sz w:val="16"/>
        <w:szCs w:val="16"/>
      </w:rPr>
      <w:fldChar w:fldCharType="begin"/>
    </w:r>
    <w:r>
      <w:rPr>
        <w:sz w:val="16"/>
        <w:szCs w:val="16"/>
      </w:rPr>
      <w:instrText xml:space="preserve"> FILENAME \* MERGEFORMAT </w:instrText>
    </w:r>
    <w:r>
      <w:rPr>
        <w:sz w:val="16"/>
        <w:szCs w:val="16"/>
      </w:rPr>
      <w:fldChar w:fldCharType="separate"/>
    </w:r>
    <w:r w:rsidR="00771FDA">
      <w:rPr>
        <w:noProof/>
        <w:sz w:val="16"/>
        <w:szCs w:val="16"/>
      </w:rPr>
      <w:t>2025PA42001_DCE - RC - ANNEXE 3.docx</w:t>
    </w:r>
    <w:r>
      <w:rPr>
        <w:sz w:val="16"/>
        <w:szCs w:val="16"/>
      </w:rPr>
      <w:fldChar w:fldCharType="end"/>
    </w:r>
    <w:r>
      <w:rPr>
        <w:sz w:val="16"/>
        <w:szCs w:val="16"/>
      </w:rPr>
      <w:t xml:space="preserve">                                                                                                                       </w:t>
    </w:r>
    <w:r w:rsidR="00EA2201">
      <w:rPr>
        <w:rStyle w:val="Numrodepage"/>
        <w:sz w:val="16"/>
      </w:rPr>
      <w:fldChar w:fldCharType="begin"/>
    </w:r>
    <w:r w:rsidR="00EA2201">
      <w:rPr>
        <w:rStyle w:val="Numrodepage"/>
        <w:sz w:val="16"/>
      </w:rPr>
      <w:instrText xml:space="preserve"> PAGE </w:instrText>
    </w:r>
    <w:r w:rsidR="00EA2201">
      <w:rPr>
        <w:rStyle w:val="Numrodepage"/>
        <w:sz w:val="16"/>
      </w:rPr>
      <w:fldChar w:fldCharType="separate"/>
    </w:r>
    <w:r w:rsidR="00E02083">
      <w:rPr>
        <w:rStyle w:val="Numrodepage"/>
        <w:noProof/>
        <w:sz w:val="16"/>
      </w:rPr>
      <w:t>2</w:t>
    </w:r>
    <w:r w:rsidR="00EA2201">
      <w:rPr>
        <w:rStyle w:val="Numrodepage"/>
        <w:sz w:val="16"/>
      </w:rPr>
      <w:fldChar w:fldCharType="end"/>
    </w:r>
    <w:r w:rsidR="00EA2201">
      <w:rPr>
        <w:rStyle w:val="Numrodepage"/>
        <w:sz w:val="16"/>
      </w:rPr>
      <w:t>/</w:t>
    </w:r>
    <w:r w:rsidR="00EA2201">
      <w:rPr>
        <w:rStyle w:val="Numrodepage"/>
        <w:sz w:val="16"/>
      </w:rPr>
      <w:fldChar w:fldCharType="begin"/>
    </w:r>
    <w:r w:rsidR="00EA2201">
      <w:rPr>
        <w:rStyle w:val="Numrodepage"/>
        <w:sz w:val="16"/>
      </w:rPr>
      <w:instrText xml:space="preserve"> NUMPAGES </w:instrText>
    </w:r>
    <w:r w:rsidR="00EA2201">
      <w:rPr>
        <w:rStyle w:val="Numrodepage"/>
        <w:sz w:val="16"/>
      </w:rPr>
      <w:fldChar w:fldCharType="separate"/>
    </w:r>
    <w:r w:rsidR="00E02083">
      <w:rPr>
        <w:rStyle w:val="Numrodepage"/>
        <w:noProof/>
        <w:sz w:val="16"/>
      </w:rPr>
      <w:t>3</w:t>
    </w:r>
    <w:r w:rsidR="00EA2201">
      <w:rPr>
        <w:rStyle w:val="Numrodepage"/>
        <w:sz w:val="16"/>
      </w:rPr>
      <w:fldChar w:fldCharType="end"/>
    </w:r>
    <w:r w:rsidR="00EA2201">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52E4" w:rsidRDefault="008652E4">
      <w:r>
        <w:separator/>
      </w:r>
    </w:p>
  </w:footnote>
  <w:footnote w:type="continuationSeparator" w:id="0">
    <w:p w:rsidR="008652E4" w:rsidRDefault="008652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261630"/>
    <w:multiLevelType w:val="hybridMultilevel"/>
    <w:tmpl w:val="50B0DFAC"/>
    <w:lvl w:ilvl="0" w:tplc="C37E4396">
      <w:numFmt w:val="bullet"/>
      <w:lvlText w:val="-"/>
      <w:lvlJc w:val="left"/>
      <w:pPr>
        <w:ind w:left="862" w:hanging="360"/>
      </w:pPr>
      <w:rPr>
        <w:rFonts w:ascii="Arial" w:eastAsia="Times New Roman" w:hAnsi="Arial" w:cs="Arial" w:hint="default"/>
        <w:i w:val="0"/>
      </w:rPr>
    </w:lvl>
    <w:lvl w:ilvl="1" w:tplc="040C0003">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 w15:restartNumberingAfterBreak="0">
    <w:nsid w:val="55A60C93"/>
    <w:multiLevelType w:val="hybridMultilevel"/>
    <w:tmpl w:val="CF6A9214"/>
    <w:lvl w:ilvl="0" w:tplc="FBDE2D14">
      <w:start w:val="1"/>
      <w:numFmt w:val="decimal"/>
      <w:lvlText w:val="%1-"/>
      <w:lvlJc w:val="left"/>
      <w:pPr>
        <w:ind w:left="502"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9B53DD6"/>
    <w:multiLevelType w:val="hybridMultilevel"/>
    <w:tmpl w:val="03EE30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BBF7C90"/>
    <w:multiLevelType w:val="hybridMultilevel"/>
    <w:tmpl w:val="BCC46046"/>
    <w:lvl w:ilvl="0" w:tplc="AB402FC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CA3"/>
    <w:rsid w:val="00007C57"/>
    <w:rsid w:val="000179A9"/>
    <w:rsid w:val="0002201A"/>
    <w:rsid w:val="0004360D"/>
    <w:rsid w:val="00043E51"/>
    <w:rsid w:val="000517A0"/>
    <w:rsid w:val="0005237D"/>
    <w:rsid w:val="00056A1C"/>
    <w:rsid w:val="00065150"/>
    <w:rsid w:val="000765A0"/>
    <w:rsid w:val="00076B82"/>
    <w:rsid w:val="00080477"/>
    <w:rsid w:val="00082E21"/>
    <w:rsid w:val="00083E5B"/>
    <w:rsid w:val="000A0C5A"/>
    <w:rsid w:val="000B5791"/>
    <w:rsid w:val="000C0697"/>
    <w:rsid w:val="000C3C8D"/>
    <w:rsid w:val="000C508F"/>
    <w:rsid w:val="000C5BC2"/>
    <w:rsid w:val="000D0767"/>
    <w:rsid w:val="000E0843"/>
    <w:rsid w:val="000F777A"/>
    <w:rsid w:val="00104E0D"/>
    <w:rsid w:val="00113956"/>
    <w:rsid w:val="00125292"/>
    <w:rsid w:val="00135A1A"/>
    <w:rsid w:val="00147D21"/>
    <w:rsid w:val="00157F52"/>
    <w:rsid w:val="00164137"/>
    <w:rsid w:val="0019566E"/>
    <w:rsid w:val="001C1946"/>
    <w:rsid w:val="001E0932"/>
    <w:rsid w:val="001E1D1D"/>
    <w:rsid w:val="001E4CD7"/>
    <w:rsid w:val="001E4D7A"/>
    <w:rsid w:val="00202717"/>
    <w:rsid w:val="002109C3"/>
    <w:rsid w:val="002140FF"/>
    <w:rsid w:val="002141DF"/>
    <w:rsid w:val="0022103B"/>
    <w:rsid w:val="00221523"/>
    <w:rsid w:val="002215CE"/>
    <w:rsid w:val="00221714"/>
    <w:rsid w:val="00241DBD"/>
    <w:rsid w:val="002470F2"/>
    <w:rsid w:val="00275995"/>
    <w:rsid w:val="00277918"/>
    <w:rsid w:val="00280718"/>
    <w:rsid w:val="00282F87"/>
    <w:rsid w:val="002906AE"/>
    <w:rsid w:val="00292D4C"/>
    <w:rsid w:val="00297BF4"/>
    <w:rsid w:val="002A2A7C"/>
    <w:rsid w:val="002A4903"/>
    <w:rsid w:val="002B38C1"/>
    <w:rsid w:val="002D1A6D"/>
    <w:rsid w:val="002D2206"/>
    <w:rsid w:val="002D637B"/>
    <w:rsid w:val="002D66A9"/>
    <w:rsid w:val="002E5D89"/>
    <w:rsid w:val="002F7402"/>
    <w:rsid w:val="00315397"/>
    <w:rsid w:val="00322F80"/>
    <w:rsid w:val="00333688"/>
    <w:rsid w:val="00343D9E"/>
    <w:rsid w:val="00356F34"/>
    <w:rsid w:val="003579A4"/>
    <w:rsid w:val="003649C2"/>
    <w:rsid w:val="0038286E"/>
    <w:rsid w:val="00386214"/>
    <w:rsid w:val="003C67CE"/>
    <w:rsid w:val="003D2F37"/>
    <w:rsid w:val="003D670F"/>
    <w:rsid w:val="003F0E22"/>
    <w:rsid w:val="003F124F"/>
    <w:rsid w:val="003F29A1"/>
    <w:rsid w:val="003F3A70"/>
    <w:rsid w:val="003F5609"/>
    <w:rsid w:val="003F58C4"/>
    <w:rsid w:val="003F7DAD"/>
    <w:rsid w:val="00423A0D"/>
    <w:rsid w:val="00424AE1"/>
    <w:rsid w:val="00427624"/>
    <w:rsid w:val="004401D3"/>
    <w:rsid w:val="00440BCF"/>
    <w:rsid w:val="00446F07"/>
    <w:rsid w:val="00465583"/>
    <w:rsid w:val="00476682"/>
    <w:rsid w:val="00496BB6"/>
    <w:rsid w:val="004C025A"/>
    <w:rsid w:val="004D11F3"/>
    <w:rsid w:val="004E0878"/>
    <w:rsid w:val="004E4CDE"/>
    <w:rsid w:val="004F354F"/>
    <w:rsid w:val="004F5622"/>
    <w:rsid w:val="005062C6"/>
    <w:rsid w:val="00512FA1"/>
    <w:rsid w:val="0051319C"/>
    <w:rsid w:val="00563098"/>
    <w:rsid w:val="00563264"/>
    <w:rsid w:val="00564CD1"/>
    <w:rsid w:val="00571365"/>
    <w:rsid w:val="00575F67"/>
    <w:rsid w:val="00595EDE"/>
    <w:rsid w:val="0059755F"/>
    <w:rsid w:val="005B11D5"/>
    <w:rsid w:val="005C4321"/>
    <w:rsid w:val="005C43E7"/>
    <w:rsid w:val="005D071B"/>
    <w:rsid w:val="005D15FF"/>
    <w:rsid w:val="005D5969"/>
    <w:rsid w:val="005E37AE"/>
    <w:rsid w:val="005E3B97"/>
    <w:rsid w:val="005E7D24"/>
    <w:rsid w:val="005F438D"/>
    <w:rsid w:val="00602A08"/>
    <w:rsid w:val="006112EB"/>
    <w:rsid w:val="0061153A"/>
    <w:rsid w:val="00612E1A"/>
    <w:rsid w:val="00616026"/>
    <w:rsid w:val="00620325"/>
    <w:rsid w:val="00620DFA"/>
    <w:rsid w:val="006225C3"/>
    <w:rsid w:val="00626EA9"/>
    <w:rsid w:val="00640D9B"/>
    <w:rsid w:val="006416E3"/>
    <w:rsid w:val="00641C62"/>
    <w:rsid w:val="00660E6D"/>
    <w:rsid w:val="00670251"/>
    <w:rsid w:val="00677B74"/>
    <w:rsid w:val="00680B39"/>
    <w:rsid w:val="006939E4"/>
    <w:rsid w:val="006A028B"/>
    <w:rsid w:val="006B1FC4"/>
    <w:rsid w:val="006B6276"/>
    <w:rsid w:val="006B649D"/>
    <w:rsid w:val="006B6BF2"/>
    <w:rsid w:val="006C1CA3"/>
    <w:rsid w:val="006C5E9F"/>
    <w:rsid w:val="006C7128"/>
    <w:rsid w:val="006D629E"/>
    <w:rsid w:val="006D77FC"/>
    <w:rsid w:val="006E4132"/>
    <w:rsid w:val="006F5000"/>
    <w:rsid w:val="00714323"/>
    <w:rsid w:val="007169AD"/>
    <w:rsid w:val="00725445"/>
    <w:rsid w:val="00730CC4"/>
    <w:rsid w:val="00732916"/>
    <w:rsid w:val="0074492C"/>
    <w:rsid w:val="00752AF9"/>
    <w:rsid w:val="0075459E"/>
    <w:rsid w:val="00754AA7"/>
    <w:rsid w:val="00770520"/>
    <w:rsid w:val="0077086A"/>
    <w:rsid w:val="00771636"/>
    <w:rsid w:val="00771FDA"/>
    <w:rsid w:val="00775D0A"/>
    <w:rsid w:val="00795B49"/>
    <w:rsid w:val="007A3C8E"/>
    <w:rsid w:val="007B3F5F"/>
    <w:rsid w:val="007C3FBC"/>
    <w:rsid w:val="007D0C4E"/>
    <w:rsid w:val="00810800"/>
    <w:rsid w:val="00813269"/>
    <w:rsid w:val="00825878"/>
    <w:rsid w:val="0083351C"/>
    <w:rsid w:val="00840B5A"/>
    <w:rsid w:val="00852FBF"/>
    <w:rsid w:val="00855239"/>
    <w:rsid w:val="0085564C"/>
    <w:rsid w:val="008652E4"/>
    <w:rsid w:val="00866F0B"/>
    <w:rsid w:val="00871B9A"/>
    <w:rsid w:val="008B1127"/>
    <w:rsid w:val="008B6460"/>
    <w:rsid w:val="008E03F8"/>
    <w:rsid w:val="008E08C6"/>
    <w:rsid w:val="008E12C9"/>
    <w:rsid w:val="008F1140"/>
    <w:rsid w:val="00910AC5"/>
    <w:rsid w:val="0092471E"/>
    <w:rsid w:val="0093383D"/>
    <w:rsid w:val="00947D87"/>
    <w:rsid w:val="0097440E"/>
    <w:rsid w:val="00985FD1"/>
    <w:rsid w:val="00986862"/>
    <w:rsid w:val="009A4503"/>
    <w:rsid w:val="009B1456"/>
    <w:rsid w:val="009B5090"/>
    <w:rsid w:val="009D6EC5"/>
    <w:rsid w:val="009D6F10"/>
    <w:rsid w:val="00A1095B"/>
    <w:rsid w:val="00A133A3"/>
    <w:rsid w:val="00A2569E"/>
    <w:rsid w:val="00A36F6D"/>
    <w:rsid w:val="00A37CB4"/>
    <w:rsid w:val="00A419D6"/>
    <w:rsid w:val="00A44CA8"/>
    <w:rsid w:val="00A51F00"/>
    <w:rsid w:val="00A65EEC"/>
    <w:rsid w:val="00A81378"/>
    <w:rsid w:val="00A8254A"/>
    <w:rsid w:val="00A91B62"/>
    <w:rsid w:val="00B0202B"/>
    <w:rsid w:val="00B03373"/>
    <w:rsid w:val="00B04CA3"/>
    <w:rsid w:val="00B06D2D"/>
    <w:rsid w:val="00B22254"/>
    <w:rsid w:val="00B63952"/>
    <w:rsid w:val="00B64708"/>
    <w:rsid w:val="00B74242"/>
    <w:rsid w:val="00B8333D"/>
    <w:rsid w:val="00B93598"/>
    <w:rsid w:val="00B976A8"/>
    <w:rsid w:val="00BA3D5D"/>
    <w:rsid w:val="00BB5AAC"/>
    <w:rsid w:val="00BC16CC"/>
    <w:rsid w:val="00BC2E97"/>
    <w:rsid w:val="00BE5C96"/>
    <w:rsid w:val="00BF1195"/>
    <w:rsid w:val="00BF278F"/>
    <w:rsid w:val="00BF2EE8"/>
    <w:rsid w:val="00C03538"/>
    <w:rsid w:val="00C04D44"/>
    <w:rsid w:val="00C05F42"/>
    <w:rsid w:val="00C11FAD"/>
    <w:rsid w:val="00C176A9"/>
    <w:rsid w:val="00C219D1"/>
    <w:rsid w:val="00C235DF"/>
    <w:rsid w:val="00C3010F"/>
    <w:rsid w:val="00C347C5"/>
    <w:rsid w:val="00C506E5"/>
    <w:rsid w:val="00C532CA"/>
    <w:rsid w:val="00C65D31"/>
    <w:rsid w:val="00C80D27"/>
    <w:rsid w:val="00CA025E"/>
    <w:rsid w:val="00CA29ED"/>
    <w:rsid w:val="00CA3052"/>
    <w:rsid w:val="00CB2E88"/>
    <w:rsid w:val="00CC78E3"/>
    <w:rsid w:val="00CF4216"/>
    <w:rsid w:val="00D1054B"/>
    <w:rsid w:val="00D240A1"/>
    <w:rsid w:val="00D276FF"/>
    <w:rsid w:val="00D311EB"/>
    <w:rsid w:val="00D31276"/>
    <w:rsid w:val="00D36E07"/>
    <w:rsid w:val="00D820CF"/>
    <w:rsid w:val="00D84E89"/>
    <w:rsid w:val="00D96FD1"/>
    <w:rsid w:val="00D9789F"/>
    <w:rsid w:val="00D97F90"/>
    <w:rsid w:val="00DA1B84"/>
    <w:rsid w:val="00DA6886"/>
    <w:rsid w:val="00DB7900"/>
    <w:rsid w:val="00DC302F"/>
    <w:rsid w:val="00DC3B9C"/>
    <w:rsid w:val="00DE187F"/>
    <w:rsid w:val="00DE55CC"/>
    <w:rsid w:val="00DF26A8"/>
    <w:rsid w:val="00E02083"/>
    <w:rsid w:val="00E02D00"/>
    <w:rsid w:val="00E32DB6"/>
    <w:rsid w:val="00E564CF"/>
    <w:rsid w:val="00E63B0B"/>
    <w:rsid w:val="00E64C1D"/>
    <w:rsid w:val="00E70B21"/>
    <w:rsid w:val="00E7498F"/>
    <w:rsid w:val="00E80257"/>
    <w:rsid w:val="00E81184"/>
    <w:rsid w:val="00E8524A"/>
    <w:rsid w:val="00E95412"/>
    <w:rsid w:val="00EA005B"/>
    <w:rsid w:val="00EA2201"/>
    <w:rsid w:val="00EB023E"/>
    <w:rsid w:val="00EB297A"/>
    <w:rsid w:val="00ED099C"/>
    <w:rsid w:val="00ED6A3F"/>
    <w:rsid w:val="00EE564E"/>
    <w:rsid w:val="00EE5A54"/>
    <w:rsid w:val="00EE5C93"/>
    <w:rsid w:val="00EE62C6"/>
    <w:rsid w:val="00EF240B"/>
    <w:rsid w:val="00EF3DB1"/>
    <w:rsid w:val="00EF3E7C"/>
    <w:rsid w:val="00EF61E5"/>
    <w:rsid w:val="00EF7C94"/>
    <w:rsid w:val="00F02440"/>
    <w:rsid w:val="00F0732F"/>
    <w:rsid w:val="00F135F8"/>
    <w:rsid w:val="00F13C67"/>
    <w:rsid w:val="00F203F3"/>
    <w:rsid w:val="00F20730"/>
    <w:rsid w:val="00F25E81"/>
    <w:rsid w:val="00F26F11"/>
    <w:rsid w:val="00F359A1"/>
    <w:rsid w:val="00F361D1"/>
    <w:rsid w:val="00F36F77"/>
    <w:rsid w:val="00F40931"/>
    <w:rsid w:val="00F409B2"/>
    <w:rsid w:val="00F40EBB"/>
    <w:rsid w:val="00F4775C"/>
    <w:rsid w:val="00F50928"/>
    <w:rsid w:val="00F5401F"/>
    <w:rsid w:val="00F56AF9"/>
    <w:rsid w:val="00F57F2A"/>
    <w:rsid w:val="00F7189E"/>
    <w:rsid w:val="00F72E16"/>
    <w:rsid w:val="00F92A2A"/>
    <w:rsid w:val="00F9526D"/>
    <w:rsid w:val="00FA6E11"/>
    <w:rsid w:val="00FC2DDE"/>
    <w:rsid w:val="00FC4410"/>
    <w:rsid w:val="00FC557A"/>
    <w:rsid w:val="00FE5317"/>
    <w:rsid w:val="00FE5E66"/>
    <w:rsid w:val="00FE7408"/>
    <w:rsid w:val="00FF7D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D63F809E-3CBD-4911-A330-AEF41F379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pPr>
  </w:style>
  <w:style w:type="paragraph" w:styleId="Titre1">
    <w:name w:val="heading 1"/>
    <w:basedOn w:val="Normal"/>
    <w:next w:val="Normal"/>
    <w:qFormat/>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qFormat/>
    <w:pPr>
      <w:keepNext/>
      <w:spacing w:before="240" w:after="60"/>
      <w:outlineLvl w:val="1"/>
    </w:pPr>
    <w:rPr>
      <w:rFonts w:ascii="Arial" w:hAnsi="Arial" w:cs="Arial"/>
      <w:b/>
      <w:bCs/>
      <w:i/>
      <w:iCs/>
      <w:sz w:val="28"/>
      <w:szCs w:val="28"/>
    </w:rPr>
  </w:style>
  <w:style w:type="paragraph" w:styleId="Titre3">
    <w:name w:val="heading 3"/>
    <w:basedOn w:val="Normal"/>
    <w:next w:val="Normal"/>
    <w:qFormat/>
    <w:pPr>
      <w:keepNext/>
      <w:spacing w:before="240" w:after="60"/>
      <w:outlineLvl w:val="2"/>
    </w:pPr>
    <w:rPr>
      <w:rFonts w:ascii="Arial" w:hAnsi="Arial" w:cs="Arial"/>
      <w:b/>
      <w:bCs/>
      <w:sz w:val="22"/>
      <w:szCs w:val="26"/>
    </w:rPr>
  </w:style>
  <w:style w:type="paragraph" w:styleId="Titre4">
    <w:name w:val="heading 4"/>
    <w:basedOn w:val="Normal"/>
    <w:next w:val="Normal"/>
    <w:qFormat/>
    <w:pPr>
      <w:keepNext/>
      <w:jc w:val="center"/>
      <w:outlineLvl w:val="3"/>
    </w:pPr>
    <w:rPr>
      <w:rFonts w:ascii="Arial" w:hAnsi="Arial" w:cs="Arial"/>
      <w:b/>
      <w:sz w:val="18"/>
    </w:rPr>
  </w:style>
  <w:style w:type="paragraph" w:styleId="Titre5">
    <w:name w:val="heading 5"/>
    <w:basedOn w:val="Normal"/>
    <w:next w:val="Normal"/>
    <w:qFormat/>
    <w:pPr>
      <w:keepNext/>
      <w:ind w:left="426"/>
      <w:jc w:val="both"/>
      <w:outlineLvl w:val="4"/>
    </w:pPr>
    <w:rPr>
      <w:rFonts w:ascii="Arial" w:hAnsi="Arial" w:cs="Arial"/>
      <w:i/>
      <w:sz w:val="16"/>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pPr>
      <w:tabs>
        <w:tab w:val="center" w:pos="4819"/>
        <w:tab w:val="right" w:pos="9071"/>
      </w:tabs>
    </w:pPr>
    <w:rPr>
      <w:rFonts w:ascii="Arial" w:hAnsi="Arial" w:cs="Arial"/>
      <w:sz w:val="24"/>
      <w:szCs w:val="24"/>
    </w:rPr>
  </w:style>
  <w:style w:type="paragraph" w:styleId="En-tte">
    <w:name w:val="header"/>
    <w:basedOn w:val="Normal"/>
    <w:link w:val="En-tteCar"/>
    <w:pPr>
      <w:tabs>
        <w:tab w:val="center" w:pos="4819"/>
        <w:tab w:val="right" w:pos="9071"/>
      </w:tabs>
    </w:pPr>
    <w:rPr>
      <w:rFonts w:ascii="Arial" w:hAnsi="Arial" w:cs="Arial"/>
      <w:sz w:val="24"/>
      <w:szCs w:val="24"/>
    </w:rPr>
  </w:style>
  <w:style w:type="paragraph" w:customStyle="1" w:styleId="RedTitre">
    <w:name w:val="RedTitre"/>
    <w:basedOn w:val="Normal"/>
    <w:pPr>
      <w:framePr w:hSpace="142" w:wrap="auto" w:vAnchor="text" w:hAnchor="text" w:xAlign="center" w:y="1"/>
      <w:jc w:val="center"/>
    </w:pPr>
    <w:rPr>
      <w:rFonts w:ascii="Arial" w:hAnsi="Arial" w:cs="Arial"/>
      <w:b/>
      <w:bCs/>
      <w:sz w:val="22"/>
      <w:szCs w:val="22"/>
    </w:rPr>
  </w:style>
  <w:style w:type="paragraph" w:customStyle="1" w:styleId="RedLiRub">
    <w:name w:val="RedLiRub"/>
    <w:basedOn w:val="Normal"/>
    <w:rPr>
      <w:rFonts w:ascii="Arial" w:hAnsi="Arial" w:cs="Arial"/>
      <w:sz w:val="22"/>
      <w:szCs w:val="22"/>
    </w:rPr>
  </w:style>
  <w:style w:type="paragraph" w:customStyle="1" w:styleId="RedTitre2">
    <w:name w:val="RedTitre2"/>
    <w:basedOn w:val="Normal"/>
    <w:pPr>
      <w:keepNext/>
      <w:pBdr>
        <w:top w:val="single" w:sz="6" w:space="1" w:color="auto"/>
        <w:left w:val="single" w:sz="6" w:space="1" w:color="auto"/>
        <w:bottom w:val="single" w:sz="6" w:space="1" w:color="auto"/>
        <w:right w:val="single" w:sz="6" w:space="1" w:color="auto"/>
      </w:pBdr>
      <w:spacing w:before="240" w:after="60"/>
    </w:pPr>
    <w:rPr>
      <w:rFonts w:ascii="Arial" w:hAnsi="Arial" w:cs="Arial"/>
      <w:b/>
      <w:bCs/>
      <w:sz w:val="24"/>
      <w:szCs w:val="24"/>
    </w:rPr>
  </w:style>
  <w:style w:type="paragraph" w:customStyle="1" w:styleId="RedNomDoc">
    <w:name w:val="RedNomDoc"/>
    <w:basedOn w:val="Normal"/>
    <w:pPr>
      <w:jc w:val="center"/>
    </w:pPr>
    <w:rPr>
      <w:rFonts w:ascii="Arial" w:hAnsi="Arial" w:cs="Arial"/>
      <w:b/>
      <w:bCs/>
      <w:sz w:val="30"/>
      <w:szCs w:val="30"/>
    </w:rPr>
  </w:style>
  <w:style w:type="paragraph" w:customStyle="1" w:styleId="RedTitre1">
    <w:name w:val="RedTitre1"/>
    <w:basedOn w:val="Normal"/>
    <w:pPr>
      <w:framePr w:hSpace="142" w:wrap="auto" w:vAnchor="text" w:hAnchor="text" w:xAlign="center" w:y="1"/>
      <w:jc w:val="center"/>
    </w:pPr>
    <w:rPr>
      <w:rFonts w:ascii="Arial" w:hAnsi="Arial" w:cs="Arial"/>
      <w:b/>
      <w:bCs/>
      <w:sz w:val="22"/>
      <w:szCs w:val="22"/>
    </w:rPr>
  </w:style>
  <w:style w:type="paragraph" w:customStyle="1" w:styleId="RedPara">
    <w:name w:val="RedPara"/>
    <w:basedOn w:val="Normal"/>
    <w:pPr>
      <w:keepNext/>
      <w:spacing w:before="120" w:after="60"/>
    </w:pPr>
    <w:rPr>
      <w:rFonts w:ascii="Arial" w:hAnsi="Arial" w:cs="Arial"/>
      <w:b/>
      <w:bCs/>
      <w:sz w:val="22"/>
      <w:szCs w:val="22"/>
    </w:rPr>
  </w:style>
  <w:style w:type="paragraph" w:customStyle="1" w:styleId="RedRub">
    <w:name w:val="RedRub"/>
    <w:basedOn w:val="Normal"/>
    <w:pPr>
      <w:keepNext/>
      <w:spacing w:before="60" w:after="60"/>
    </w:pPr>
    <w:rPr>
      <w:rFonts w:ascii="Arial" w:hAnsi="Arial" w:cs="Arial"/>
      <w:b/>
      <w:bCs/>
      <w:sz w:val="22"/>
      <w:szCs w:val="22"/>
    </w:rPr>
  </w:style>
  <w:style w:type="paragraph" w:customStyle="1" w:styleId="RedTxt">
    <w:name w:val="RedTxt"/>
    <w:basedOn w:val="Normal"/>
    <w:pPr>
      <w:keepLines/>
    </w:pPr>
    <w:rPr>
      <w:rFonts w:ascii="Arial" w:hAnsi="Arial" w:cs="Arial"/>
      <w:sz w:val="18"/>
      <w:szCs w:val="18"/>
    </w:rPr>
  </w:style>
  <w:style w:type="character" w:styleId="Numrodepage">
    <w:name w:val="page number"/>
    <w:basedOn w:val="Policepardfaut"/>
  </w:style>
  <w:style w:type="paragraph" w:styleId="Retraitcorpsdetexte">
    <w:name w:val="Body Text Indent"/>
    <w:basedOn w:val="Normal"/>
    <w:pPr>
      <w:widowControl/>
      <w:autoSpaceDE/>
      <w:autoSpaceDN/>
      <w:spacing w:line="240" w:lineRule="exact"/>
      <w:ind w:left="142" w:hanging="142"/>
      <w:jc w:val="both"/>
    </w:pPr>
    <w:rPr>
      <w:rFonts w:ascii="Arial" w:hAnsi="Arial" w:cs="Arial"/>
      <w:sz w:val="18"/>
      <w:szCs w:val="18"/>
    </w:rPr>
  </w:style>
  <w:style w:type="paragraph" w:styleId="Corpsdetexte">
    <w:name w:val="Body Text"/>
    <w:basedOn w:val="Normal"/>
    <w:link w:val="CorpsdetexteCar"/>
    <w:pPr>
      <w:adjustRightInd w:val="0"/>
      <w:jc w:val="both"/>
    </w:pPr>
    <w:rPr>
      <w:rFonts w:ascii="Arial" w:hAnsi="Arial" w:cs="Arial"/>
      <w:sz w:val="18"/>
      <w:szCs w:val="24"/>
    </w:rPr>
  </w:style>
  <w:style w:type="character" w:styleId="Lienhypertexte">
    <w:name w:val="Hyperlink"/>
    <w:uiPriority w:val="99"/>
    <w:rPr>
      <w:color w:val="0000FF"/>
      <w:u w:val="single"/>
    </w:rPr>
  </w:style>
  <w:style w:type="paragraph" w:styleId="TM1">
    <w:name w:val="toc 1"/>
    <w:basedOn w:val="Normal"/>
    <w:next w:val="Normal"/>
    <w:autoRedefine/>
    <w:uiPriority w:val="39"/>
    <w:pPr>
      <w:tabs>
        <w:tab w:val="right" w:leader="dot" w:pos="10252"/>
      </w:tabs>
    </w:pPr>
    <w:rPr>
      <w:rFonts w:ascii="Arial" w:hAnsi="Arial" w:cs="Arial"/>
      <w:noProof/>
      <w:sz w:val="10"/>
      <w:szCs w:val="10"/>
    </w:rPr>
  </w:style>
  <w:style w:type="paragraph" w:styleId="TM2">
    <w:name w:val="toc 2"/>
    <w:basedOn w:val="Normal"/>
    <w:next w:val="Normal"/>
    <w:autoRedefine/>
    <w:uiPriority w:val="39"/>
    <w:pPr>
      <w:ind w:left="200"/>
    </w:pPr>
  </w:style>
  <w:style w:type="paragraph" w:styleId="Textedebulles">
    <w:name w:val="Balloon Text"/>
    <w:basedOn w:val="Normal"/>
    <w:semiHidden/>
    <w:rPr>
      <w:rFonts w:ascii="Tahoma" w:hAnsi="Tahoma" w:cs="Tahoma"/>
      <w:sz w:val="16"/>
      <w:szCs w:val="16"/>
    </w:rPr>
  </w:style>
  <w:style w:type="paragraph" w:styleId="TM3">
    <w:name w:val="toc 3"/>
    <w:basedOn w:val="Normal"/>
    <w:next w:val="Normal"/>
    <w:autoRedefine/>
    <w:uiPriority w:val="39"/>
    <w:pPr>
      <w:ind w:left="400"/>
    </w:pPr>
  </w:style>
  <w:style w:type="paragraph" w:styleId="Corpsdetexte3">
    <w:name w:val="Body Text 3"/>
    <w:basedOn w:val="Normal"/>
    <w:pPr>
      <w:spacing w:after="120"/>
    </w:pPr>
    <w:rPr>
      <w:sz w:val="16"/>
      <w:szCs w:val="16"/>
    </w:rPr>
  </w:style>
  <w:style w:type="paragraph" w:customStyle="1" w:styleId="DefaultParagraphFontParaCharCarCarCarCarCarCarCarCarCarCarCarCarCarCar">
    <w:name w:val="Default Paragraph Font Para Char Car Car Car Car Car Car Car Car Car Car Car Car Car Car"/>
    <w:basedOn w:val="Normal"/>
    <w:pPr>
      <w:widowControl/>
      <w:autoSpaceDE/>
      <w:autoSpaceDN/>
      <w:spacing w:after="160" w:line="240" w:lineRule="exact"/>
    </w:pPr>
    <w:rPr>
      <w:rFonts w:ascii="Trebuchet MS" w:hAnsi="Trebuchet MS" w:cs="Trebuchet MS"/>
      <w:color w:val="000000"/>
      <w:sz w:val="24"/>
      <w:szCs w:val="24"/>
      <w:lang w:eastAsia="en-US"/>
    </w:rPr>
  </w:style>
  <w:style w:type="paragraph" w:customStyle="1" w:styleId="Corpsdetexte21">
    <w:name w:val="Corps de texte 21"/>
    <w:basedOn w:val="Normal"/>
    <w:pPr>
      <w:widowControl/>
      <w:autoSpaceDE/>
      <w:autoSpaceDN/>
      <w:jc w:val="both"/>
    </w:pPr>
    <w:rPr>
      <w:b/>
      <w:bCs/>
      <w:sz w:val="24"/>
      <w:szCs w:val="24"/>
    </w:rPr>
  </w:style>
  <w:style w:type="paragraph" w:styleId="Retraitcorpsdetexte2">
    <w:name w:val="Body Text Indent 2"/>
    <w:basedOn w:val="Normal"/>
    <w:pPr>
      <w:spacing w:after="120" w:line="480" w:lineRule="auto"/>
      <w:ind w:left="283"/>
    </w:pPr>
  </w:style>
  <w:style w:type="paragraph" w:styleId="TM4">
    <w:name w:val="toc 4"/>
    <w:basedOn w:val="Normal"/>
    <w:next w:val="Normal"/>
    <w:autoRedefine/>
    <w:semiHidden/>
    <w:pPr>
      <w:widowControl/>
      <w:autoSpaceDE/>
      <w:autoSpaceDN/>
      <w:ind w:left="720"/>
    </w:pPr>
    <w:rPr>
      <w:sz w:val="24"/>
      <w:szCs w:val="24"/>
    </w:rPr>
  </w:style>
  <w:style w:type="paragraph" w:styleId="TM5">
    <w:name w:val="toc 5"/>
    <w:basedOn w:val="Normal"/>
    <w:next w:val="Normal"/>
    <w:autoRedefine/>
    <w:semiHidden/>
    <w:pPr>
      <w:widowControl/>
      <w:autoSpaceDE/>
      <w:autoSpaceDN/>
      <w:ind w:left="960"/>
    </w:pPr>
    <w:rPr>
      <w:sz w:val="24"/>
      <w:szCs w:val="24"/>
    </w:rPr>
  </w:style>
  <w:style w:type="paragraph" w:styleId="TM6">
    <w:name w:val="toc 6"/>
    <w:basedOn w:val="Normal"/>
    <w:next w:val="Normal"/>
    <w:autoRedefine/>
    <w:semiHidden/>
    <w:pPr>
      <w:widowControl/>
      <w:autoSpaceDE/>
      <w:autoSpaceDN/>
      <w:ind w:left="1200"/>
    </w:pPr>
    <w:rPr>
      <w:sz w:val="24"/>
      <w:szCs w:val="24"/>
    </w:rPr>
  </w:style>
  <w:style w:type="paragraph" w:styleId="TM7">
    <w:name w:val="toc 7"/>
    <w:basedOn w:val="Normal"/>
    <w:next w:val="Normal"/>
    <w:autoRedefine/>
    <w:semiHidden/>
    <w:pPr>
      <w:widowControl/>
      <w:autoSpaceDE/>
      <w:autoSpaceDN/>
      <w:ind w:left="1440"/>
    </w:pPr>
    <w:rPr>
      <w:sz w:val="24"/>
      <w:szCs w:val="24"/>
    </w:rPr>
  </w:style>
  <w:style w:type="paragraph" w:styleId="TM8">
    <w:name w:val="toc 8"/>
    <w:basedOn w:val="Normal"/>
    <w:next w:val="Normal"/>
    <w:autoRedefine/>
    <w:semiHidden/>
    <w:pPr>
      <w:widowControl/>
      <w:autoSpaceDE/>
      <w:autoSpaceDN/>
      <w:ind w:left="1680"/>
    </w:pPr>
    <w:rPr>
      <w:sz w:val="24"/>
      <w:szCs w:val="24"/>
    </w:rPr>
  </w:style>
  <w:style w:type="paragraph" w:styleId="TM9">
    <w:name w:val="toc 9"/>
    <w:basedOn w:val="Normal"/>
    <w:next w:val="Normal"/>
    <w:autoRedefine/>
    <w:semiHidden/>
    <w:pPr>
      <w:widowControl/>
      <w:autoSpaceDE/>
      <w:autoSpaceDN/>
      <w:ind w:left="1920"/>
    </w:pPr>
    <w:rPr>
      <w:sz w:val="24"/>
      <w:szCs w:val="24"/>
    </w:rPr>
  </w:style>
  <w:style w:type="paragraph" w:styleId="Titre">
    <w:name w:val="Title"/>
    <w:basedOn w:val="Normal"/>
    <w:qFormat/>
    <w:pPr>
      <w:widowControl/>
      <w:autoSpaceDE/>
      <w:autoSpaceDN/>
      <w:jc w:val="center"/>
    </w:pPr>
    <w:rPr>
      <w:b/>
      <w:bCs/>
    </w:rPr>
  </w:style>
  <w:style w:type="paragraph" w:styleId="Retraitcorpsdetexte3">
    <w:name w:val="Body Text Indent 3"/>
    <w:basedOn w:val="Normal"/>
    <w:pPr>
      <w:widowControl/>
      <w:autoSpaceDE/>
      <w:autoSpaceDN/>
      <w:spacing w:line="240" w:lineRule="exact"/>
      <w:ind w:firstLine="703"/>
      <w:jc w:val="both"/>
    </w:pPr>
    <w:rPr>
      <w:rFonts w:ascii="CG Times" w:hAnsi="CG Times"/>
      <w:sz w:val="24"/>
    </w:rPr>
  </w:style>
  <w:style w:type="paragraph" w:styleId="Notedebasdepage">
    <w:name w:val="footnote text"/>
    <w:basedOn w:val="Normal"/>
    <w:semiHidden/>
  </w:style>
  <w:style w:type="character" w:styleId="Appelnotedebasdep">
    <w:name w:val="footnote reference"/>
    <w:semiHidden/>
    <w:rPr>
      <w:vertAlign w:val="superscript"/>
    </w:rPr>
  </w:style>
  <w:style w:type="character" w:styleId="CitationHTML">
    <w:name w:val="HTML Cite"/>
    <w:rPr>
      <w:i w:val="0"/>
      <w:iCs w:val="0"/>
      <w:color w:val="008000"/>
    </w:rPr>
  </w:style>
  <w:style w:type="character" w:styleId="Lienhypertextesuivivisit">
    <w:name w:val="FollowedHyperlink"/>
    <w:rPr>
      <w:color w:val="800080"/>
      <w:u w:val="single"/>
    </w:rPr>
  </w:style>
  <w:style w:type="character" w:customStyle="1" w:styleId="surligne">
    <w:name w:val="surligne"/>
    <w:basedOn w:val="Policepardfaut"/>
  </w:style>
  <w:style w:type="paragraph" w:styleId="Corpsdetexte2">
    <w:name w:val="Body Text 2"/>
    <w:basedOn w:val="Normal"/>
    <w:pPr>
      <w:jc w:val="both"/>
    </w:pPr>
    <w:rPr>
      <w:rFonts w:ascii="Arial" w:hAnsi="Arial" w:cs="Arial"/>
      <w:color w:val="FF0000"/>
      <w:sz w:val="18"/>
      <w:szCs w:val="18"/>
    </w:rPr>
  </w:style>
  <w:style w:type="paragraph" w:customStyle="1" w:styleId="Liaisons">
    <w:name w:val="Liaisons"/>
    <w:basedOn w:val="Normal"/>
    <w:pPr>
      <w:widowControl/>
      <w:tabs>
        <w:tab w:val="left" w:pos="1701"/>
        <w:tab w:val="left" w:pos="4536"/>
        <w:tab w:val="left" w:pos="6237"/>
      </w:tabs>
      <w:autoSpaceDE/>
      <w:autoSpaceDN/>
      <w:spacing w:before="120" w:line="360" w:lineRule="auto"/>
      <w:ind w:left="680" w:firstLine="567"/>
      <w:jc w:val="both"/>
    </w:pPr>
    <w:rPr>
      <w:rFonts w:ascii="Arial" w:hAnsi="Arial" w:cs="Arial"/>
      <w:sz w:val="24"/>
      <w:szCs w:val="24"/>
    </w:rPr>
  </w:style>
  <w:style w:type="paragraph" w:customStyle="1" w:styleId="Normal2">
    <w:name w:val="Normal2"/>
    <w:basedOn w:val="Normal"/>
    <w:next w:val="Normal"/>
    <w:pPr>
      <w:widowControl/>
      <w:adjustRightInd w:val="0"/>
    </w:pPr>
    <w:rPr>
      <w:szCs w:val="24"/>
    </w:rPr>
  </w:style>
  <w:style w:type="paragraph" w:customStyle="1" w:styleId="DefaultParagraphFontParaCharCarCarCarCar">
    <w:name w:val="Default Paragraph Font Para Char Car Car Car Car"/>
    <w:basedOn w:val="Normal"/>
    <w:rsid w:val="00EF61E5"/>
    <w:pPr>
      <w:widowControl/>
      <w:autoSpaceDE/>
      <w:autoSpaceDN/>
      <w:spacing w:after="160" w:line="240" w:lineRule="exact"/>
    </w:pPr>
    <w:rPr>
      <w:rFonts w:ascii="Verdana" w:hAnsi="Verdana"/>
      <w:lang w:val="en-US" w:eastAsia="en-US"/>
    </w:rPr>
  </w:style>
  <w:style w:type="paragraph" w:customStyle="1" w:styleId="Texte">
    <w:name w:val="Texte"/>
    <w:basedOn w:val="Normal"/>
    <w:rsid w:val="00386214"/>
    <w:pPr>
      <w:widowControl/>
      <w:autoSpaceDE/>
      <w:autoSpaceDN/>
      <w:ind w:firstLine="567"/>
      <w:jc w:val="both"/>
    </w:pPr>
    <w:rPr>
      <w:noProof/>
      <w:sz w:val="22"/>
      <w:szCs w:val="22"/>
    </w:rPr>
  </w:style>
  <w:style w:type="character" w:customStyle="1" w:styleId="CorpsdetexteCar">
    <w:name w:val="Corps de texte Car"/>
    <w:link w:val="Corpsdetexte"/>
    <w:rsid w:val="00386214"/>
    <w:rPr>
      <w:rFonts w:ascii="Arial" w:hAnsi="Arial" w:cs="Arial"/>
      <w:sz w:val="18"/>
      <w:szCs w:val="24"/>
      <w:lang w:val="fr-FR" w:eastAsia="fr-FR" w:bidi="ar-SA"/>
    </w:rPr>
  </w:style>
  <w:style w:type="paragraph" w:customStyle="1" w:styleId="Default">
    <w:name w:val="Default"/>
    <w:rsid w:val="005062C6"/>
    <w:pPr>
      <w:autoSpaceDE w:val="0"/>
      <w:autoSpaceDN w:val="0"/>
      <w:adjustRightInd w:val="0"/>
    </w:pPr>
    <w:rPr>
      <w:rFonts w:ascii="Arial" w:hAnsi="Arial" w:cs="Arial"/>
      <w:color w:val="000000"/>
      <w:sz w:val="24"/>
      <w:szCs w:val="24"/>
    </w:rPr>
  </w:style>
  <w:style w:type="paragraph" w:customStyle="1" w:styleId="CORPSTEXTE">
    <w:name w:val="CORPS TEXTE"/>
    <w:basedOn w:val="Normal"/>
    <w:rsid w:val="00F9526D"/>
    <w:pPr>
      <w:widowControl/>
      <w:autoSpaceDE/>
      <w:autoSpaceDN/>
      <w:ind w:left="1134"/>
      <w:jc w:val="both"/>
    </w:pPr>
    <w:rPr>
      <w:sz w:val="24"/>
    </w:rPr>
  </w:style>
  <w:style w:type="table" w:styleId="Grilledutableau">
    <w:name w:val="Table Grid"/>
    <w:basedOn w:val="TableauNormal"/>
    <w:rsid w:val="00EF3DB1"/>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link w:val="Titre2"/>
    <w:rsid w:val="00F20730"/>
    <w:rPr>
      <w:rFonts w:ascii="Arial" w:hAnsi="Arial" w:cs="Arial"/>
      <w:b/>
      <w:bCs/>
      <w:i/>
      <w:iCs/>
      <w:sz w:val="28"/>
      <w:szCs w:val="28"/>
    </w:rPr>
  </w:style>
  <w:style w:type="paragraph" w:styleId="Paragraphedeliste">
    <w:name w:val="List Paragraph"/>
    <w:basedOn w:val="Normal"/>
    <w:uiPriority w:val="34"/>
    <w:qFormat/>
    <w:rsid w:val="00B06D2D"/>
    <w:pPr>
      <w:ind w:left="720"/>
      <w:contextualSpacing/>
    </w:pPr>
  </w:style>
  <w:style w:type="paragraph" w:customStyle="1" w:styleId="xmsobodytext2">
    <w:name w:val="x_msobodytext2"/>
    <w:basedOn w:val="Normal"/>
    <w:rsid w:val="00D96FD1"/>
    <w:pPr>
      <w:widowControl/>
      <w:autoSpaceDE/>
      <w:autoSpaceDN/>
      <w:spacing w:before="100" w:beforeAutospacing="1" w:after="100" w:afterAutospacing="1"/>
    </w:pPr>
    <w:rPr>
      <w:sz w:val="24"/>
      <w:szCs w:val="24"/>
    </w:rPr>
  </w:style>
  <w:style w:type="paragraph" w:customStyle="1" w:styleId="xmsobodytext">
    <w:name w:val="x_msobodytext"/>
    <w:basedOn w:val="Normal"/>
    <w:rsid w:val="00D96FD1"/>
    <w:pPr>
      <w:widowControl/>
      <w:autoSpaceDE/>
      <w:autoSpaceDN/>
      <w:spacing w:before="100" w:beforeAutospacing="1" w:after="100" w:afterAutospacing="1"/>
    </w:pPr>
    <w:rPr>
      <w:sz w:val="24"/>
      <w:szCs w:val="24"/>
    </w:rPr>
  </w:style>
  <w:style w:type="paragraph" w:customStyle="1" w:styleId="xmsonormal">
    <w:name w:val="x_msonormal"/>
    <w:basedOn w:val="Normal"/>
    <w:rsid w:val="00D96FD1"/>
    <w:pPr>
      <w:widowControl/>
      <w:autoSpaceDE/>
      <w:autoSpaceDN/>
      <w:spacing w:before="100" w:beforeAutospacing="1" w:after="100" w:afterAutospacing="1"/>
    </w:pPr>
    <w:rPr>
      <w:sz w:val="24"/>
      <w:szCs w:val="24"/>
    </w:rPr>
  </w:style>
  <w:style w:type="character" w:customStyle="1" w:styleId="WW8Num1z5">
    <w:name w:val="WW8Num1z5"/>
    <w:rsid w:val="00007C57"/>
  </w:style>
  <w:style w:type="character" w:customStyle="1" w:styleId="PieddepageCar">
    <w:name w:val="Pied de page Car"/>
    <w:link w:val="Pieddepage"/>
    <w:rsid w:val="00A37CB4"/>
    <w:rPr>
      <w:rFonts w:ascii="Arial" w:hAnsi="Arial" w:cs="Arial"/>
      <w:sz w:val="24"/>
      <w:szCs w:val="24"/>
    </w:rPr>
  </w:style>
  <w:style w:type="character" w:customStyle="1" w:styleId="En-tteCar">
    <w:name w:val="En-tête Car"/>
    <w:link w:val="En-tte"/>
    <w:rsid w:val="00A37CB4"/>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982822">
      <w:bodyDiv w:val="1"/>
      <w:marLeft w:val="0"/>
      <w:marRight w:val="0"/>
      <w:marTop w:val="0"/>
      <w:marBottom w:val="0"/>
      <w:divBdr>
        <w:top w:val="none" w:sz="0" w:space="0" w:color="auto"/>
        <w:left w:val="none" w:sz="0" w:space="0" w:color="auto"/>
        <w:bottom w:val="none" w:sz="0" w:space="0" w:color="auto"/>
        <w:right w:val="none" w:sz="0" w:space="0" w:color="auto"/>
      </w:divBdr>
    </w:div>
    <w:div w:id="1859387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463</Words>
  <Characters>2693</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SIS</Company>
  <LinksUpToDate>false</LinksUpToDate>
  <CharactersWithSpaces>3150</CharactersWithSpaces>
  <SharedDoc>false</SharedDoc>
  <HLinks>
    <vt:vector size="438" baseType="variant">
      <vt:variant>
        <vt:i4>393218</vt:i4>
      </vt:variant>
      <vt:variant>
        <vt:i4>405</vt:i4>
      </vt:variant>
      <vt:variant>
        <vt:i4>0</vt:i4>
      </vt:variant>
      <vt:variant>
        <vt:i4>5</vt:i4>
      </vt:variant>
      <vt:variant>
        <vt:lpwstr>https://www.marches-publics.gouv.fr/</vt:lpwstr>
      </vt:variant>
      <vt:variant>
        <vt:lpwstr/>
      </vt:variant>
      <vt:variant>
        <vt:i4>2818173</vt:i4>
      </vt:variant>
      <vt:variant>
        <vt:i4>402</vt:i4>
      </vt:variant>
      <vt:variant>
        <vt:i4>0</vt:i4>
      </vt:variant>
      <vt:variant>
        <vt:i4>5</vt:i4>
      </vt:variant>
      <vt:variant>
        <vt:lpwstr>http://www.dijon.tribunal-administratif.fr/</vt:lpwstr>
      </vt:variant>
      <vt:variant>
        <vt:lpwstr/>
      </vt:variant>
      <vt:variant>
        <vt:i4>589883</vt:i4>
      </vt:variant>
      <vt:variant>
        <vt:i4>399</vt:i4>
      </vt:variant>
      <vt:variant>
        <vt:i4>0</vt:i4>
      </vt:variant>
      <vt:variant>
        <vt:i4>5</vt:i4>
      </vt:variant>
      <vt:variant>
        <vt:lpwstr>mailto:greffe.ta-dijon@juradm.fr</vt:lpwstr>
      </vt:variant>
      <vt:variant>
        <vt:lpwstr/>
      </vt:variant>
      <vt:variant>
        <vt:i4>2818173</vt:i4>
      </vt:variant>
      <vt:variant>
        <vt:i4>396</vt:i4>
      </vt:variant>
      <vt:variant>
        <vt:i4>0</vt:i4>
      </vt:variant>
      <vt:variant>
        <vt:i4>5</vt:i4>
      </vt:variant>
      <vt:variant>
        <vt:lpwstr>http://www.dijon.tribunal-administratif.fr/</vt:lpwstr>
      </vt:variant>
      <vt:variant>
        <vt:lpwstr/>
      </vt:variant>
      <vt:variant>
        <vt:i4>589883</vt:i4>
      </vt:variant>
      <vt:variant>
        <vt:i4>393</vt:i4>
      </vt:variant>
      <vt:variant>
        <vt:i4>0</vt:i4>
      </vt:variant>
      <vt:variant>
        <vt:i4>5</vt:i4>
      </vt:variant>
      <vt:variant>
        <vt:lpwstr>mailto:greffe.ta-dijon@juradm.fr</vt:lpwstr>
      </vt:variant>
      <vt:variant>
        <vt:lpwstr/>
      </vt:variant>
      <vt:variant>
        <vt:i4>5832817</vt:i4>
      </vt:variant>
      <vt:variant>
        <vt:i4>390</vt:i4>
      </vt:variant>
      <vt:variant>
        <vt:i4>0</vt:i4>
      </vt:variant>
      <vt:variant>
        <vt:i4>5</vt:i4>
      </vt:variant>
      <vt:variant>
        <vt:lpwstr>mailto:ara.ccira@direccte.gouv.fr</vt:lpwstr>
      </vt:variant>
      <vt:variant>
        <vt:lpwstr/>
      </vt:variant>
      <vt:variant>
        <vt:i4>6225922</vt:i4>
      </vt:variant>
      <vt:variant>
        <vt:i4>387</vt:i4>
      </vt:variant>
      <vt:variant>
        <vt:i4>0</vt:i4>
      </vt:variant>
      <vt:variant>
        <vt:i4>5</vt:i4>
      </vt:variant>
      <vt:variant>
        <vt:lpwstr>https://marches-publics.gouv.fr/</vt:lpwstr>
      </vt:variant>
      <vt:variant>
        <vt:lpwstr/>
      </vt:variant>
      <vt:variant>
        <vt:i4>6225922</vt:i4>
      </vt:variant>
      <vt:variant>
        <vt:i4>384</vt:i4>
      </vt:variant>
      <vt:variant>
        <vt:i4>0</vt:i4>
      </vt:variant>
      <vt:variant>
        <vt:i4>5</vt:i4>
      </vt:variant>
      <vt:variant>
        <vt:lpwstr>https://marches-publics.gouv.fr/</vt:lpwstr>
      </vt:variant>
      <vt:variant>
        <vt:lpwstr/>
      </vt:variant>
      <vt:variant>
        <vt:i4>3407941</vt:i4>
      </vt:variant>
      <vt:variant>
        <vt:i4>381</vt:i4>
      </vt:variant>
      <vt:variant>
        <vt:i4>0</vt:i4>
      </vt:variant>
      <vt:variant>
        <vt:i4>5</vt:i4>
      </vt:variant>
      <vt:variant>
        <vt:lpwstr>mailto:cellulemarches@ch-macon.fr</vt:lpwstr>
      </vt:variant>
      <vt:variant>
        <vt:lpwstr/>
      </vt:variant>
      <vt:variant>
        <vt:i4>6225922</vt:i4>
      </vt:variant>
      <vt:variant>
        <vt:i4>378</vt:i4>
      </vt:variant>
      <vt:variant>
        <vt:i4>0</vt:i4>
      </vt:variant>
      <vt:variant>
        <vt:i4>5</vt:i4>
      </vt:variant>
      <vt:variant>
        <vt:lpwstr>https://marches-publics.gouv.fr/</vt:lpwstr>
      </vt:variant>
      <vt:variant>
        <vt:lpwstr/>
      </vt:variant>
      <vt:variant>
        <vt:i4>3604542</vt:i4>
      </vt:variant>
      <vt:variant>
        <vt:i4>375</vt:i4>
      </vt:variant>
      <vt:variant>
        <vt:i4>0</vt:i4>
      </vt:variant>
      <vt:variant>
        <vt:i4>5</vt:i4>
      </vt:variant>
      <vt:variant>
        <vt:lpwstr>http://www.ch-macon.fr/</vt:lpwstr>
      </vt:variant>
      <vt:variant>
        <vt:lpwstr/>
      </vt:variant>
      <vt:variant>
        <vt:i4>3407941</vt:i4>
      </vt:variant>
      <vt:variant>
        <vt:i4>372</vt:i4>
      </vt:variant>
      <vt:variant>
        <vt:i4>0</vt:i4>
      </vt:variant>
      <vt:variant>
        <vt:i4>5</vt:i4>
      </vt:variant>
      <vt:variant>
        <vt:lpwstr>mailto:cellulemarches@ch-macon.fr</vt:lpwstr>
      </vt:variant>
      <vt:variant>
        <vt:lpwstr/>
      </vt:variant>
      <vt:variant>
        <vt:i4>1441842</vt:i4>
      </vt:variant>
      <vt:variant>
        <vt:i4>365</vt:i4>
      </vt:variant>
      <vt:variant>
        <vt:i4>0</vt:i4>
      </vt:variant>
      <vt:variant>
        <vt:i4>5</vt:i4>
      </vt:variant>
      <vt:variant>
        <vt:lpwstr/>
      </vt:variant>
      <vt:variant>
        <vt:lpwstr>_Toc83112596</vt:lpwstr>
      </vt:variant>
      <vt:variant>
        <vt:i4>1376306</vt:i4>
      </vt:variant>
      <vt:variant>
        <vt:i4>359</vt:i4>
      </vt:variant>
      <vt:variant>
        <vt:i4>0</vt:i4>
      </vt:variant>
      <vt:variant>
        <vt:i4>5</vt:i4>
      </vt:variant>
      <vt:variant>
        <vt:lpwstr/>
      </vt:variant>
      <vt:variant>
        <vt:lpwstr>_Toc83112595</vt:lpwstr>
      </vt:variant>
      <vt:variant>
        <vt:i4>1310770</vt:i4>
      </vt:variant>
      <vt:variant>
        <vt:i4>353</vt:i4>
      </vt:variant>
      <vt:variant>
        <vt:i4>0</vt:i4>
      </vt:variant>
      <vt:variant>
        <vt:i4>5</vt:i4>
      </vt:variant>
      <vt:variant>
        <vt:lpwstr/>
      </vt:variant>
      <vt:variant>
        <vt:lpwstr>_Toc83112594</vt:lpwstr>
      </vt:variant>
      <vt:variant>
        <vt:i4>1245234</vt:i4>
      </vt:variant>
      <vt:variant>
        <vt:i4>347</vt:i4>
      </vt:variant>
      <vt:variant>
        <vt:i4>0</vt:i4>
      </vt:variant>
      <vt:variant>
        <vt:i4>5</vt:i4>
      </vt:variant>
      <vt:variant>
        <vt:lpwstr/>
      </vt:variant>
      <vt:variant>
        <vt:lpwstr>_Toc83112593</vt:lpwstr>
      </vt:variant>
      <vt:variant>
        <vt:i4>1179698</vt:i4>
      </vt:variant>
      <vt:variant>
        <vt:i4>341</vt:i4>
      </vt:variant>
      <vt:variant>
        <vt:i4>0</vt:i4>
      </vt:variant>
      <vt:variant>
        <vt:i4>5</vt:i4>
      </vt:variant>
      <vt:variant>
        <vt:lpwstr/>
      </vt:variant>
      <vt:variant>
        <vt:lpwstr>_Toc83112592</vt:lpwstr>
      </vt:variant>
      <vt:variant>
        <vt:i4>1114162</vt:i4>
      </vt:variant>
      <vt:variant>
        <vt:i4>335</vt:i4>
      </vt:variant>
      <vt:variant>
        <vt:i4>0</vt:i4>
      </vt:variant>
      <vt:variant>
        <vt:i4>5</vt:i4>
      </vt:variant>
      <vt:variant>
        <vt:lpwstr/>
      </vt:variant>
      <vt:variant>
        <vt:lpwstr>_Toc83112591</vt:lpwstr>
      </vt:variant>
      <vt:variant>
        <vt:i4>1048626</vt:i4>
      </vt:variant>
      <vt:variant>
        <vt:i4>329</vt:i4>
      </vt:variant>
      <vt:variant>
        <vt:i4>0</vt:i4>
      </vt:variant>
      <vt:variant>
        <vt:i4>5</vt:i4>
      </vt:variant>
      <vt:variant>
        <vt:lpwstr/>
      </vt:variant>
      <vt:variant>
        <vt:lpwstr>_Toc83112590</vt:lpwstr>
      </vt:variant>
      <vt:variant>
        <vt:i4>1638451</vt:i4>
      </vt:variant>
      <vt:variant>
        <vt:i4>323</vt:i4>
      </vt:variant>
      <vt:variant>
        <vt:i4>0</vt:i4>
      </vt:variant>
      <vt:variant>
        <vt:i4>5</vt:i4>
      </vt:variant>
      <vt:variant>
        <vt:lpwstr/>
      </vt:variant>
      <vt:variant>
        <vt:lpwstr>_Toc83112589</vt:lpwstr>
      </vt:variant>
      <vt:variant>
        <vt:i4>1572915</vt:i4>
      </vt:variant>
      <vt:variant>
        <vt:i4>317</vt:i4>
      </vt:variant>
      <vt:variant>
        <vt:i4>0</vt:i4>
      </vt:variant>
      <vt:variant>
        <vt:i4>5</vt:i4>
      </vt:variant>
      <vt:variant>
        <vt:lpwstr/>
      </vt:variant>
      <vt:variant>
        <vt:lpwstr>_Toc83112588</vt:lpwstr>
      </vt:variant>
      <vt:variant>
        <vt:i4>1507379</vt:i4>
      </vt:variant>
      <vt:variant>
        <vt:i4>311</vt:i4>
      </vt:variant>
      <vt:variant>
        <vt:i4>0</vt:i4>
      </vt:variant>
      <vt:variant>
        <vt:i4>5</vt:i4>
      </vt:variant>
      <vt:variant>
        <vt:lpwstr/>
      </vt:variant>
      <vt:variant>
        <vt:lpwstr>_Toc83112587</vt:lpwstr>
      </vt:variant>
      <vt:variant>
        <vt:i4>1441843</vt:i4>
      </vt:variant>
      <vt:variant>
        <vt:i4>305</vt:i4>
      </vt:variant>
      <vt:variant>
        <vt:i4>0</vt:i4>
      </vt:variant>
      <vt:variant>
        <vt:i4>5</vt:i4>
      </vt:variant>
      <vt:variant>
        <vt:lpwstr/>
      </vt:variant>
      <vt:variant>
        <vt:lpwstr>_Toc83112586</vt:lpwstr>
      </vt:variant>
      <vt:variant>
        <vt:i4>1376307</vt:i4>
      </vt:variant>
      <vt:variant>
        <vt:i4>299</vt:i4>
      </vt:variant>
      <vt:variant>
        <vt:i4>0</vt:i4>
      </vt:variant>
      <vt:variant>
        <vt:i4>5</vt:i4>
      </vt:variant>
      <vt:variant>
        <vt:lpwstr/>
      </vt:variant>
      <vt:variant>
        <vt:lpwstr>_Toc83112585</vt:lpwstr>
      </vt:variant>
      <vt:variant>
        <vt:i4>1310771</vt:i4>
      </vt:variant>
      <vt:variant>
        <vt:i4>293</vt:i4>
      </vt:variant>
      <vt:variant>
        <vt:i4>0</vt:i4>
      </vt:variant>
      <vt:variant>
        <vt:i4>5</vt:i4>
      </vt:variant>
      <vt:variant>
        <vt:lpwstr/>
      </vt:variant>
      <vt:variant>
        <vt:lpwstr>_Toc83112584</vt:lpwstr>
      </vt:variant>
      <vt:variant>
        <vt:i4>1245235</vt:i4>
      </vt:variant>
      <vt:variant>
        <vt:i4>287</vt:i4>
      </vt:variant>
      <vt:variant>
        <vt:i4>0</vt:i4>
      </vt:variant>
      <vt:variant>
        <vt:i4>5</vt:i4>
      </vt:variant>
      <vt:variant>
        <vt:lpwstr/>
      </vt:variant>
      <vt:variant>
        <vt:lpwstr>_Toc83112583</vt:lpwstr>
      </vt:variant>
      <vt:variant>
        <vt:i4>1179699</vt:i4>
      </vt:variant>
      <vt:variant>
        <vt:i4>281</vt:i4>
      </vt:variant>
      <vt:variant>
        <vt:i4>0</vt:i4>
      </vt:variant>
      <vt:variant>
        <vt:i4>5</vt:i4>
      </vt:variant>
      <vt:variant>
        <vt:lpwstr/>
      </vt:variant>
      <vt:variant>
        <vt:lpwstr>_Toc83112582</vt:lpwstr>
      </vt:variant>
      <vt:variant>
        <vt:i4>1114163</vt:i4>
      </vt:variant>
      <vt:variant>
        <vt:i4>275</vt:i4>
      </vt:variant>
      <vt:variant>
        <vt:i4>0</vt:i4>
      </vt:variant>
      <vt:variant>
        <vt:i4>5</vt:i4>
      </vt:variant>
      <vt:variant>
        <vt:lpwstr/>
      </vt:variant>
      <vt:variant>
        <vt:lpwstr>_Toc83112581</vt:lpwstr>
      </vt:variant>
      <vt:variant>
        <vt:i4>1048627</vt:i4>
      </vt:variant>
      <vt:variant>
        <vt:i4>269</vt:i4>
      </vt:variant>
      <vt:variant>
        <vt:i4>0</vt:i4>
      </vt:variant>
      <vt:variant>
        <vt:i4>5</vt:i4>
      </vt:variant>
      <vt:variant>
        <vt:lpwstr/>
      </vt:variant>
      <vt:variant>
        <vt:lpwstr>_Toc83112580</vt:lpwstr>
      </vt:variant>
      <vt:variant>
        <vt:i4>1638460</vt:i4>
      </vt:variant>
      <vt:variant>
        <vt:i4>263</vt:i4>
      </vt:variant>
      <vt:variant>
        <vt:i4>0</vt:i4>
      </vt:variant>
      <vt:variant>
        <vt:i4>5</vt:i4>
      </vt:variant>
      <vt:variant>
        <vt:lpwstr/>
      </vt:variant>
      <vt:variant>
        <vt:lpwstr>_Toc83112579</vt:lpwstr>
      </vt:variant>
      <vt:variant>
        <vt:i4>1572924</vt:i4>
      </vt:variant>
      <vt:variant>
        <vt:i4>257</vt:i4>
      </vt:variant>
      <vt:variant>
        <vt:i4>0</vt:i4>
      </vt:variant>
      <vt:variant>
        <vt:i4>5</vt:i4>
      </vt:variant>
      <vt:variant>
        <vt:lpwstr/>
      </vt:variant>
      <vt:variant>
        <vt:lpwstr>_Toc83112578</vt:lpwstr>
      </vt:variant>
      <vt:variant>
        <vt:i4>1507388</vt:i4>
      </vt:variant>
      <vt:variant>
        <vt:i4>251</vt:i4>
      </vt:variant>
      <vt:variant>
        <vt:i4>0</vt:i4>
      </vt:variant>
      <vt:variant>
        <vt:i4>5</vt:i4>
      </vt:variant>
      <vt:variant>
        <vt:lpwstr/>
      </vt:variant>
      <vt:variant>
        <vt:lpwstr>_Toc83112577</vt:lpwstr>
      </vt:variant>
      <vt:variant>
        <vt:i4>1441852</vt:i4>
      </vt:variant>
      <vt:variant>
        <vt:i4>245</vt:i4>
      </vt:variant>
      <vt:variant>
        <vt:i4>0</vt:i4>
      </vt:variant>
      <vt:variant>
        <vt:i4>5</vt:i4>
      </vt:variant>
      <vt:variant>
        <vt:lpwstr/>
      </vt:variant>
      <vt:variant>
        <vt:lpwstr>_Toc83112576</vt:lpwstr>
      </vt:variant>
      <vt:variant>
        <vt:i4>1376316</vt:i4>
      </vt:variant>
      <vt:variant>
        <vt:i4>239</vt:i4>
      </vt:variant>
      <vt:variant>
        <vt:i4>0</vt:i4>
      </vt:variant>
      <vt:variant>
        <vt:i4>5</vt:i4>
      </vt:variant>
      <vt:variant>
        <vt:lpwstr/>
      </vt:variant>
      <vt:variant>
        <vt:lpwstr>_Toc83112575</vt:lpwstr>
      </vt:variant>
      <vt:variant>
        <vt:i4>1310780</vt:i4>
      </vt:variant>
      <vt:variant>
        <vt:i4>233</vt:i4>
      </vt:variant>
      <vt:variant>
        <vt:i4>0</vt:i4>
      </vt:variant>
      <vt:variant>
        <vt:i4>5</vt:i4>
      </vt:variant>
      <vt:variant>
        <vt:lpwstr/>
      </vt:variant>
      <vt:variant>
        <vt:lpwstr>_Toc83112574</vt:lpwstr>
      </vt:variant>
      <vt:variant>
        <vt:i4>1245244</vt:i4>
      </vt:variant>
      <vt:variant>
        <vt:i4>227</vt:i4>
      </vt:variant>
      <vt:variant>
        <vt:i4>0</vt:i4>
      </vt:variant>
      <vt:variant>
        <vt:i4>5</vt:i4>
      </vt:variant>
      <vt:variant>
        <vt:lpwstr/>
      </vt:variant>
      <vt:variant>
        <vt:lpwstr>_Toc83112573</vt:lpwstr>
      </vt:variant>
      <vt:variant>
        <vt:i4>1179708</vt:i4>
      </vt:variant>
      <vt:variant>
        <vt:i4>221</vt:i4>
      </vt:variant>
      <vt:variant>
        <vt:i4>0</vt:i4>
      </vt:variant>
      <vt:variant>
        <vt:i4>5</vt:i4>
      </vt:variant>
      <vt:variant>
        <vt:lpwstr/>
      </vt:variant>
      <vt:variant>
        <vt:lpwstr>_Toc83112572</vt:lpwstr>
      </vt:variant>
      <vt:variant>
        <vt:i4>1114172</vt:i4>
      </vt:variant>
      <vt:variant>
        <vt:i4>215</vt:i4>
      </vt:variant>
      <vt:variant>
        <vt:i4>0</vt:i4>
      </vt:variant>
      <vt:variant>
        <vt:i4>5</vt:i4>
      </vt:variant>
      <vt:variant>
        <vt:lpwstr/>
      </vt:variant>
      <vt:variant>
        <vt:lpwstr>_Toc83112571</vt:lpwstr>
      </vt:variant>
      <vt:variant>
        <vt:i4>1048636</vt:i4>
      </vt:variant>
      <vt:variant>
        <vt:i4>209</vt:i4>
      </vt:variant>
      <vt:variant>
        <vt:i4>0</vt:i4>
      </vt:variant>
      <vt:variant>
        <vt:i4>5</vt:i4>
      </vt:variant>
      <vt:variant>
        <vt:lpwstr/>
      </vt:variant>
      <vt:variant>
        <vt:lpwstr>_Toc83112570</vt:lpwstr>
      </vt:variant>
      <vt:variant>
        <vt:i4>1638461</vt:i4>
      </vt:variant>
      <vt:variant>
        <vt:i4>203</vt:i4>
      </vt:variant>
      <vt:variant>
        <vt:i4>0</vt:i4>
      </vt:variant>
      <vt:variant>
        <vt:i4>5</vt:i4>
      </vt:variant>
      <vt:variant>
        <vt:lpwstr/>
      </vt:variant>
      <vt:variant>
        <vt:lpwstr>_Toc83112569</vt:lpwstr>
      </vt:variant>
      <vt:variant>
        <vt:i4>1572925</vt:i4>
      </vt:variant>
      <vt:variant>
        <vt:i4>197</vt:i4>
      </vt:variant>
      <vt:variant>
        <vt:i4>0</vt:i4>
      </vt:variant>
      <vt:variant>
        <vt:i4>5</vt:i4>
      </vt:variant>
      <vt:variant>
        <vt:lpwstr/>
      </vt:variant>
      <vt:variant>
        <vt:lpwstr>_Toc83112568</vt:lpwstr>
      </vt:variant>
      <vt:variant>
        <vt:i4>1507389</vt:i4>
      </vt:variant>
      <vt:variant>
        <vt:i4>191</vt:i4>
      </vt:variant>
      <vt:variant>
        <vt:i4>0</vt:i4>
      </vt:variant>
      <vt:variant>
        <vt:i4>5</vt:i4>
      </vt:variant>
      <vt:variant>
        <vt:lpwstr/>
      </vt:variant>
      <vt:variant>
        <vt:lpwstr>_Toc83112567</vt:lpwstr>
      </vt:variant>
      <vt:variant>
        <vt:i4>1441853</vt:i4>
      </vt:variant>
      <vt:variant>
        <vt:i4>185</vt:i4>
      </vt:variant>
      <vt:variant>
        <vt:i4>0</vt:i4>
      </vt:variant>
      <vt:variant>
        <vt:i4>5</vt:i4>
      </vt:variant>
      <vt:variant>
        <vt:lpwstr/>
      </vt:variant>
      <vt:variant>
        <vt:lpwstr>_Toc83112566</vt:lpwstr>
      </vt:variant>
      <vt:variant>
        <vt:i4>1376317</vt:i4>
      </vt:variant>
      <vt:variant>
        <vt:i4>179</vt:i4>
      </vt:variant>
      <vt:variant>
        <vt:i4>0</vt:i4>
      </vt:variant>
      <vt:variant>
        <vt:i4>5</vt:i4>
      </vt:variant>
      <vt:variant>
        <vt:lpwstr/>
      </vt:variant>
      <vt:variant>
        <vt:lpwstr>_Toc83112565</vt:lpwstr>
      </vt:variant>
      <vt:variant>
        <vt:i4>1310781</vt:i4>
      </vt:variant>
      <vt:variant>
        <vt:i4>173</vt:i4>
      </vt:variant>
      <vt:variant>
        <vt:i4>0</vt:i4>
      </vt:variant>
      <vt:variant>
        <vt:i4>5</vt:i4>
      </vt:variant>
      <vt:variant>
        <vt:lpwstr/>
      </vt:variant>
      <vt:variant>
        <vt:lpwstr>_Toc83112564</vt:lpwstr>
      </vt:variant>
      <vt:variant>
        <vt:i4>1245245</vt:i4>
      </vt:variant>
      <vt:variant>
        <vt:i4>167</vt:i4>
      </vt:variant>
      <vt:variant>
        <vt:i4>0</vt:i4>
      </vt:variant>
      <vt:variant>
        <vt:i4>5</vt:i4>
      </vt:variant>
      <vt:variant>
        <vt:lpwstr/>
      </vt:variant>
      <vt:variant>
        <vt:lpwstr>_Toc83112563</vt:lpwstr>
      </vt:variant>
      <vt:variant>
        <vt:i4>1179709</vt:i4>
      </vt:variant>
      <vt:variant>
        <vt:i4>161</vt:i4>
      </vt:variant>
      <vt:variant>
        <vt:i4>0</vt:i4>
      </vt:variant>
      <vt:variant>
        <vt:i4>5</vt:i4>
      </vt:variant>
      <vt:variant>
        <vt:lpwstr/>
      </vt:variant>
      <vt:variant>
        <vt:lpwstr>_Toc83112562</vt:lpwstr>
      </vt:variant>
      <vt:variant>
        <vt:i4>1114173</vt:i4>
      </vt:variant>
      <vt:variant>
        <vt:i4>155</vt:i4>
      </vt:variant>
      <vt:variant>
        <vt:i4>0</vt:i4>
      </vt:variant>
      <vt:variant>
        <vt:i4>5</vt:i4>
      </vt:variant>
      <vt:variant>
        <vt:lpwstr/>
      </vt:variant>
      <vt:variant>
        <vt:lpwstr>_Toc83112561</vt:lpwstr>
      </vt:variant>
      <vt:variant>
        <vt:i4>1048637</vt:i4>
      </vt:variant>
      <vt:variant>
        <vt:i4>149</vt:i4>
      </vt:variant>
      <vt:variant>
        <vt:i4>0</vt:i4>
      </vt:variant>
      <vt:variant>
        <vt:i4>5</vt:i4>
      </vt:variant>
      <vt:variant>
        <vt:lpwstr/>
      </vt:variant>
      <vt:variant>
        <vt:lpwstr>_Toc83112560</vt:lpwstr>
      </vt:variant>
      <vt:variant>
        <vt:i4>1638462</vt:i4>
      </vt:variant>
      <vt:variant>
        <vt:i4>143</vt:i4>
      </vt:variant>
      <vt:variant>
        <vt:i4>0</vt:i4>
      </vt:variant>
      <vt:variant>
        <vt:i4>5</vt:i4>
      </vt:variant>
      <vt:variant>
        <vt:lpwstr/>
      </vt:variant>
      <vt:variant>
        <vt:lpwstr>_Toc83112559</vt:lpwstr>
      </vt:variant>
      <vt:variant>
        <vt:i4>1572926</vt:i4>
      </vt:variant>
      <vt:variant>
        <vt:i4>137</vt:i4>
      </vt:variant>
      <vt:variant>
        <vt:i4>0</vt:i4>
      </vt:variant>
      <vt:variant>
        <vt:i4>5</vt:i4>
      </vt:variant>
      <vt:variant>
        <vt:lpwstr/>
      </vt:variant>
      <vt:variant>
        <vt:lpwstr>_Toc83112558</vt:lpwstr>
      </vt:variant>
      <vt:variant>
        <vt:i4>1507390</vt:i4>
      </vt:variant>
      <vt:variant>
        <vt:i4>131</vt:i4>
      </vt:variant>
      <vt:variant>
        <vt:i4>0</vt:i4>
      </vt:variant>
      <vt:variant>
        <vt:i4>5</vt:i4>
      </vt:variant>
      <vt:variant>
        <vt:lpwstr/>
      </vt:variant>
      <vt:variant>
        <vt:lpwstr>_Toc83112557</vt:lpwstr>
      </vt:variant>
      <vt:variant>
        <vt:i4>1441854</vt:i4>
      </vt:variant>
      <vt:variant>
        <vt:i4>125</vt:i4>
      </vt:variant>
      <vt:variant>
        <vt:i4>0</vt:i4>
      </vt:variant>
      <vt:variant>
        <vt:i4>5</vt:i4>
      </vt:variant>
      <vt:variant>
        <vt:lpwstr/>
      </vt:variant>
      <vt:variant>
        <vt:lpwstr>_Toc83112556</vt:lpwstr>
      </vt:variant>
      <vt:variant>
        <vt:i4>1376318</vt:i4>
      </vt:variant>
      <vt:variant>
        <vt:i4>119</vt:i4>
      </vt:variant>
      <vt:variant>
        <vt:i4>0</vt:i4>
      </vt:variant>
      <vt:variant>
        <vt:i4>5</vt:i4>
      </vt:variant>
      <vt:variant>
        <vt:lpwstr/>
      </vt:variant>
      <vt:variant>
        <vt:lpwstr>_Toc83112555</vt:lpwstr>
      </vt:variant>
      <vt:variant>
        <vt:i4>1310782</vt:i4>
      </vt:variant>
      <vt:variant>
        <vt:i4>113</vt:i4>
      </vt:variant>
      <vt:variant>
        <vt:i4>0</vt:i4>
      </vt:variant>
      <vt:variant>
        <vt:i4>5</vt:i4>
      </vt:variant>
      <vt:variant>
        <vt:lpwstr/>
      </vt:variant>
      <vt:variant>
        <vt:lpwstr>_Toc83112554</vt:lpwstr>
      </vt:variant>
      <vt:variant>
        <vt:i4>1245246</vt:i4>
      </vt:variant>
      <vt:variant>
        <vt:i4>107</vt:i4>
      </vt:variant>
      <vt:variant>
        <vt:i4>0</vt:i4>
      </vt:variant>
      <vt:variant>
        <vt:i4>5</vt:i4>
      </vt:variant>
      <vt:variant>
        <vt:lpwstr/>
      </vt:variant>
      <vt:variant>
        <vt:lpwstr>_Toc83112553</vt:lpwstr>
      </vt:variant>
      <vt:variant>
        <vt:i4>1179710</vt:i4>
      </vt:variant>
      <vt:variant>
        <vt:i4>101</vt:i4>
      </vt:variant>
      <vt:variant>
        <vt:i4>0</vt:i4>
      </vt:variant>
      <vt:variant>
        <vt:i4>5</vt:i4>
      </vt:variant>
      <vt:variant>
        <vt:lpwstr/>
      </vt:variant>
      <vt:variant>
        <vt:lpwstr>_Toc83112552</vt:lpwstr>
      </vt:variant>
      <vt:variant>
        <vt:i4>1114174</vt:i4>
      </vt:variant>
      <vt:variant>
        <vt:i4>95</vt:i4>
      </vt:variant>
      <vt:variant>
        <vt:i4>0</vt:i4>
      </vt:variant>
      <vt:variant>
        <vt:i4>5</vt:i4>
      </vt:variant>
      <vt:variant>
        <vt:lpwstr/>
      </vt:variant>
      <vt:variant>
        <vt:lpwstr>_Toc83112551</vt:lpwstr>
      </vt:variant>
      <vt:variant>
        <vt:i4>1048638</vt:i4>
      </vt:variant>
      <vt:variant>
        <vt:i4>89</vt:i4>
      </vt:variant>
      <vt:variant>
        <vt:i4>0</vt:i4>
      </vt:variant>
      <vt:variant>
        <vt:i4>5</vt:i4>
      </vt:variant>
      <vt:variant>
        <vt:lpwstr/>
      </vt:variant>
      <vt:variant>
        <vt:lpwstr>_Toc83112550</vt:lpwstr>
      </vt:variant>
      <vt:variant>
        <vt:i4>1638463</vt:i4>
      </vt:variant>
      <vt:variant>
        <vt:i4>83</vt:i4>
      </vt:variant>
      <vt:variant>
        <vt:i4>0</vt:i4>
      </vt:variant>
      <vt:variant>
        <vt:i4>5</vt:i4>
      </vt:variant>
      <vt:variant>
        <vt:lpwstr/>
      </vt:variant>
      <vt:variant>
        <vt:lpwstr>_Toc83112549</vt:lpwstr>
      </vt:variant>
      <vt:variant>
        <vt:i4>1572927</vt:i4>
      </vt:variant>
      <vt:variant>
        <vt:i4>77</vt:i4>
      </vt:variant>
      <vt:variant>
        <vt:i4>0</vt:i4>
      </vt:variant>
      <vt:variant>
        <vt:i4>5</vt:i4>
      </vt:variant>
      <vt:variant>
        <vt:lpwstr/>
      </vt:variant>
      <vt:variant>
        <vt:lpwstr>_Toc83112548</vt:lpwstr>
      </vt:variant>
      <vt:variant>
        <vt:i4>1507391</vt:i4>
      </vt:variant>
      <vt:variant>
        <vt:i4>71</vt:i4>
      </vt:variant>
      <vt:variant>
        <vt:i4>0</vt:i4>
      </vt:variant>
      <vt:variant>
        <vt:i4>5</vt:i4>
      </vt:variant>
      <vt:variant>
        <vt:lpwstr/>
      </vt:variant>
      <vt:variant>
        <vt:lpwstr>_Toc83112547</vt:lpwstr>
      </vt:variant>
      <vt:variant>
        <vt:i4>1441855</vt:i4>
      </vt:variant>
      <vt:variant>
        <vt:i4>65</vt:i4>
      </vt:variant>
      <vt:variant>
        <vt:i4>0</vt:i4>
      </vt:variant>
      <vt:variant>
        <vt:i4>5</vt:i4>
      </vt:variant>
      <vt:variant>
        <vt:lpwstr/>
      </vt:variant>
      <vt:variant>
        <vt:lpwstr>_Toc83112546</vt:lpwstr>
      </vt:variant>
      <vt:variant>
        <vt:i4>1376319</vt:i4>
      </vt:variant>
      <vt:variant>
        <vt:i4>59</vt:i4>
      </vt:variant>
      <vt:variant>
        <vt:i4>0</vt:i4>
      </vt:variant>
      <vt:variant>
        <vt:i4>5</vt:i4>
      </vt:variant>
      <vt:variant>
        <vt:lpwstr/>
      </vt:variant>
      <vt:variant>
        <vt:lpwstr>_Toc83112545</vt:lpwstr>
      </vt:variant>
      <vt:variant>
        <vt:i4>1310783</vt:i4>
      </vt:variant>
      <vt:variant>
        <vt:i4>53</vt:i4>
      </vt:variant>
      <vt:variant>
        <vt:i4>0</vt:i4>
      </vt:variant>
      <vt:variant>
        <vt:i4>5</vt:i4>
      </vt:variant>
      <vt:variant>
        <vt:lpwstr/>
      </vt:variant>
      <vt:variant>
        <vt:lpwstr>_Toc83112544</vt:lpwstr>
      </vt:variant>
      <vt:variant>
        <vt:i4>1245247</vt:i4>
      </vt:variant>
      <vt:variant>
        <vt:i4>47</vt:i4>
      </vt:variant>
      <vt:variant>
        <vt:i4>0</vt:i4>
      </vt:variant>
      <vt:variant>
        <vt:i4>5</vt:i4>
      </vt:variant>
      <vt:variant>
        <vt:lpwstr/>
      </vt:variant>
      <vt:variant>
        <vt:lpwstr>_Toc83112543</vt:lpwstr>
      </vt:variant>
      <vt:variant>
        <vt:i4>1179711</vt:i4>
      </vt:variant>
      <vt:variant>
        <vt:i4>41</vt:i4>
      </vt:variant>
      <vt:variant>
        <vt:i4>0</vt:i4>
      </vt:variant>
      <vt:variant>
        <vt:i4>5</vt:i4>
      </vt:variant>
      <vt:variant>
        <vt:lpwstr/>
      </vt:variant>
      <vt:variant>
        <vt:lpwstr>_Toc83112542</vt:lpwstr>
      </vt:variant>
      <vt:variant>
        <vt:i4>1114175</vt:i4>
      </vt:variant>
      <vt:variant>
        <vt:i4>35</vt:i4>
      </vt:variant>
      <vt:variant>
        <vt:i4>0</vt:i4>
      </vt:variant>
      <vt:variant>
        <vt:i4>5</vt:i4>
      </vt:variant>
      <vt:variant>
        <vt:lpwstr/>
      </vt:variant>
      <vt:variant>
        <vt:lpwstr>_Toc83112541</vt:lpwstr>
      </vt:variant>
      <vt:variant>
        <vt:i4>1048639</vt:i4>
      </vt:variant>
      <vt:variant>
        <vt:i4>29</vt:i4>
      </vt:variant>
      <vt:variant>
        <vt:i4>0</vt:i4>
      </vt:variant>
      <vt:variant>
        <vt:i4>5</vt:i4>
      </vt:variant>
      <vt:variant>
        <vt:lpwstr/>
      </vt:variant>
      <vt:variant>
        <vt:lpwstr>_Toc83112540</vt:lpwstr>
      </vt:variant>
      <vt:variant>
        <vt:i4>1638456</vt:i4>
      </vt:variant>
      <vt:variant>
        <vt:i4>23</vt:i4>
      </vt:variant>
      <vt:variant>
        <vt:i4>0</vt:i4>
      </vt:variant>
      <vt:variant>
        <vt:i4>5</vt:i4>
      </vt:variant>
      <vt:variant>
        <vt:lpwstr/>
      </vt:variant>
      <vt:variant>
        <vt:lpwstr>_Toc83112539</vt:lpwstr>
      </vt:variant>
      <vt:variant>
        <vt:i4>1572920</vt:i4>
      </vt:variant>
      <vt:variant>
        <vt:i4>17</vt:i4>
      </vt:variant>
      <vt:variant>
        <vt:i4>0</vt:i4>
      </vt:variant>
      <vt:variant>
        <vt:i4>5</vt:i4>
      </vt:variant>
      <vt:variant>
        <vt:lpwstr/>
      </vt:variant>
      <vt:variant>
        <vt:lpwstr>_Toc83112538</vt:lpwstr>
      </vt:variant>
      <vt:variant>
        <vt:i4>1507384</vt:i4>
      </vt:variant>
      <vt:variant>
        <vt:i4>11</vt:i4>
      </vt:variant>
      <vt:variant>
        <vt:i4>0</vt:i4>
      </vt:variant>
      <vt:variant>
        <vt:i4>5</vt:i4>
      </vt:variant>
      <vt:variant>
        <vt:lpwstr/>
      </vt:variant>
      <vt:variant>
        <vt:lpwstr>_Toc83112537</vt:lpwstr>
      </vt:variant>
      <vt:variant>
        <vt:i4>1441848</vt:i4>
      </vt:variant>
      <vt:variant>
        <vt:i4>5</vt:i4>
      </vt:variant>
      <vt:variant>
        <vt:i4>0</vt:i4>
      </vt:variant>
      <vt:variant>
        <vt:i4>5</vt:i4>
      </vt:variant>
      <vt:variant>
        <vt:lpwstr/>
      </vt:variant>
      <vt:variant>
        <vt:lpwstr>_Toc83112536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sb</dc:creator>
  <cp:lastModifiedBy>Stephanie MIGNON</cp:lastModifiedBy>
  <cp:revision>7</cp:revision>
  <cp:lastPrinted>2024-08-02T07:36:00Z</cp:lastPrinted>
  <dcterms:created xsi:type="dcterms:W3CDTF">2025-02-28T14:41:00Z</dcterms:created>
  <dcterms:modified xsi:type="dcterms:W3CDTF">2025-03-06T07:50:00Z</dcterms:modified>
</cp:coreProperties>
</file>