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media/image2.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rPr>
      </w:pPr>
      <w:r>
        <w:rPr>
          <w:rFonts w:ascii="Arial" w:hAnsi="Arial"/>
        </w:rPr>
      </w:r>
    </w:p>
    <w:p>
      <w:pPr>
        <w:pStyle w:val="BodyText"/>
        <w:widowControl/>
        <w:tabs>
          <w:tab w:val="clear" w:pos="708"/>
        </w:tabs>
        <w:bidi w:val="0"/>
        <w:spacing w:before="0" w:after="0"/>
        <w:ind w:hanging="0" w:left="0" w:right="0"/>
        <w:jc w:val="right"/>
        <w:rPr>
          <w:rFonts w:ascii="Arial" w:hAnsi="Arial"/>
          <w:b/>
          <w:bCs/>
          <w:sz w:val="22"/>
          <w:szCs w:val="22"/>
        </w:rPr>
      </w:pPr>
      <w:r>
        <w:rPr>
          <w:rFonts w:ascii="Arial" w:hAnsi="Arial"/>
          <w:b/>
          <w:bCs/>
          <w:sz w:val="22"/>
          <w:szCs w:val="22"/>
        </w:rPr>
        <w:t>Secrétariat Général pour les Affaires Régionales</w:t>
      </w:r>
    </w:p>
    <w:p>
      <w:pPr>
        <w:pStyle w:val="Normal"/>
        <w:rPr>
          <w:rFonts w:ascii="Arial" w:hAnsi="Arial"/>
        </w:rPr>
      </w:pPr>
      <w:r>
        <w:rPr>
          <w:rFonts w:ascii="Arial" w:hAnsi="Arial"/>
        </w:rPr>
      </w:r>
    </w:p>
    <w:p>
      <w:pPr>
        <w:pStyle w:val="Normal"/>
        <w:rPr>
          <w:rFonts w:ascii="Arial" w:hAnsi="Arial"/>
        </w:rPr>
      </w:pPr>
      <w:r>
        <w:rPr>
          <w:rFonts w:ascii="Arial" w:hAnsi="Arial"/>
        </w:rPr>
      </w:r>
    </w:p>
    <w:p>
      <w:pPr>
        <w:pStyle w:val="western"/>
        <w:pBdr>
          <w:top w:val="single" w:sz="4" w:space="1" w:color="000000"/>
          <w:left w:val="single" w:sz="4" w:space="4" w:color="000000"/>
          <w:bottom w:val="single" w:sz="4" w:space="1" w:color="000000"/>
          <w:right w:val="single" w:sz="4" w:space="4" w:color="000000"/>
        </w:pBdr>
        <w:spacing w:before="0" w:after="0"/>
        <w:jc w:val="center"/>
        <w:rPr>
          <w:rFonts w:ascii="Arial" w:hAnsi="Arial" w:cs="Times New Roman"/>
          <w:b/>
          <w:bCs/>
          <w:sz w:val="28"/>
          <w:szCs w:val="28"/>
        </w:rPr>
      </w:pPr>
      <w:r>
        <w:rPr>
          <w:rFonts w:cs="Times New Roman"/>
          <w:b/>
          <w:bCs/>
          <w:sz w:val="28"/>
          <w:szCs w:val="28"/>
        </w:rPr>
        <w:t>Cadre de réponse technique</w:t>
      </w:r>
    </w:p>
    <w:p>
      <w:pPr>
        <w:pStyle w:val="western"/>
        <w:pBdr>
          <w:top w:val="single" w:sz="4" w:space="1" w:color="000000"/>
          <w:left w:val="single" w:sz="4" w:space="4" w:color="000000"/>
          <w:bottom w:val="single" w:sz="4" w:space="1" w:color="000000"/>
          <w:right w:val="single" w:sz="4" w:space="4" w:color="000000"/>
        </w:pBdr>
        <w:spacing w:before="0" w:after="0"/>
        <w:jc w:val="center"/>
        <w:rPr>
          <w:rFonts w:ascii="Arial" w:hAnsi="Arial"/>
        </w:rPr>
      </w:pPr>
      <w:r>
        <w:rPr>
          <w:rFonts w:cs="Times New Roman"/>
          <w:b w:val="false"/>
          <w:bCs w:val="false"/>
          <w:i/>
          <w:iCs/>
          <w:sz w:val="28"/>
          <w:szCs w:val="28"/>
        </w:rPr>
        <w:t>Annexe 1 au règlement de la consultation</w:t>
      </w:r>
    </w:p>
    <w:p>
      <w:pPr>
        <w:pStyle w:val="Normal"/>
        <w:rPr>
          <w:rFonts w:ascii="Arial" w:hAnsi="Arial"/>
        </w:rPr>
      </w:pPr>
      <w:r>
        <w:rPr>
          <w:rFonts w:ascii="Arial" w:hAnsi="Arial"/>
        </w:rPr>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bCs/>
          <w:i w:val="false"/>
          <w:i w:val="false"/>
          <w:iCs w:val="false"/>
          <w:color w:val="auto"/>
          <w:sz w:val="24"/>
          <w:szCs w:val="24"/>
          <w:shd w:fill="FFFFFF" w:val="clear"/>
          <w:lang w:eastAsia="fr-FR"/>
        </w:rPr>
      </w:pPr>
      <w:r>
        <w:rPr>
          <w:rFonts w:eastAsia="Times New Roman" w:cs="Arial" w:ascii="Arial" w:hAnsi="Arial"/>
          <w:b/>
          <w:bCs/>
          <w:i w:val="false"/>
          <w:iCs w:val="false"/>
          <w:color w:val="000000"/>
          <w:sz w:val="24"/>
          <w:szCs w:val="24"/>
          <w:shd w:fill="FFFFFF" w:val="clear"/>
          <w:lang w:eastAsia="fr-FR"/>
        </w:rPr>
        <w:t>Accord-cadre de travaux récurrents  - Courant fort-Courant faible-électricité-câblage-éclairage-relamping pour les services de l’État en région Hauts-de-France</w:t>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bCs/>
          <w:i w:val="false"/>
          <w:i w:val="false"/>
          <w:iCs w:val="false"/>
          <w:color w:val="auto"/>
          <w:sz w:val="24"/>
          <w:szCs w:val="24"/>
          <w:shd w:fill="FFFFFF" w:val="clear"/>
          <w:lang w:eastAsia="fr-FR"/>
        </w:rPr>
      </w:pPr>
      <w:r>
        <w:rPr>
          <w:rFonts w:eastAsia="Times New Roman" w:cs="Arial" w:ascii="Arial" w:hAnsi="Arial"/>
          <w:b/>
          <w:bCs/>
          <w:i w:val="false"/>
          <w:iCs w:val="false"/>
          <w:color w:val="000000"/>
          <w:sz w:val="24"/>
          <w:szCs w:val="24"/>
          <w:shd w:fill="FFFFFF" w:val="clear"/>
          <w:lang w:eastAsia="fr-FR"/>
        </w:rPr>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t xml:space="preserve">Référence de la consultation :  </w:t>
      </w:r>
    </w:p>
    <w:p>
      <w:pPr>
        <w:pStyle w:val="Contenudetableau"/>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r>
    </w:p>
    <w:p>
      <w:pPr>
        <w:pStyle w:val="Normal"/>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t>PFRA-HDF-2025-TRAVAUX-ELEC</w:t>
      </w:r>
    </w:p>
    <w:p>
      <w:pPr>
        <w:pStyle w:val="Normal"/>
        <w:pBdr>
          <w:top w:val="single" w:sz="8" w:space="1" w:color="000000"/>
          <w:left w:val="single" w:sz="8" w:space="1" w:color="000000"/>
          <w:bottom w:val="single" w:sz="8" w:space="1" w:color="000000"/>
          <w:right w:val="single" w:sz="8" w:space="1" w:color="000000"/>
        </w:pBdr>
        <w:tabs>
          <w:tab w:val="clear" w:pos="708"/>
        </w:tabs>
        <w:spacing w:lineRule="auto" w:line="240" w:before="0" w:after="0"/>
        <w:ind w:hanging="0" w:left="0" w:right="0"/>
        <w:jc w:val="center"/>
        <w:textAlignment w:val="center"/>
        <w:rPr>
          <w:rFonts w:ascii="Arial" w:hAnsi="Arial" w:eastAsia="Times New Roman" w:cs="Arial"/>
          <w:b w:val="false"/>
          <w:bCs w:val="false"/>
          <w:i w:val="false"/>
          <w:i w:val="false"/>
          <w:iCs w:val="false"/>
          <w:color w:val="auto"/>
          <w:sz w:val="24"/>
          <w:szCs w:val="24"/>
          <w:shd w:fill="FFFFFF" w:val="clear"/>
          <w:lang w:eastAsia="fr-FR"/>
        </w:rPr>
      </w:pPr>
      <w:r>
        <w:rPr>
          <w:rFonts w:eastAsia="Times New Roman" w:cs="Arial" w:ascii="Arial" w:hAnsi="Arial"/>
          <w:b w:val="false"/>
          <w:bCs w:val="false"/>
          <w:i w:val="false"/>
          <w:iCs w:val="false"/>
          <w:color w:val="000000"/>
          <w:sz w:val="24"/>
          <w:szCs w:val="24"/>
          <w:shd w:fill="FFFFFF" w:val="clear"/>
          <w:lang w:eastAsia="fr-FR"/>
        </w:rPr>
      </w:r>
    </w:p>
    <w:p>
      <w:pPr>
        <w:pStyle w:val="Normal"/>
        <w:rPr>
          <w:rFonts w:ascii="Arial" w:hAnsi="Arial"/>
        </w:rPr>
      </w:pPr>
      <w:r>
        <w:rPr>
          <w:rFonts w:ascii="Arial" w:hAnsi="Arial"/>
        </w:rPr>
      </w:r>
    </w:p>
    <w:p>
      <w:pPr>
        <w:pStyle w:val="Contenudetableau"/>
        <w:pBdr>
          <w:top w:val="single" w:sz="8" w:space="1" w:color="000000"/>
          <w:left w:val="single" w:sz="8" w:space="1" w:color="000000"/>
          <w:bottom w:val="single" w:sz="8" w:space="1" w:color="000000"/>
          <w:right w:val="single" w:sz="8" w:space="1" w:color="000000"/>
        </w:pBdr>
        <w:spacing w:lineRule="auto" w:line="240" w:before="0" w:after="0"/>
        <w:jc w:val="center"/>
        <w:rPr>
          <w:rFonts w:ascii="Arial" w:hAnsi="Arial" w:eastAsia="Times New Roman" w:cs="Arial"/>
          <w:b/>
          <w:bCs/>
          <w:color w:val="FF4000"/>
          <w:sz w:val="24"/>
          <w:szCs w:val="24"/>
          <w:lang w:eastAsia="fr-FR"/>
        </w:rPr>
      </w:pPr>
      <w:r>
        <w:rPr>
          <w:rFonts w:eastAsia="Times New Roman" w:cs="Arial" w:ascii="Arial" w:hAnsi="Arial"/>
          <w:b/>
          <w:bCs/>
          <w:color w:val="FF4000"/>
          <w:sz w:val="24"/>
          <w:szCs w:val="24"/>
          <w:lang w:eastAsia="fr-FR"/>
        </w:rPr>
        <w:t xml:space="preserve">Cadre de réponse commun à l’ensemble des lots </w:t>
      </w:r>
    </w:p>
    <w:p>
      <w:pPr>
        <w:pStyle w:val="Normal"/>
        <w:rPr/>
      </w:pPr>
      <w:r>
        <w:rPr/>
      </w:r>
    </w:p>
    <w:p>
      <w:pPr>
        <w:pStyle w:val="Normal"/>
        <w:rPr/>
      </w:pPr>
      <w:r>
        <w:rPr/>
        <mc:AlternateContent>
          <mc:Choice Requires="wps">
            <w:drawing>
              <wp:anchor behindDoc="0" distT="40005" distB="48260" distL="108585" distR="138430" simplePos="0" locked="0" layoutInCell="0" allowOverlap="1" relativeHeight="4">
                <wp:simplePos x="0" y="0"/>
                <wp:positionH relativeFrom="column">
                  <wp:posOffset>763905</wp:posOffset>
                </wp:positionH>
                <wp:positionV relativeFrom="paragraph">
                  <wp:posOffset>152400</wp:posOffset>
                </wp:positionV>
                <wp:extent cx="4562475" cy="4208145"/>
                <wp:effectExtent l="5715" t="5715" r="4445" b="4445"/>
                <wp:wrapSquare wrapText="bothSides"/>
                <wp:docPr id="1" name="Zone de texte 2"/>
                <a:graphic xmlns:a="http://schemas.openxmlformats.org/drawingml/2006/main">
                  <a:graphicData uri="http://schemas.microsoft.com/office/word/2010/wordprocessingShape">
                    <wps:wsp>
                      <wps:cNvSpPr/>
                      <wps:spPr>
                        <a:xfrm>
                          <a:off x="0" y="0"/>
                          <a:ext cx="4562640" cy="420804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decadre"/>
                              <w:jc w:val="center"/>
                              <w:rPr>
                                <w:b/>
                              </w:rPr>
                            </w:pPr>
                            <w:r>
                              <w:rPr>
                                <w:b/>
                                <w:color w:val="000000"/>
                              </w:rPr>
                              <w:t>NOTICE EXPLICATIVE</w:t>
                            </w:r>
                          </w:p>
                          <w:p>
                            <w:pPr>
                              <w:pStyle w:val="Contenudecadre"/>
                              <w:rPr>
                                <w:color w:val="000000"/>
                              </w:rPr>
                            </w:pPr>
                            <w:r>
                              <w:rPr>
                                <w:color w:val="000000"/>
                              </w:rPr>
                            </w:r>
                          </w:p>
                          <w:p>
                            <w:pPr>
                              <w:pStyle w:val="Contenudecadre"/>
                              <w:jc w:val="both"/>
                              <w:rPr/>
                            </w:pPr>
                            <w:r>
                              <w:rPr>
                                <w:color w:val="000000"/>
                              </w:rPr>
                              <w:t>Ce dossier constitue le cadre de réponse à utiliser pour votre mémoire tech</w:t>
                            </w:r>
                            <w:r>
                              <w:rPr>
                                <w:rFonts w:eastAsia="Calibri" w:cs="" w:cstheme="minorBidi" w:eastAsiaTheme="minorHAnsi"/>
                                <w:color w:val="000000"/>
                                <w:shd w:fill="auto" w:val="clear"/>
                              </w:rPr>
                              <w:t>nique (cf article 7.2 - </w:t>
                            </w:r>
                            <w:r>
                              <w:rPr>
                                <w:rFonts w:eastAsia="Calibri" w:cs="" w:cstheme="minorBidi" w:eastAsiaTheme="minorHAnsi"/>
                                <w:i/>
                                <w:iCs/>
                                <w:color w:val="000000"/>
                                <w:shd w:fill="auto" w:val="clear"/>
                              </w:rPr>
                              <w:t xml:space="preserve">Présentation de l’offre </w:t>
                            </w:r>
                            <w:r>
                              <w:rPr>
                                <w:rFonts w:eastAsia="Calibri" w:cs="" w:cstheme="minorBidi" w:eastAsiaTheme="minorHAnsi"/>
                                <w:color w:val="000000"/>
                                <w:shd w:fill="auto" w:val="clear"/>
                              </w:rPr>
                              <w:t xml:space="preserve">et 7.3 - </w:t>
                            </w:r>
                            <w:r>
                              <w:rPr>
                                <w:rFonts w:eastAsia="Calibri" w:cs="" w:cstheme="minorBidi" w:eastAsiaTheme="minorHAnsi"/>
                                <w:i/>
                                <w:iCs/>
                                <w:color w:val="000000"/>
                                <w:shd w:fill="auto" w:val="clear"/>
                              </w:rPr>
                              <w:t>Analyse des offres</w:t>
                            </w:r>
                            <w:r>
                              <w:rPr>
                                <w:rFonts w:eastAsia="Calibri" w:cs="" w:cstheme="minorBidi" w:eastAsiaTheme="minorHAnsi"/>
                                <w:color w:val="000000"/>
                                <w:shd w:fill="auto" w:val="clear"/>
                              </w:rPr>
                              <w:t xml:space="preserve"> du règlement de la consultation)</w:t>
                            </w:r>
                          </w:p>
                          <w:p>
                            <w:pPr>
                              <w:pStyle w:val="Contenudecadre"/>
                              <w:rPr>
                                <w:color w:val="000000"/>
                              </w:rPr>
                            </w:pPr>
                            <w:r>
                              <w:rPr>
                                <w:color w:val="000000"/>
                              </w:rPr>
                            </w:r>
                          </w:p>
                          <w:p>
                            <w:pPr>
                              <w:pStyle w:val="ListParagraph"/>
                              <w:numPr>
                                <w:ilvl w:val="0"/>
                                <w:numId w:val="1"/>
                              </w:numPr>
                              <w:jc w:val="both"/>
                              <w:rPr/>
                            </w:pPr>
                            <w:r>
                              <w:rPr>
                                <w:color w:val="000000"/>
                                <w:sz w:val="22"/>
                                <w:szCs w:val="22"/>
                              </w:rPr>
                              <w:t xml:space="preserve">Tous les champs en </w:t>
                            </w:r>
                            <w:r>
                              <w:rPr>
                                <w:color w:val="000000"/>
                                <w:sz w:val="22"/>
                                <w:szCs w:val="22"/>
                                <w:highlight w:val="lightGray"/>
                              </w:rPr>
                              <w:t>gris</w:t>
                            </w:r>
                            <w:r>
                              <w:rPr>
                                <w:color w:val="000000"/>
                                <w:sz w:val="22"/>
                                <w:szCs w:val="22"/>
                              </w:rPr>
                              <w:t xml:space="preserve"> doivent être impérativement renseignés </w:t>
                            </w:r>
                          </w:p>
                          <w:p>
                            <w:pPr>
                              <w:pStyle w:val="ListParagraph"/>
                              <w:numPr>
                                <w:ilvl w:val="0"/>
                                <w:numId w:val="1"/>
                              </w:numPr>
                              <w:jc w:val="both"/>
                              <w:rPr/>
                            </w:pPr>
                            <w:r>
                              <w:rPr>
                                <w:rFonts w:eastAsia="Calibri" w:cs="" w:cstheme="minorBidi" w:eastAsiaTheme="minorHAnsi"/>
                                <w:color w:val="000000"/>
                                <w:sz w:val="22"/>
                                <w:szCs w:val="22"/>
                                <w:shd w:fill="auto" w:val="clear"/>
                              </w:rPr>
                              <w:t>Les soumissionnaires conserveront le format de réponse attendu pour les pages de réponse - police : Calibri - taille police : 11 – interligne : simple – fichier document word</w:t>
                            </w:r>
                          </w:p>
                          <w:p>
                            <w:pPr>
                              <w:pStyle w:val="ListParagraph"/>
                              <w:numPr>
                                <w:ilvl w:val="0"/>
                                <w:numId w:val="1"/>
                              </w:numPr>
                              <w:jc w:val="both"/>
                              <w:rPr/>
                            </w:pPr>
                            <w:r>
                              <w:rPr>
                                <w:rFonts w:eastAsia="Times New Roman" w:cs="Arial"/>
                                <w:color w:val="000000"/>
                                <w:sz w:val="22"/>
                                <w:szCs w:val="22"/>
                                <w:shd w:fill="auto" w:val="clear"/>
                                <w:lang w:eastAsia="fr-FR"/>
                              </w:rPr>
                              <w:t>Le mémoire technique est limité à 20 pages maximum (compris cette page)</w:t>
                            </w:r>
                          </w:p>
                          <w:p>
                            <w:pPr>
                              <w:pStyle w:val="ListParagraph"/>
                              <w:numPr>
                                <w:ilvl w:val="0"/>
                                <w:numId w:val="1"/>
                              </w:numPr>
                              <w:jc w:val="both"/>
                              <w:rPr/>
                            </w:pPr>
                            <w:r>
                              <w:rPr>
                                <w:rFonts w:eastAsia="Times New Roman" w:cs="Arial"/>
                                <w:color w:val="000000"/>
                                <w:sz w:val="22"/>
                                <w:szCs w:val="22"/>
                                <w:shd w:fill="auto" w:val="clear"/>
                                <w:lang w:eastAsia="fr-FR"/>
                              </w:rPr>
                              <w:t>Les annexes (hors fiches techniques demandées dans le cadre des questions environnementales) sont limitées à 15 pages</w:t>
                            </w:r>
                          </w:p>
                          <w:p>
                            <w:pPr>
                              <w:pStyle w:val="ListParagraph"/>
                              <w:numPr>
                                <w:ilvl w:val="0"/>
                                <w:numId w:val="1"/>
                              </w:numPr>
                              <w:jc w:val="both"/>
                              <w:rPr/>
                            </w:pPr>
                            <w:r>
                              <w:rPr>
                                <w:color w:val="000000"/>
                                <w:sz w:val="22"/>
                                <w:szCs w:val="22"/>
                              </w:rPr>
                              <w:t>Des documents justificatifs sont à joindre à l’offre. Ils sont mentionnés dans les sous-critères</w:t>
                            </w:r>
                          </w:p>
                          <w:p>
                            <w:pPr>
                              <w:pStyle w:val="Contenudecadre"/>
                              <w:rPr>
                                <w:color w:val="000000"/>
                              </w:rPr>
                            </w:pPr>
                            <w:r>
                              <w:rPr>
                                <w:color w:val="000000"/>
                              </w:rPr>
                            </w:r>
                          </w:p>
                          <w:p>
                            <w:pPr>
                              <w:pStyle w:val="Contenudecadre"/>
                              <w:spacing w:before="0" w:after="160"/>
                              <w:jc w:val="center"/>
                              <w:rPr>
                                <w:b/>
                              </w:rPr>
                            </w:pPr>
                            <w:r>
                              <w:rPr>
                                <w:b/>
                                <w:color w:val="000000"/>
                              </w:rPr>
                              <w:t>Le candidat est invité à répondre sur ce cadre de mémoire et le retourner au format word, en respectant le cadre de celui-ci.</w:t>
                            </w:r>
                          </w:p>
                        </w:txbxContent>
                      </wps:txbx>
                      <wps:bodyPr anchor="t">
                        <a:spAutoFit/>
                      </wps:bodyPr>
                    </wps:wsp>
                  </a:graphicData>
                </a:graphic>
                <wp14:sizeRelV relativeFrom="margin">
                  <wp14:pctHeight>20000</wp14:pctHeight>
                </wp14:sizeRelV>
              </wp:anchor>
            </w:drawing>
          </mc:Choice>
          <mc:Fallback>
            <w:pict>
              <v:rect id="shape_0" ID="Zone de texte 2" path="m0,0l-2147483645,0l-2147483645,-2147483646l0,-2147483646xe" fillcolor="white" stroked="t" o:allowincell="f" style="position:absolute;margin-left:60.15pt;margin-top:12pt;width:359.2pt;height:331.3pt;mso-wrap-style:square;v-text-anchor:top">
                <v:fill o:detectmouseclick="t" type="solid" color2="black"/>
                <v:stroke color="black" weight="9360" joinstyle="miter" endcap="flat"/>
                <v:textbox>
                  <w:txbxContent>
                    <w:p>
                      <w:pPr>
                        <w:pStyle w:val="Contenudecadre"/>
                        <w:jc w:val="center"/>
                        <w:rPr>
                          <w:b/>
                        </w:rPr>
                      </w:pPr>
                      <w:r>
                        <w:rPr>
                          <w:b/>
                          <w:color w:val="000000"/>
                        </w:rPr>
                        <w:t>NOTICE EXPLICATIVE</w:t>
                      </w:r>
                    </w:p>
                    <w:p>
                      <w:pPr>
                        <w:pStyle w:val="Contenudecadre"/>
                        <w:rPr>
                          <w:color w:val="000000"/>
                        </w:rPr>
                      </w:pPr>
                      <w:r>
                        <w:rPr>
                          <w:color w:val="000000"/>
                        </w:rPr>
                      </w:r>
                    </w:p>
                    <w:p>
                      <w:pPr>
                        <w:pStyle w:val="Contenudecadre"/>
                        <w:jc w:val="both"/>
                        <w:rPr/>
                      </w:pPr>
                      <w:r>
                        <w:rPr>
                          <w:color w:val="000000"/>
                        </w:rPr>
                        <w:t>Ce dossier constitue le cadre de réponse à utiliser pour votre mémoire tech</w:t>
                      </w:r>
                      <w:r>
                        <w:rPr>
                          <w:rFonts w:eastAsia="Calibri" w:cs="" w:cstheme="minorBidi" w:eastAsiaTheme="minorHAnsi"/>
                          <w:color w:val="000000"/>
                          <w:shd w:fill="auto" w:val="clear"/>
                        </w:rPr>
                        <w:t>nique (cf article 7.2 - </w:t>
                      </w:r>
                      <w:r>
                        <w:rPr>
                          <w:rFonts w:eastAsia="Calibri" w:cs="" w:cstheme="minorBidi" w:eastAsiaTheme="minorHAnsi"/>
                          <w:i/>
                          <w:iCs/>
                          <w:color w:val="000000"/>
                          <w:shd w:fill="auto" w:val="clear"/>
                        </w:rPr>
                        <w:t xml:space="preserve">Présentation de l’offre </w:t>
                      </w:r>
                      <w:r>
                        <w:rPr>
                          <w:rFonts w:eastAsia="Calibri" w:cs="" w:cstheme="minorBidi" w:eastAsiaTheme="minorHAnsi"/>
                          <w:color w:val="000000"/>
                          <w:shd w:fill="auto" w:val="clear"/>
                        </w:rPr>
                        <w:t xml:space="preserve">et 7.3 - </w:t>
                      </w:r>
                      <w:r>
                        <w:rPr>
                          <w:rFonts w:eastAsia="Calibri" w:cs="" w:cstheme="minorBidi" w:eastAsiaTheme="minorHAnsi"/>
                          <w:i/>
                          <w:iCs/>
                          <w:color w:val="000000"/>
                          <w:shd w:fill="auto" w:val="clear"/>
                        </w:rPr>
                        <w:t>Analyse des offres</w:t>
                      </w:r>
                      <w:r>
                        <w:rPr>
                          <w:rFonts w:eastAsia="Calibri" w:cs="" w:cstheme="minorBidi" w:eastAsiaTheme="minorHAnsi"/>
                          <w:color w:val="000000"/>
                          <w:shd w:fill="auto" w:val="clear"/>
                        </w:rPr>
                        <w:t xml:space="preserve"> du règlement de la consultation)</w:t>
                      </w:r>
                    </w:p>
                    <w:p>
                      <w:pPr>
                        <w:pStyle w:val="Contenudecadre"/>
                        <w:rPr>
                          <w:color w:val="000000"/>
                        </w:rPr>
                      </w:pPr>
                      <w:r>
                        <w:rPr>
                          <w:color w:val="000000"/>
                        </w:rPr>
                      </w:r>
                    </w:p>
                    <w:p>
                      <w:pPr>
                        <w:pStyle w:val="ListParagraph"/>
                        <w:numPr>
                          <w:ilvl w:val="0"/>
                          <w:numId w:val="1"/>
                        </w:numPr>
                        <w:jc w:val="both"/>
                        <w:rPr/>
                      </w:pPr>
                      <w:r>
                        <w:rPr>
                          <w:color w:val="000000"/>
                          <w:sz w:val="22"/>
                          <w:szCs w:val="22"/>
                        </w:rPr>
                        <w:t xml:space="preserve">Tous les champs en </w:t>
                      </w:r>
                      <w:r>
                        <w:rPr>
                          <w:color w:val="000000"/>
                          <w:sz w:val="22"/>
                          <w:szCs w:val="22"/>
                          <w:highlight w:val="lightGray"/>
                        </w:rPr>
                        <w:t>gris</w:t>
                      </w:r>
                      <w:r>
                        <w:rPr>
                          <w:color w:val="000000"/>
                          <w:sz w:val="22"/>
                          <w:szCs w:val="22"/>
                        </w:rPr>
                        <w:t xml:space="preserve"> doivent être impérativement renseignés </w:t>
                      </w:r>
                    </w:p>
                    <w:p>
                      <w:pPr>
                        <w:pStyle w:val="ListParagraph"/>
                        <w:numPr>
                          <w:ilvl w:val="0"/>
                          <w:numId w:val="1"/>
                        </w:numPr>
                        <w:jc w:val="both"/>
                        <w:rPr/>
                      </w:pPr>
                      <w:r>
                        <w:rPr>
                          <w:rFonts w:eastAsia="Calibri" w:cs="" w:cstheme="minorBidi" w:eastAsiaTheme="minorHAnsi"/>
                          <w:color w:val="000000"/>
                          <w:sz w:val="22"/>
                          <w:szCs w:val="22"/>
                          <w:shd w:fill="auto" w:val="clear"/>
                        </w:rPr>
                        <w:t>Les soumissionnaires conserveront le format de réponse attendu pour les pages de réponse - police : Calibri - taille police : 11 – interligne : simple – fichier document word</w:t>
                      </w:r>
                    </w:p>
                    <w:p>
                      <w:pPr>
                        <w:pStyle w:val="ListParagraph"/>
                        <w:numPr>
                          <w:ilvl w:val="0"/>
                          <w:numId w:val="1"/>
                        </w:numPr>
                        <w:jc w:val="both"/>
                        <w:rPr/>
                      </w:pPr>
                      <w:r>
                        <w:rPr>
                          <w:rFonts w:eastAsia="Times New Roman" w:cs="Arial"/>
                          <w:color w:val="000000"/>
                          <w:sz w:val="22"/>
                          <w:szCs w:val="22"/>
                          <w:shd w:fill="auto" w:val="clear"/>
                          <w:lang w:eastAsia="fr-FR"/>
                        </w:rPr>
                        <w:t>Le mémoire technique est limité à 20 pages maximum (compris cette page)</w:t>
                      </w:r>
                    </w:p>
                    <w:p>
                      <w:pPr>
                        <w:pStyle w:val="ListParagraph"/>
                        <w:numPr>
                          <w:ilvl w:val="0"/>
                          <w:numId w:val="1"/>
                        </w:numPr>
                        <w:jc w:val="both"/>
                        <w:rPr/>
                      </w:pPr>
                      <w:r>
                        <w:rPr>
                          <w:rFonts w:eastAsia="Times New Roman" w:cs="Arial"/>
                          <w:color w:val="000000"/>
                          <w:sz w:val="22"/>
                          <w:szCs w:val="22"/>
                          <w:shd w:fill="auto" w:val="clear"/>
                          <w:lang w:eastAsia="fr-FR"/>
                        </w:rPr>
                        <w:t>Les annexes (hors fiches techniques demandées dans le cadre des questions environnementales) sont limitées à 15 pages</w:t>
                      </w:r>
                    </w:p>
                    <w:p>
                      <w:pPr>
                        <w:pStyle w:val="ListParagraph"/>
                        <w:numPr>
                          <w:ilvl w:val="0"/>
                          <w:numId w:val="1"/>
                        </w:numPr>
                        <w:jc w:val="both"/>
                        <w:rPr/>
                      </w:pPr>
                      <w:r>
                        <w:rPr>
                          <w:color w:val="000000"/>
                          <w:sz w:val="22"/>
                          <w:szCs w:val="22"/>
                        </w:rPr>
                        <w:t>Des documents justificatifs sont à joindre à l’offre. Ils sont mentionnés dans les sous-critères</w:t>
                      </w:r>
                    </w:p>
                    <w:p>
                      <w:pPr>
                        <w:pStyle w:val="Contenudecadre"/>
                        <w:rPr>
                          <w:color w:val="000000"/>
                        </w:rPr>
                      </w:pPr>
                      <w:r>
                        <w:rPr>
                          <w:color w:val="000000"/>
                        </w:rPr>
                      </w:r>
                    </w:p>
                    <w:p>
                      <w:pPr>
                        <w:pStyle w:val="Contenudecadre"/>
                        <w:spacing w:before="0" w:after="160"/>
                        <w:jc w:val="center"/>
                        <w:rPr>
                          <w:b/>
                        </w:rPr>
                      </w:pPr>
                      <w:r>
                        <w:rPr>
                          <w:b/>
                          <w:color w:val="000000"/>
                        </w:rPr>
                        <w:t>Le candidat est invité à répondre sur ce cadre de mémoire et le retourner au format word, en respectant le cadre de celui-ci.</w:t>
                      </w:r>
                    </w:p>
                  </w:txbxContent>
                </v:textbox>
                <w10:wrap type="square"/>
              </v:rect>
            </w:pict>
          </mc:Fallback>
        </mc:AlternateConten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Calibri" w:hAnsi="Calibri" w:cs="Calibri" w:cstheme="minorHAnsi"/>
          <w:b/>
        </w:rPr>
      </w:pPr>
      <w:r>
        <w:rPr>
          <w:rFonts w:cs="Calibri" w:cstheme="minorHAnsi"/>
          <w:b/>
        </w:rPr>
      </w:r>
    </w:p>
    <w:p>
      <w:pPr>
        <w:pStyle w:val="Normal"/>
        <w:spacing w:lineRule="auto" w:line="240"/>
        <w:jc w:val="both"/>
        <w:rPr>
          <w:rFonts w:ascii="Calibri" w:hAnsi="Calibri"/>
        </w:rPr>
      </w:pPr>
      <w:r>
        <w:rPr>
          <w:rFonts w:cs="Calibri" w:cstheme="minorHAnsi"/>
          <w:b/>
          <w:sz w:val="24"/>
          <w:szCs w:val="24"/>
        </w:rPr>
        <w:t xml:space="preserve">Nom du candidat : </w:t>
      </w:r>
      <w:r>
        <w:rPr>
          <w:rFonts w:cs="Calibri" w:cstheme="minorHAnsi"/>
          <w:b/>
          <w:sz w:val="24"/>
          <w:szCs w:val="24"/>
          <w:highlight w:val="lightGray"/>
        </w:rPr>
        <w:t>………………………………………………………..</w:t>
      </w:r>
    </w:p>
    <w:p>
      <w:pPr>
        <w:pStyle w:val="Normal"/>
        <w:spacing w:lineRule="auto" w:line="240"/>
        <w:jc w:val="both"/>
        <w:rPr>
          <w:rFonts w:ascii="Calibri" w:hAnsi="Calibri" w:cs="Calibri" w:cstheme="minorHAnsi"/>
          <w:b/>
        </w:rPr>
      </w:pPr>
      <w:r>
        <w:rPr>
          <w:rFonts w:cs="Calibri" w:cstheme="minorHAnsi"/>
          <w:b/>
        </w:rPr>
      </w:r>
    </w:p>
    <w:p>
      <w:pPr>
        <w:pStyle w:val="Normal"/>
        <w:spacing w:lineRule="auto" w:line="240"/>
        <w:jc w:val="both"/>
        <w:rPr>
          <w:rFonts w:ascii="Calibri" w:hAnsi="Calibri"/>
        </w:rPr>
      </w:pPr>
      <w:r>
        <w:rPr>
          <w:rFonts w:cs="Calibri" w:cstheme="minorHAnsi"/>
          <w:b/>
          <w:sz w:val="24"/>
          <w:szCs w:val="24"/>
        </w:rPr>
        <w:t xml:space="preserve">Sélectionnez le.s lot.s pour lequel·s vous candidatez : </w:t>
      </w:r>
    </w:p>
    <w:tbl>
      <w:tblPr>
        <w:tblW w:w="5000" w:type="pct"/>
        <w:jc w:val="left"/>
        <w:tblInd w:w="-5" w:type="dxa"/>
        <w:tblLayout w:type="fixed"/>
        <w:tblCellMar>
          <w:top w:w="55" w:type="dxa"/>
          <w:left w:w="55" w:type="dxa"/>
          <w:bottom w:w="55" w:type="dxa"/>
          <w:right w:w="55" w:type="dxa"/>
        </w:tblCellMar>
      </w:tblPr>
      <w:tblGrid>
        <w:gridCol w:w="630"/>
        <w:gridCol w:w="8441"/>
      </w:tblGrid>
      <w:tr>
        <w:trPr/>
        <w:tc>
          <w:tcPr>
            <w:tcW w:w="630" w:type="dxa"/>
            <w:tcBorders>
              <w:top w:val="single" w:sz="4" w:space="0" w:color="000000"/>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n°1 : Arrondissement de Lille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n°2 : Arrondissements de Arras, Lens, Béthune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n°3 : Arrondissements de Calais, Boulogne-sur-Mer, Montreuil, Saint-Omer, Dunkerque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n°4 : Arrondissements de Cambrai, Douai, Avesnes-sur-Helpe, Valenciennes</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n°5 : Département de l’Aisne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before="0" w:after="160"/>
              <w:jc w:val="both"/>
              <w:rPr/>
            </w:pPr>
            <w:r>
              <w:rPr>
                <w:rFonts w:cs="Calibri"/>
                <w:b w:val="false"/>
                <w:bCs w:val="false"/>
                <w:sz w:val="24"/>
                <w:szCs w:val="24"/>
                <w:u w:val="none"/>
              </w:rPr>
              <w:t>Lot n°6 : Département de la Somme</w:t>
            </w:r>
          </w:p>
        </w:tc>
      </w:tr>
      <w:tr>
        <w:trPr/>
        <w:tc>
          <w:tcPr>
            <w:tcW w:w="630" w:type="dxa"/>
            <w:tcBorders>
              <w:left w:val="single" w:sz="4" w:space="0" w:color="000000"/>
              <w:bottom w:val="single" w:sz="4" w:space="0" w:color="000000"/>
            </w:tcBorders>
            <w:shd w:fill="B2B2B2" w:val="clear"/>
          </w:tcPr>
          <w:p>
            <w:pPr>
              <w:pStyle w:val="Contenudetableau"/>
              <w:widowControl w:val="false"/>
              <w:spacing w:before="0" w:after="160"/>
              <w:jc w:val="center"/>
              <w:rPr>
                <w:rFonts w:ascii="Calibri" w:hAnsi="Calibri" w:cs="Calibri"/>
                <w:b/>
                <w:bCs/>
                <w:sz w:val="24"/>
                <w:szCs w:val="24"/>
              </w:rPr>
            </w:pPr>
            <w:r>
              <w:rPr>
                <w:rFonts w:cs="Calibri"/>
                <w:b/>
                <w:bCs/>
                <w:sz w:val="24"/>
                <w:szCs w:val="24"/>
              </w:rPr>
            </w:r>
          </w:p>
        </w:tc>
        <w:tc>
          <w:tcPr>
            <w:tcW w:w="8441" w:type="dxa"/>
            <w:tcBorders>
              <w:left w:val="single" w:sz="4" w:space="0" w:color="000000"/>
              <w:bottom w:val="single" w:sz="4" w:space="0" w:color="000000"/>
              <w:right w:val="single" w:sz="4" w:space="0" w:color="000000"/>
            </w:tcBorders>
          </w:tcPr>
          <w:p>
            <w:pPr>
              <w:pStyle w:val="Normal"/>
              <w:widowControl w:val="false"/>
              <w:spacing w:lineRule="auto" w:line="240" w:before="0" w:after="160"/>
              <w:jc w:val="both"/>
              <w:rPr/>
            </w:pPr>
            <w:r>
              <w:rPr>
                <w:rFonts w:cs="Calibri" w:cstheme="minorHAnsi"/>
                <w:b w:val="false"/>
                <w:bCs w:val="false"/>
                <w:sz w:val="24"/>
                <w:szCs w:val="24"/>
                <w:u w:val="none"/>
              </w:rPr>
              <w:t>Lot n°7 : Département de l’Oise</w:t>
            </w:r>
          </w:p>
        </w:tc>
      </w:tr>
    </w:tbl>
    <w:p>
      <w:pPr>
        <w:pStyle w:val="Normal"/>
        <w:spacing w:lineRule="auto" w:line="240"/>
        <w:jc w:val="both"/>
        <w:rPr>
          <w:rFonts w:ascii="Calibri" w:hAnsi="Calibri"/>
        </w:rPr>
      </w:pPr>
      <w:r>
        <w:rPr/>
      </w:r>
    </w:p>
    <w:p>
      <w:pPr>
        <w:pStyle w:val="Normal"/>
        <w:spacing w:lineRule="auto" w:line="240"/>
        <w:jc w:val="both"/>
        <w:rPr>
          <w:rFonts w:ascii="Calibri" w:hAnsi="Calibri"/>
        </w:rPr>
      </w:pPr>
      <w:r>
        <w:rPr>
          <w:rFonts w:cs="Calibri" w:cstheme="minorHAnsi"/>
          <w:b/>
          <w:i/>
          <w:iCs/>
          <w:color w:themeColor="text1" w:val="000000"/>
          <w:u w:val="single"/>
          <w:shd w:fill="auto" w:val="clear"/>
        </w:rPr>
        <w:t>Point d’attention</w:t>
      </w:r>
      <w:r>
        <w:rPr>
          <w:rFonts w:cs="Calibri" w:cstheme="minorHAnsi"/>
          <w:b/>
          <w:i/>
          <w:iCs/>
          <w:color w:themeColor="text1" w:val="000000"/>
          <w:shd w:fill="auto" w:val="clear"/>
        </w:rPr>
        <w:t> : les engagements pris par le candidat dans le présent cadre de réponse doivent dans tous les cas porter un niveau de performance environnementale des produits supérieur aux exigences précisées au CCTP</w:t>
      </w:r>
    </w:p>
    <w:p>
      <w:pPr>
        <w:pStyle w:val="Normal"/>
        <w:spacing w:lineRule="auto" w:line="240"/>
        <w:jc w:val="both"/>
        <w:rPr>
          <w:rFonts w:ascii="Calibri" w:hAnsi="Calibri"/>
        </w:rPr>
      </w:pPr>
      <w:r>
        <w:rPr/>
      </w:r>
    </w:p>
    <w:p>
      <w:pPr>
        <w:pStyle w:val="Normal"/>
        <w:spacing w:lineRule="auto" w:line="240"/>
        <w:rPr>
          <w:rFonts w:ascii="Calibri" w:hAnsi="Calibri"/>
        </w:rPr>
      </w:pPr>
      <w:r>
        <w:rPr>
          <w:rFonts w:cs="Calibri" w:cstheme="minorHAnsi"/>
          <w:b/>
        </w:rPr>
        <w:t>CRITÈRE 1 - VALEUR TECHNIQUE : 45 %</w:t>
      </w:r>
    </w:p>
    <w:p>
      <w:pPr>
        <w:pStyle w:val="ListParagraph"/>
        <w:numPr>
          <w:ilvl w:val="0"/>
          <w:numId w:val="2"/>
        </w:numPr>
        <w:spacing w:lineRule="auto" w:line="240" w:before="57" w:after="0"/>
        <w:contextualSpacing/>
        <w:jc w:val="both"/>
        <w:rPr>
          <w:rFonts w:ascii="Calibri" w:hAnsi="Calibri"/>
        </w:rPr>
      </w:pPr>
      <w:r>
        <w:rPr>
          <w:rFonts w:eastAsia="Times New Roman" w:cs="Calibri" w:cstheme="minorHAnsi"/>
          <w:b/>
          <w:bCs/>
          <w:lang w:eastAsia="fr-FR"/>
        </w:rPr>
        <w:t>Sous-critère 1-1 :</w:t>
      </w:r>
      <w:r>
        <w:rPr>
          <w:rFonts w:eastAsia="Times New Roman" w:cs="Calibri" w:cstheme="minorHAnsi"/>
          <w:b w:val="false"/>
          <w:bCs w:val="false"/>
          <w:lang w:eastAsia="fr-FR"/>
        </w:rPr>
        <w:t xml:space="preserve"> Pertinence de la méthodologie proposée pour l’exécution des prestations objet du lot – </w:t>
      </w:r>
      <w:r>
        <w:rPr>
          <w:rFonts w:eastAsia="Times New Roman" w:cs="Calibri" w:cstheme="minorHAnsi"/>
          <w:b/>
          <w:bCs/>
          <w:lang w:eastAsia="fr-FR"/>
        </w:rPr>
        <w:t>30 points</w:t>
      </w:r>
    </w:p>
    <w:p>
      <w:pPr>
        <w:pStyle w:val="ListParagraph"/>
        <w:numPr>
          <w:ilvl w:val="0"/>
          <w:numId w:val="0"/>
        </w:numPr>
        <w:spacing w:lineRule="auto" w:line="240" w:before="57" w:after="0"/>
        <w:ind w:hanging="0" w:left="720"/>
        <w:contextualSpacing/>
        <w:jc w:val="both"/>
        <w:rPr>
          <w:rFonts w:ascii="Calibri" w:hAnsi="Calibri" w:eastAsia="Times New Roman" w:cs="Calibri" w:cstheme="minorHAnsi"/>
          <w:b w:val="false"/>
          <w:bCs w:val="false"/>
          <w:i/>
          <w:i/>
          <w:iCs/>
          <w:color w:val="000000"/>
          <w:sz w:val="24"/>
          <w:szCs w:val="24"/>
          <w:lang w:eastAsia="fr-FR"/>
        </w:rPr>
      </w:pPr>
      <w:r>
        <w:rPr>
          <w:rFonts w:eastAsia="Times New Roman" w:cs="Calibri" w:cstheme="minorHAnsi"/>
          <w:b w:val="false"/>
          <w:bCs w:val="false"/>
          <w:i/>
          <w:iCs/>
          <w:color w:val="000000"/>
          <w:sz w:val="24"/>
          <w:szCs w:val="24"/>
          <w:lang w:eastAsia="fr-FR"/>
        </w:rPr>
      </w:r>
    </w:p>
    <w:p>
      <w:pPr>
        <w:pStyle w:val="ListParagraph"/>
        <w:numPr>
          <w:ilvl w:val="0"/>
          <w:numId w:val="0"/>
        </w:numPr>
        <w:spacing w:lineRule="auto" w:line="240" w:before="57" w:after="0"/>
        <w:ind w:hanging="0" w:left="720"/>
        <w:contextualSpacing/>
        <w:jc w:val="both"/>
        <w:rPr>
          <w:rFonts w:ascii="Calibri" w:hAnsi="Calibri"/>
        </w:rPr>
      </w:pPr>
      <w:r>
        <w:rPr>
          <w:rFonts w:eastAsia="Times New Roman" w:cs="Calibri" w:cstheme="minorHAnsi"/>
          <w:b w:val="false"/>
          <w:bCs w:val="false"/>
          <w:i/>
          <w:iCs/>
          <w:color w:val="000000"/>
          <w:sz w:val="22"/>
          <w:szCs w:val="22"/>
          <w:lang w:eastAsia="fr-FR"/>
        </w:rPr>
        <w:t>Décrire :</w:t>
      </w:r>
    </w:p>
    <w:p>
      <w:pPr>
        <w:pStyle w:val="ListParagraph"/>
        <w:numPr>
          <w:ilvl w:val="1"/>
          <w:numId w:val="2"/>
        </w:numPr>
        <w:spacing w:lineRule="auto" w:line="240" w:before="57" w:after="0"/>
        <w:contextualSpacing/>
        <w:jc w:val="both"/>
        <w:rPr>
          <w:highlight w:val="none"/>
          <w:shd w:fill="auto" w:val="clear"/>
        </w:rPr>
      </w:pPr>
      <w:r>
        <w:rPr>
          <w:rFonts w:eastAsia="Times New Roman" w:cs="Calibri" w:cstheme="minorHAnsi"/>
          <w:b w:val="false"/>
          <w:bCs w:val="false"/>
          <w:i/>
          <w:iCs/>
          <w:color w:val="000000"/>
          <w:sz w:val="22"/>
          <w:szCs w:val="22"/>
          <w:shd w:fill="auto" w:val="clear"/>
          <w:lang w:eastAsia="fr-FR"/>
        </w:rPr>
        <w:t>les modalités d’organisation d’un chantier et de la réception des travaux ;</w:t>
      </w:r>
    </w:p>
    <w:p>
      <w:pPr>
        <w:pStyle w:val="ListParagraph"/>
        <w:numPr>
          <w:ilvl w:val="1"/>
          <w:numId w:val="2"/>
        </w:numPr>
        <w:spacing w:lineRule="auto" w:line="240" w:before="57" w:after="0"/>
        <w:contextualSpacing/>
        <w:jc w:val="both"/>
        <w:rPr>
          <w:highlight w:val="none"/>
          <w:shd w:fill="auto" w:val="clear"/>
        </w:rPr>
      </w:pPr>
      <w:r>
        <w:rPr>
          <w:rFonts w:eastAsia="Times New Roman" w:cs="Calibri" w:cstheme="minorHAnsi"/>
          <w:b w:val="false"/>
          <w:bCs w:val="false"/>
          <w:i/>
          <w:iCs/>
          <w:color w:val="000000"/>
          <w:sz w:val="22"/>
          <w:szCs w:val="22"/>
          <w:shd w:fill="auto" w:val="clear"/>
          <w:lang w:eastAsia="fr-FR"/>
        </w:rPr>
        <w:t>les modalités de prise en charge des pannes :</w:t>
      </w:r>
    </w:p>
    <w:p>
      <w:pPr>
        <w:pStyle w:val="ListParagraph"/>
        <w:numPr>
          <w:ilvl w:val="2"/>
          <w:numId w:val="2"/>
        </w:numPr>
        <w:spacing w:lineRule="auto" w:line="240" w:before="57" w:after="0"/>
        <w:contextualSpacing/>
        <w:jc w:val="both"/>
        <w:rPr/>
      </w:pPr>
      <w:r>
        <w:rPr>
          <w:rFonts w:eastAsia="Times New Roman" w:cs="Calibri" w:cstheme="minorHAnsi"/>
          <w:b w:val="false"/>
          <w:bCs w:val="false"/>
          <w:i/>
          <w:iCs/>
          <w:color w:val="000000"/>
          <w:sz w:val="22"/>
          <w:szCs w:val="22"/>
          <w:shd w:fill="auto" w:val="clear"/>
          <w:lang w:eastAsia="fr-FR"/>
        </w:rPr>
        <w:t xml:space="preserve">implantation géographique, partenariat, réseau d’électricien..., </w:t>
      </w:r>
    </w:p>
    <w:p>
      <w:pPr>
        <w:pStyle w:val="ListParagraph"/>
        <w:numPr>
          <w:ilvl w:val="2"/>
          <w:numId w:val="2"/>
        </w:numPr>
        <w:spacing w:lineRule="auto" w:line="240" w:before="57" w:after="0"/>
        <w:contextualSpacing/>
        <w:jc w:val="both"/>
        <w:rPr/>
      </w:pPr>
      <w:r>
        <w:rPr>
          <w:rFonts w:eastAsia="Times New Roman" w:cs="Calibri" w:cstheme="minorHAnsi"/>
          <w:b w:val="false"/>
          <w:bCs w:val="false"/>
          <w:i/>
          <w:iCs/>
          <w:strike w:val="false"/>
          <w:dstrike w:val="false"/>
          <w:color w:val="000000"/>
          <w:sz w:val="22"/>
          <w:szCs w:val="22"/>
          <w:shd w:fill="auto" w:val="clear"/>
          <w:lang w:eastAsia="fr-FR"/>
        </w:rPr>
        <w:t>délais d’intervention ;</w:t>
      </w:r>
    </w:p>
    <w:p>
      <w:pPr>
        <w:pStyle w:val="ListParagraph"/>
        <w:numPr>
          <w:ilvl w:val="1"/>
          <w:numId w:val="2"/>
        </w:numPr>
        <w:spacing w:lineRule="auto" w:line="240" w:before="57" w:after="0"/>
        <w:contextualSpacing/>
        <w:jc w:val="both"/>
        <w:rPr>
          <w:rFonts w:cs="Calibri" w:cstheme="minorHAnsi"/>
          <w:highlight w:val="none"/>
          <w:shd w:fill="auto" w:val="clear"/>
        </w:rPr>
      </w:pPr>
      <w:r>
        <w:rPr>
          <w:rFonts w:eastAsia="Times New Roman" w:cs="Calibri" w:cstheme="minorHAnsi"/>
          <w:b w:val="false"/>
          <w:bCs w:val="false"/>
          <w:i/>
          <w:iCs/>
          <w:color w:val="000000"/>
          <w:sz w:val="22"/>
          <w:szCs w:val="22"/>
          <w:shd w:fill="auto" w:val="clear"/>
          <w:lang w:eastAsia="fr-FR"/>
        </w:rPr>
        <w:t xml:space="preserve">l’expertise de la société en matière de performance énergétique. </w:t>
      </w:r>
    </w:p>
    <w:p>
      <w:pPr>
        <w:pStyle w:val="Normal"/>
        <w:spacing w:lineRule="auto" w:line="240" w:before="57" w:after="0"/>
        <w:jc w:val="both"/>
        <w:rPr>
          <w:rFonts w:ascii="Calibri" w:hAnsi="Calibri" w:eastAsia="Times New Roman" w:cs="Calibri" w:cstheme="minorHAnsi"/>
          <w:lang w:eastAsia="fr-FR"/>
        </w:rPr>
      </w:pPr>
      <w:r>
        <w:rPr>
          <w:rFonts w:eastAsia="Times New Roman" w:cs="Calibri" w:cstheme="minorHAnsi"/>
          <w:lang w:eastAsia="fr-FR"/>
        </w:rPr>
      </w:r>
    </w:p>
    <w:p>
      <w:pPr>
        <w:pStyle w:val="Normal"/>
        <w:spacing w:lineRule="auto" w:line="240"/>
        <w:rPr>
          <w:rFonts w:ascii="Calibri" w:hAnsi="Calibri"/>
        </w:rPr>
      </w:pPr>
      <w:r>
        <w:rPr>
          <w:rFonts w:cs="Calibri" w:cstheme="minorHAnsi"/>
          <w:highlight w:val="lightGray"/>
        </w:rPr>
        <w:t>………………………………………………………………………………………………………………………………………………………………………………………………………………………………………………………………………………………………………………………………………………………………………………………………………………………………………………………………………………………………………………………………………………………………………………………………………………………………………………………………………………………………………………………………………………………………………………………………………………………………………………………………………………………………………………………………………………………………………………………………………………………………………………………………………………………………………………………………………………………………………………………………………………………………………………………………………………………………………………………………………………………………………………………………………………………………………………………………………………………………………………………………………………………………………………………………………………………………………………………………………………………………………………………………………………………………………………………………………………………………………………………………………………………………………………………………………………………………………………………………………………………………………………………………………………………………………………………………………………………………………………………………………………………………………………………………………………………………………………………………………………………………………………………………………………………………………………………………………………………………………………………………………………………………………………………………………………………………………………………………………………………………………………………………………………………………………………………………………………………………………………………………………………………………………………………………………………………………………………………………………………………………………………………………………………………………………………………………………………………………………………………………………………………………………………………………………………………………………………………………………………………………………………………………………………………………………………………………………………………………………………………………………………………………………………………………………………………………………………………………………………………………………………………………………………………………………………………………………………………………………………………………………………………………………………………………………………………………………………………………………………………………………………………………………………………………………………………………………………………………………………………………………………………………………………………………………………………………………………………………………………………………………………………………………………………………………………………………………………………………………………………………………………………………………………………………………………………………………………………………………………………………………………………………………………………………………………………………………………………………………………………………………………………………………………………………………………………………………………………………………………………………………………………………………………………………………………………………………………………………………………………………………………………………………………………………………………………………………………………………………………………………………………………………………………………………………………………………………………………………………………………………………………………………………………………………………………………………………………………………………………………………………………………………………………………………………………………………………………………………………………………………………………………………………………………………………………………………………………………………………………………………………………………………………………………………………………………………………………………………………………………………………………………………………………………………………………………………………………………………………………………………………………………………………………………………………………………………………………………………………………………………………………………………………………………………………………………………………………………………………………………………………………………………………………………………………………………………………………………………………………………………………………………………………………………………………………………………………………………………………………………………………………………………………………………………………………………………………………………………………………………………………………………………………………………………………………………………………………………………………………………………………</w:t>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Normal"/>
        <w:spacing w:lineRule="auto" w:line="240"/>
        <w:rPr>
          <w:rFonts w:ascii="Calibri" w:hAnsi="Calibri" w:cs="Calibri" w:cstheme="minorHAnsi"/>
        </w:rPr>
      </w:pPr>
      <w:r>
        <w:rPr>
          <w:rFonts w:cs="Calibri" w:cstheme="minorHAnsi"/>
        </w:rPr>
      </w:r>
    </w:p>
    <w:p>
      <w:pPr>
        <w:pStyle w:val="ListParagraph"/>
        <w:numPr>
          <w:ilvl w:val="0"/>
          <w:numId w:val="2"/>
        </w:numPr>
        <w:spacing w:lineRule="auto" w:line="240"/>
        <w:jc w:val="both"/>
        <w:rPr>
          <w:rFonts w:ascii="Calibri" w:hAnsi="Calibri"/>
        </w:rPr>
      </w:pPr>
      <w:r>
        <w:rPr>
          <w:rFonts w:cs="Calibri" w:cstheme="minorHAnsi"/>
          <w:b/>
        </w:rPr>
        <w:t xml:space="preserve">Sous-critère 1-2 : </w:t>
      </w:r>
      <w:r>
        <w:rPr>
          <w:rFonts w:cs="Calibri" w:cstheme="minorHAnsi"/>
          <w:b w:val="false"/>
          <w:bCs w:val="false"/>
        </w:rPr>
        <w:t xml:space="preserve">Pertinence de l’organisation pour la réalisation et le suivi de plusieurs chantiers en simultané dans le cadre d’opérations </w:t>
      </w:r>
      <w:r>
        <w:rPr>
          <w:rFonts w:cs="Calibri" w:cstheme="minorHAnsi"/>
          <w:b w:val="false"/>
          <w:bCs w:val="false"/>
          <w:u w:val="single"/>
        </w:rPr>
        <w:t xml:space="preserve">multi-sites et multi-bénéficiaires </w:t>
      </w:r>
      <w:r>
        <w:rPr>
          <w:rFonts w:cs="Calibri" w:cstheme="minorHAnsi"/>
          <w:b w:val="false"/>
          <w:bCs w:val="false"/>
        </w:rPr>
        <w:t xml:space="preserve">avec des travaux de durée allant de quelques jours à plusieurs mois – </w:t>
      </w:r>
      <w:r>
        <w:rPr>
          <w:rFonts w:cs="Calibri" w:cstheme="minorHAnsi"/>
          <w:b/>
          <w:bCs/>
        </w:rPr>
        <w:t>15 points</w:t>
      </w:r>
    </w:p>
    <w:p>
      <w:pPr>
        <w:pStyle w:val="Normal"/>
        <w:spacing w:lineRule="auto" w:line="240"/>
        <w:ind w:hanging="0" w:left="360"/>
        <w:jc w:val="both"/>
        <w:rPr>
          <w:rFonts w:ascii="Calibri" w:hAnsi="Calibri"/>
        </w:rPr>
      </w:pPr>
      <w:r>
        <w:rPr>
          <w:rFonts w:cs="Calibri" w:cstheme="minorHAnsi"/>
          <w:i/>
          <w:iCs/>
        </w:rPr>
        <w:tab/>
        <w:t xml:space="preserve">Décrire les processus mis en œuvre pour respecter le niveau d’exigence des prestations (travaux et produits). Le candidat prend soin de détailler les processus et les moyens organisationnels mis en œuvre afin de respecter les délais pour chaque opération, ainsi que les documents de suivi interne et les documents fournis aux bénéficiaires lors des différentes phases de travaux. </w:t>
      </w:r>
    </w:p>
    <w:p>
      <w:pPr>
        <w:pStyle w:val="Normal"/>
        <w:spacing w:lineRule="auto" w:line="240" w:before="57" w:after="0"/>
        <w:jc w:val="both"/>
        <w:rPr>
          <w:rFonts w:ascii="Calibri" w:hAnsi="Calibri"/>
        </w:rPr>
      </w:pPr>
      <w:r>
        <w:rPr>
          <w:rFonts w:eastAsia="Times New Roman" w:cs="Calibri" w:cstheme="minorHAnsi"/>
          <w:i/>
          <w:iCs/>
          <w:lang w:eastAsia="fr-FR"/>
        </w:rPr>
        <w:t xml:space="preserve"> </w:t>
      </w:r>
    </w:p>
    <w:p>
      <w:pPr>
        <w:pStyle w:val="Normal"/>
        <w:spacing w:lineRule="auto" w:line="240"/>
        <w:jc w:val="both"/>
        <w:rPr>
          <w:rFonts w:ascii="Calibri" w:hAnsi="Calibri"/>
        </w:rPr>
      </w:pPr>
      <w:r>
        <w:rPr>
          <w:rFonts w:cs="Calibri" w:cstheme="minorHAnsi"/>
          <w:highlight w:val="lightGray"/>
        </w:rPr>
        <w:t>………………………………………………………………………………………………………………………………………………………………………………………………………………………………………………………………………………………………………………………………………………………………………………………………………………………………………………………………………………………………………………………………………………………………………………………………………………………………………………………………………………………………………………………………………………………………………………………………………………………………………………………………………………………………………………………………………………………………………………………………………………………………………………………………………………………………………………………………………………………………………………………………………………………………………………………………………………………………………………………………………………………………………………………………………………………………………………………………………………………………………………………………………………………………………………………………………………………………………………………………………………………………………………………………………………………………………………………………………………………………………………………………………………………………………………………………………………………………………………………………………………………………………………………………………………………………………………………………………………………………………………………………………………………………………………………………………………………………………………………………………………………………………………………………………………………………………………………………………………………………………………………………………………………………………………………………………………………………………………………………………………………………………………………………………………………………………………………………………………………………………………………………………………………………………………………………………………………………………………………………………………………………………………………………………………………………………………………………………………………………………………………………………………………………………………………………………………………………………………………………………………………………………………………………………………………………………………………………………………………………………………………………………………………………………………………………………………………………………………………………………………………………………………………………………………………………………………………………………………………………………………………………………………………………………………………………………………………………………………………………………………………………………………………………………………………………………………………………………………………………………………………………………………………………………………………………………………………………………………………………………………………………………………………………………………………………………………………………………………………………………………………………………………………………………………………………………………………………………………………………………………………………………………………………………………………………………………………………………………………………………………………………………………………………………………………………………………………………………………………………………………………………………………………………………………………………………………………………………………………………………………………………………………………………………………………………………………………………………………………………………………………………………………………………………………………………………………………………………………………………………………………………………………………………………………………………………………………………………………………………………………………………………………………………………………………………………………………………………………………………………………………………………………………………………………………………………………………………………………………………………………………………………………………………………………………………………………………………………………………………………………………………………………………………………………………………………………………………………………………………………………………………………………………</w:t>
      </w:r>
      <w:r>
        <w:rPr>
          <w:rFonts w:cs="Calibri" w:cstheme="minorHAnsi"/>
          <w:b/>
          <w:shd w:fill="auto" w:val="clear"/>
        </w:rPr>
        <w:t xml:space="preserve">CRITÈRE 2 : QUALITÉ ENVIRONNEMENTALE – </w:t>
      </w:r>
      <w:r>
        <w:rPr>
          <w:rFonts w:cs="Calibri"/>
          <w:b w:val="false"/>
          <w:bCs w:val="false"/>
          <w:shd w:fill="auto" w:val="clear"/>
        </w:rPr>
        <w:t>Pertinence</w:t>
      </w:r>
      <w:r>
        <w:rPr>
          <w:rFonts w:eastAsia="Times New Roman" w:cs="Calibri" w:ascii="Liberation Sans" w:hAnsi="Liberation Sans"/>
          <w:b w:val="false"/>
          <w:bCs w:val="false"/>
          <w:i w:val="false"/>
          <w:iCs w:val="false"/>
          <w:color w:val="000000"/>
          <w:sz w:val="20"/>
          <w:szCs w:val="20"/>
          <w:u w:val="none"/>
          <w:shd w:fill="auto" w:val="clear"/>
          <w:lang w:eastAsia="fr-FR"/>
        </w:rPr>
        <w:t xml:space="preserve"> des modalités proposées pour le réemploi/réutilisation/ reconditionnement des câbles et des équipements électriques lors de la pose et de la dépose dans l’exécution des travaux </w:t>
      </w:r>
      <w:r>
        <w:rPr>
          <w:rFonts w:eastAsia="Times New Roman" w:cs="Calibri" w:ascii="Arial" w:hAnsi="Arial"/>
          <w:b/>
          <w:bCs w:val="false"/>
          <w:color w:val="000000"/>
          <w:sz w:val="20"/>
          <w:szCs w:val="20"/>
          <w:shd w:fill="auto" w:val="clear"/>
          <w:lang w:eastAsia="fr-FR"/>
        </w:rPr>
        <w:t>– 15 points</w:t>
      </w:r>
    </w:p>
    <w:p>
      <w:pPr>
        <w:pStyle w:val="Normal"/>
        <w:spacing w:lineRule="auto" w:line="240"/>
        <w:jc w:val="both"/>
        <w:rPr>
          <w:rFonts w:eastAsia="Andale Sans UI" w:cs="Times New Roman"/>
          <w:b w:val="false"/>
          <w:i w:val="false"/>
          <w:i w:val="false"/>
          <w:color w:val="auto"/>
          <w:kern w:val="2"/>
          <w:sz w:val="20"/>
          <w:szCs w:val="20"/>
          <w:highlight w:val="none"/>
          <w:shd w:fill="FFFF00" w:val="clear"/>
          <w:lang w:val="fr-FR" w:eastAsia="fr-FR" w:bidi="ar-SA"/>
        </w:rPr>
      </w:pPr>
      <w:r>
        <w:rPr>
          <w:rFonts w:eastAsia="Andale Sans UI" w:cs="Times New Roman"/>
          <w:b w:val="false"/>
          <w:i w:val="false"/>
          <w:color w:val="000000"/>
          <w:kern w:val="2"/>
          <w:sz w:val="20"/>
          <w:szCs w:val="20"/>
          <w:shd w:fill="FFFF00" w:val="clear"/>
          <w:lang w:val="fr-FR" w:eastAsia="fr-FR" w:bidi="ar-SA"/>
        </w:rPr>
        <mc:AlternateContent>
          <mc:Choice Requires="wps">
            <w:drawing>
              <wp:anchor behindDoc="0" distT="635" distB="635" distL="1270" distR="0" simplePos="0" locked="0" layoutInCell="1" allowOverlap="1" relativeHeight="6">
                <wp:simplePos x="0" y="0"/>
                <wp:positionH relativeFrom="column">
                  <wp:posOffset>-9525</wp:posOffset>
                </wp:positionH>
                <wp:positionV relativeFrom="paragraph">
                  <wp:posOffset>99695</wp:posOffset>
                </wp:positionV>
                <wp:extent cx="6116955" cy="1653540"/>
                <wp:effectExtent l="1270" t="635" r="0" b="635"/>
                <wp:wrapNone/>
                <wp:docPr id="2" name="Forme 1"/>
                <a:graphic xmlns:a="http://schemas.openxmlformats.org/drawingml/2006/main">
                  <a:graphicData uri="http://schemas.microsoft.com/office/word/2010/wordprocessingShape">
                    <wps:wsp>
                      <wps:cNvSpPr/>
                      <wps:spPr>
                        <a:xfrm>
                          <a:off x="0" y="0"/>
                          <a:ext cx="6117120" cy="1653480"/>
                        </a:xfrm>
                        <a:prstGeom prst="rect">
                          <a:avLst/>
                        </a:prstGeom>
                        <a:noFill/>
                        <a:ln w="0">
                          <a:solidFill>
                            <a:srgbClr val="3465a4"/>
                          </a:solidFill>
                        </a:ln>
                      </wps:spPr>
                      <wps:style>
                        <a:lnRef idx="0"/>
                        <a:fillRef idx="0"/>
                        <a:effectRef idx="0"/>
                        <a:fontRef idx="minor"/>
                      </wps:style>
                      <wps:bodyPr/>
                    </wps:wsp>
                  </a:graphicData>
                </a:graphic>
              </wp:anchor>
            </w:drawing>
          </mc:Choice>
          <mc:Fallback>
            <w:pict>
              <v:rect id="shape_0" ID="Forme 1" path="m0,0l-2147483645,0l-2147483645,-2147483646l0,-2147483646xe" stroked="t" o:allowincell="f" style="position:absolute;margin-left:-0.75pt;margin-top:7.85pt;width:481.6pt;height:130.15pt;mso-wrap-style:none;v-text-anchor:middle">
                <v:fill o:detectmouseclick="t" on="false"/>
                <v:stroke color="#3465a4" joinstyle="round" endcap="flat"/>
                <w10:wrap type="none"/>
              </v:rect>
            </w:pict>
          </mc:Fallback>
        </mc:AlternateContent>
      </w:r>
    </w:p>
    <w:p>
      <w:pPr>
        <w:pStyle w:val="Normal"/>
        <w:widowControl/>
        <w:tabs>
          <w:tab w:val="clear" w:pos="708"/>
          <w:tab w:val="left" w:pos="90" w:leader="none"/>
          <w:tab w:val="left" w:pos="817" w:leader="none"/>
        </w:tabs>
        <w:suppressAutoHyphens w:val="true"/>
        <w:overflowPunct w:val="true"/>
        <w:bidi w:val="0"/>
        <w:spacing w:before="57" w:after="0"/>
        <w:ind w:hanging="0" w:left="283" w:right="283"/>
        <w:jc w:val="both"/>
        <w:textAlignment w:val="center"/>
        <w:rPr>
          <w:rFonts w:ascii="Arial" w:hAnsi="Arial"/>
        </w:rPr>
      </w:pPr>
      <w:r>
        <w:rPr>
          <w:rFonts w:eastAsia="Andale Sans UI" w:cs="Times New Roman" w:ascii="Arial" w:hAnsi="Arial"/>
          <w:b w:val="false"/>
          <w:i w:val="false"/>
          <w:color w:val="auto"/>
          <w:kern w:val="2"/>
          <w:sz w:val="20"/>
          <w:szCs w:val="20"/>
          <w:lang w:val="fr-FR" w:eastAsia="fr-FR" w:bidi="ar-SA"/>
        </w:rPr>
        <w:t xml:space="preserve">Les enjeux d’un achat public responsable préservant les ressources, mobilisant les filières locales innovantes du territoire ont conduit le préfet de région a engagé des actions volontaristes et concrètes. Aussi, pour la réalisation des travaux électriques, un dispositif soutenant la structuration de la filière du câble issu du réemploi est prévu et touche la filière de la déconstruction, du retraitement, de la pose. </w:t>
      </w:r>
    </w:p>
    <w:p>
      <w:pPr>
        <w:pStyle w:val="Normal"/>
        <w:widowControl/>
        <w:tabs>
          <w:tab w:val="clear" w:pos="708"/>
          <w:tab w:val="left" w:pos="90" w:leader="none"/>
          <w:tab w:val="left" w:pos="817" w:leader="none"/>
        </w:tabs>
        <w:suppressAutoHyphens w:val="true"/>
        <w:overflowPunct w:val="true"/>
        <w:bidi w:val="0"/>
        <w:spacing w:before="57" w:after="0"/>
        <w:ind w:hanging="0" w:left="283" w:right="283"/>
        <w:jc w:val="both"/>
        <w:textAlignment w:val="center"/>
        <w:rPr>
          <w:rFonts w:ascii="Arial" w:hAnsi="Arial"/>
        </w:rPr>
      </w:pPr>
      <w:r>
        <w:rPr>
          <w:rFonts w:eastAsia="Andale Sans UI" w:cs="Times New Roman" w:ascii="Arial" w:hAnsi="Arial"/>
          <w:b w:val="false"/>
          <w:i w:val="false"/>
          <w:color w:val="auto"/>
          <w:kern w:val="2"/>
          <w:sz w:val="20"/>
          <w:szCs w:val="20"/>
          <w:lang w:val="fr-FR" w:eastAsia="fr-FR" w:bidi="ar-SA"/>
        </w:rPr>
        <w:t>L</w:t>
      </w:r>
      <w:r>
        <w:rPr>
          <w:rFonts w:eastAsia="Andale Sans UI" w:cs="Times New Roman" w:ascii="Arial" w:hAnsi="Arial"/>
          <w:b w:val="false"/>
          <w:i w:val="false"/>
          <w:color w:val="auto"/>
          <w:kern w:val="2"/>
          <w:sz w:val="20"/>
          <w:szCs w:val="20"/>
          <w:u w:val="none"/>
          <w:lang w:val="fr-FR" w:eastAsia="fr-FR" w:bidi="ar-SA"/>
        </w:rPr>
        <w:t xml:space="preserve">es entreprises sont invitées à proposer toute action visant à réduire le recours à des ressources nouvelles (minerais, matières premières) en favorisant le réemploi, la réutilisation, le reconditionnement, mais aussi à mobiliser l’emploi non délocalisable. </w:t>
      </w:r>
    </w:p>
    <w:p>
      <w:pPr>
        <w:pStyle w:val="Normal"/>
        <w:widowControl/>
        <w:tabs>
          <w:tab w:val="clear" w:pos="708"/>
          <w:tab w:val="left" w:pos="90" w:leader="none"/>
          <w:tab w:val="left" w:pos="817" w:leader="none"/>
        </w:tabs>
        <w:suppressAutoHyphens w:val="true"/>
        <w:overflowPunct w:val="true"/>
        <w:bidi w:val="0"/>
        <w:spacing w:before="57" w:after="0"/>
        <w:ind w:hanging="0" w:left="283" w:right="283"/>
        <w:jc w:val="both"/>
        <w:textAlignment w:val="center"/>
        <w:rPr>
          <w:rFonts w:eastAsia="Andale Sans UI" w:cs="Times New Roman"/>
          <w:b w:val="false"/>
          <w:i w:val="false"/>
          <w:i w:val="false"/>
          <w:color w:val="auto"/>
          <w:kern w:val="2"/>
          <w:sz w:val="20"/>
          <w:szCs w:val="20"/>
          <w:u w:val="none"/>
          <w:lang w:val="fr-FR" w:eastAsia="fr-FR" w:bidi="ar-SA"/>
        </w:rPr>
      </w:pPr>
      <w:r>
        <w:rPr>
          <w:rFonts w:eastAsia="Andale Sans UI" w:cs="Times New Roman"/>
          <w:b w:val="false"/>
          <w:i w:val="false"/>
          <w:color w:val="auto"/>
          <w:kern w:val="2"/>
          <w:sz w:val="20"/>
          <w:szCs w:val="20"/>
          <w:u w:val="none"/>
          <w:lang w:val="fr-FR" w:eastAsia="fr-FR" w:bidi="ar-SA"/>
        </w:rPr>
      </w:r>
    </w:p>
    <w:p>
      <w:pPr>
        <w:pStyle w:val="Normal"/>
        <w:numPr>
          <w:ilvl w:val="0"/>
          <w:numId w:val="3"/>
        </w:numPr>
        <w:spacing w:lineRule="auto" w:line="240"/>
        <w:jc w:val="both"/>
        <w:rPr>
          <w:rFonts w:cs="Calibri" w:cstheme="minorHAnsi"/>
          <w:highlight w:val="none"/>
          <w:shd w:fill="auto" w:val="clear"/>
        </w:rPr>
      </w:pPr>
      <w:r>
        <w:rPr>
          <w:rFonts w:eastAsia="Times New Roman" w:cs="Calibri" w:ascii="Arial" w:hAnsi="Arial" w:cstheme="minorHAnsi"/>
          <w:b/>
          <w:bCs w:val="false"/>
          <w:color w:val="000000"/>
          <w:sz w:val="20"/>
          <w:szCs w:val="20"/>
          <w:shd w:fill="auto" w:val="clear"/>
          <w:lang w:eastAsia="fr-FR"/>
        </w:rPr>
        <w:t xml:space="preserve">Lors de la pose : </w:t>
      </w:r>
      <w:r>
        <w:rPr>
          <w:rFonts w:eastAsia="Times New Roman" w:cs="Calibri" w:ascii="Arial" w:hAnsi="Arial" w:cstheme="minorHAnsi"/>
          <w:b w:val="false"/>
          <w:bCs w:val="false"/>
          <w:color w:val="000000"/>
          <w:sz w:val="20"/>
          <w:szCs w:val="20"/>
          <w:shd w:fill="auto" w:val="clear"/>
          <w:lang w:eastAsia="fr-FR"/>
        </w:rPr>
        <w:t xml:space="preserve">démarches et partenariats mis en œuvre pour l’utilisation de câbles et d’équipements électriques issus du réemploi/de la réutilisation/du reconditionnement pour les chantiers menés dans le présent accord-cadre </w:t>
      </w:r>
    </w:p>
    <w:p>
      <w:pPr>
        <w:pStyle w:val="Normal"/>
        <w:spacing w:lineRule="auto" w:line="240"/>
        <w:rPr>
          <w:rFonts w:ascii="Calibri" w:hAnsi="Calibri"/>
        </w:rPr>
      </w:pPr>
      <w:r>
        <w:rPr>
          <w:rFonts w:cs="Calibri" w:cstheme="minorHAnsi"/>
          <w:highlight w:val="lightGray"/>
        </w:rPr>
        <w:t>……………………………………………………………………………………………………………………………………………………………………………………………………………………………………………………………………………………………………………………………………………………………………………………………………………………………………………………………………………………………………………………………………………………………………………………………………………………………………………………………………………………………………………………………………………………………………………………………………………………………………………………………………………………………………………………………………………………………………………………………………………………………………………………………………………………………………………………………………………………………………………………………………………………………………………………………………………………………………………………………………………………………………………………………………………………………………………………………………………………………………………………………………………………………………………………………………………………………………………………………………………………………………………………………………………………………………………………………………………………………………………………………………………………………………………………………………………………………………………………………………………………………………………………………………………………………………………………………………………………………………………………………………………………………………………………………………………………………………………………………………………………………………………………………………………………………………………………………………………………………………………………………………………………………………………………………………………………………………………………………………………………………………………………………………………………………………………………………………………………………………………………………………………………………………………………………………………………………………………………………………………………………………………………………………………………………………………</w:t>
      </w:r>
    </w:p>
    <w:p>
      <w:pPr>
        <w:pStyle w:val="Normal"/>
        <w:spacing w:lineRule="auto" w:line="240"/>
        <w:jc w:val="both"/>
        <w:rPr>
          <w:rFonts w:eastAsia="Calibri" w:cs="" w:cstheme="minorBidi" w:eastAsiaTheme="minorHAnsi"/>
          <w:highlight w:val="none"/>
          <w:shd w:fill="auto" w:val="clear"/>
        </w:rPr>
      </w:pPr>
      <w:r>
        <w:rPr>
          <w:rFonts w:eastAsia="Calibri" w:cs="" w:ascii="Arial" w:hAnsi="Arial" w:cstheme="minorBidi" w:eastAsiaTheme="minorHAnsi"/>
          <w:i/>
          <w:iCs/>
          <w:sz w:val="20"/>
          <w:szCs w:val="20"/>
          <w:shd w:fill="auto" w:val="clear"/>
        </w:rPr>
        <w:tab/>
        <w:t>Préciser et ajouter les types de câbles reconditionnés qui peuvent être utilisés pour vos chantiers dans le tableau ci-dessous :</w:t>
      </w:r>
    </w:p>
    <w:tbl>
      <w:tblPr>
        <w:tblW w:w="9810" w:type="dxa"/>
        <w:jc w:val="left"/>
        <w:tblInd w:w="-267" w:type="dxa"/>
        <w:tblLayout w:type="fixed"/>
        <w:tblCellMar>
          <w:top w:w="55" w:type="dxa"/>
          <w:left w:w="55" w:type="dxa"/>
          <w:bottom w:w="55" w:type="dxa"/>
          <w:right w:w="55" w:type="dxa"/>
        </w:tblCellMar>
      </w:tblPr>
      <w:tblGrid>
        <w:gridCol w:w="1785"/>
        <w:gridCol w:w="968"/>
        <w:gridCol w:w="907"/>
        <w:gridCol w:w="4253"/>
        <w:gridCol w:w="1897"/>
      </w:tblGrid>
      <w:tr>
        <w:trPr>
          <w:trHeight w:val="735" w:hRule="atLeast"/>
        </w:trPr>
        <w:tc>
          <w:tcPr>
            <w:tcW w:w="1785" w:type="dxa"/>
            <w:tcBorders>
              <w:top w:val="single" w:sz="4" w:space="0" w:color="000000"/>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68"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Oui</w:t>
            </w:r>
          </w:p>
        </w:tc>
        <w:tc>
          <w:tcPr>
            <w:tcW w:w="907"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Non</w:t>
            </w:r>
          </w:p>
        </w:tc>
        <w:tc>
          <w:tcPr>
            <w:tcW w:w="4253"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Préciser les sections, les matières (cuivre, aluminium…), le type de câbles (rigide/ souple)...+ Partenariats</w:t>
            </w:r>
          </w:p>
        </w:tc>
        <w:tc>
          <w:tcPr>
            <w:tcW w:w="1897" w:type="dxa"/>
            <w:tcBorders>
              <w:top w:val="single" w:sz="4" w:space="0" w:color="000000"/>
              <w:left w:val="single" w:sz="4" w:space="0" w:color="000000"/>
              <w:bottom w:val="single" w:sz="4" w:space="0" w:color="000000"/>
              <w:right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Référence(s) au BPU le cas échéant</w:t>
            </w:r>
          </w:p>
        </w:tc>
      </w:tr>
      <w:tr>
        <w:trPr/>
        <w:tc>
          <w:tcPr>
            <w:tcW w:w="1785"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Câbles courants faibles</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rHeight w:val="447" w:hRule="atLeast"/>
        </w:trPr>
        <w:tc>
          <w:tcPr>
            <w:tcW w:w="1785"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Câbles courants forts</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Câbles extérieurs ou en toiture</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rHeight w:val="609" w:hRule="atLeast"/>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Arial" w:hAnsi="Arial" w:eastAsia="Calibri"/>
                <w:color w:val="030000"/>
                <w:sz w:val="20"/>
                <w:szCs w:val="20"/>
                <w:shd w:fill="auto" w:val="clear"/>
              </w:rPr>
            </w:pPr>
            <w:r>
              <w:rPr>
                <w:rFonts w:eastAsia="Calibri" w:ascii="Arial" w:hAnsi="Arial"/>
                <w:color w:val="030000"/>
                <w:sz w:val="20"/>
                <w:szCs w:val="20"/>
                <w:shd w:fill="auto" w:val="clear"/>
              </w:rPr>
              <w:t>Câbles issus de bâtiments industriels</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908B8B" w:val="clear"/>
              </w:rPr>
              <w:t>XXXX</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908B8B" w:val="clear"/>
              </w:rPr>
              <w:t>XXXX</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908B8B" w:val="clear"/>
              </w:rPr>
              <w:t>XXXX</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bl>
    <w:p>
      <w:pPr>
        <w:pStyle w:val="Normal"/>
        <w:spacing w:lineRule="auto" w:line="240"/>
        <w:jc w:val="both"/>
        <w:rPr>
          <w:rFonts w:ascii="Arial" w:hAnsi="Arial"/>
          <w:sz w:val="20"/>
          <w:szCs w:val="20"/>
          <w:highlight w:val="none"/>
          <w:shd w:fill="auto" w:val="clear"/>
        </w:rPr>
      </w:pPr>
      <w:r>
        <w:rPr>
          <w:rFonts w:ascii="Arial" w:hAnsi="Arial"/>
          <w:sz w:val="20"/>
          <w:szCs w:val="20"/>
          <w:shd w:fill="auto" w:val="clear"/>
        </w:rPr>
      </w:r>
    </w:p>
    <w:p>
      <w:pPr>
        <w:pStyle w:val="Normal"/>
        <w:spacing w:lineRule="auto" w:line="240"/>
        <w:jc w:val="both"/>
        <w:rPr>
          <w:highlight w:val="none"/>
          <w:shd w:fill="auto" w:val="clear"/>
        </w:rPr>
      </w:pPr>
      <w:r>
        <w:rPr>
          <w:rFonts w:eastAsia="Calibri" w:cs="" w:ascii="Arial" w:hAnsi="Arial" w:cstheme="minorBidi" w:eastAsiaTheme="minorHAnsi"/>
          <w:i/>
          <w:iCs/>
          <w:sz w:val="20"/>
          <w:szCs w:val="20"/>
          <w:shd w:fill="auto" w:val="clear"/>
        </w:rPr>
        <w:tab/>
        <w:t>Préciser et ajouter les équipements électriques reconditionnés qui peuvent être utilisés pour vos chantiers dans le tableau ci-dessous :</w:t>
      </w:r>
    </w:p>
    <w:tbl>
      <w:tblPr>
        <w:tblW w:w="9810" w:type="dxa"/>
        <w:jc w:val="left"/>
        <w:tblInd w:w="-267" w:type="dxa"/>
        <w:tblLayout w:type="fixed"/>
        <w:tblCellMar>
          <w:top w:w="55" w:type="dxa"/>
          <w:left w:w="55" w:type="dxa"/>
          <w:bottom w:w="55" w:type="dxa"/>
          <w:right w:w="55" w:type="dxa"/>
        </w:tblCellMar>
      </w:tblPr>
      <w:tblGrid>
        <w:gridCol w:w="1785"/>
        <w:gridCol w:w="968"/>
        <w:gridCol w:w="907"/>
        <w:gridCol w:w="4253"/>
        <w:gridCol w:w="1897"/>
      </w:tblGrid>
      <w:tr>
        <w:trPr>
          <w:trHeight w:val="735" w:hRule="atLeast"/>
        </w:trPr>
        <w:tc>
          <w:tcPr>
            <w:tcW w:w="1785" w:type="dxa"/>
            <w:tcBorders>
              <w:top w:val="single" w:sz="4" w:space="0" w:color="000000"/>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68"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Oui</w:t>
            </w:r>
          </w:p>
        </w:tc>
        <w:tc>
          <w:tcPr>
            <w:tcW w:w="907"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Non</w:t>
            </w:r>
          </w:p>
        </w:tc>
        <w:tc>
          <w:tcPr>
            <w:tcW w:w="4253"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Préciser les sections, les matières (cuivre, aluminium…), le type de câbles (rigide/ souple)...+ Partenariats</w:t>
            </w:r>
          </w:p>
        </w:tc>
        <w:tc>
          <w:tcPr>
            <w:tcW w:w="1897" w:type="dxa"/>
            <w:tcBorders>
              <w:top w:val="single" w:sz="4" w:space="0" w:color="000000"/>
              <w:left w:val="single" w:sz="4" w:space="0" w:color="000000"/>
              <w:bottom w:val="single" w:sz="4" w:space="0" w:color="000000"/>
              <w:right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Référence(s) au BPU le cas échéant</w:t>
            </w:r>
          </w:p>
        </w:tc>
      </w:tr>
      <w:tr>
        <w:trPr/>
        <w:tc>
          <w:tcPr>
            <w:tcW w:w="1785"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Appareils d’éclairage</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rHeight w:val="615" w:hRule="atLeast"/>
        </w:trPr>
        <w:tc>
          <w:tcPr>
            <w:tcW w:w="1785"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Interrupteurs</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auto" w:val="clear"/>
              </w:rPr>
              <w:t>Prises électriques</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908B8B" w:val="clear"/>
              </w:rPr>
              <w:t>XXXX</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785" w:type="dxa"/>
            <w:tcBorders>
              <w:left w:val="single" w:sz="4" w:space="0" w:color="000000"/>
              <w:bottom w:val="single" w:sz="4" w:space="0" w:color="000000"/>
            </w:tcBorders>
            <w:shd w:fill="AFD4EB" w:val="clea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908B8B" w:val="clear"/>
              </w:rPr>
              <w:t>XXXX</w:t>
            </w:r>
          </w:p>
        </w:tc>
        <w:tc>
          <w:tcPr>
            <w:tcW w:w="968"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907"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4253"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1897"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bl>
    <w:p>
      <w:pPr>
        <w:pStyle w:val="Normal"/>
        <w:spacing w:lineRule="auto" w:line="240"/>
        <w:jc w:val="both"/>
        <w:rPr>
          <w:rFonts w:ascii="Arial" w:hAnsi="Arial"/>
          <w:sz w:val="20"/>
          <w:szCs w:val="20"/>
        </w:rPr>
      </w:pPr>
      <w:r>
        <w:rPr>
          <w:rFonts w:ascii="Arial" w:hAnsi="Arial"/>
          <w:sz w:val="20"/>
          <w:szCs w:val="20"/>
        </w:rPr>
      </w:r>
    </w:p>
    <w:p>
      <w:pPr>
        <w:pStyle w:val="Normal"/>
        <w:spacing w:lineRule="auto" w:line="240"/>
        <w:jc w:val="both"/>
        <w:rPr>
          <w:highlight w:val="none"/>
          <w:shd w:fill="auto" w:val="clear"/>
        </w:rPr>
      </w:pPr>
      <w:r>
        <w:rPr>
          <w:rFonts w:eastAsia="Times New Roman" w:cs="Calibri" w:ascii="Arial" w:hAnsi="Arial"/>
          <w:b/>
          <w:bCs w:val="false"/>
          <w:color w:val="000000"/>
          <w:sz w:val="20"/>
          <w:szCs w:val="20"/>
          <w:shd w:fill="auto" w:val="clear"/>
          <w:lang w:eastAsia="fr-FR"/>
        </w:rPr>
        <w:tab/>
        <w:t xml:space="preserve">Lors de la dépose : </w:t>
      </w:r>
      <w:r>
        <w:rPr>
          <w:rFonts w:eastAsia="Times New Roman" w:cs="Calibri" w:ascii="Arial" w:hAnsi="Arial"/>
          <w:b w:val="false"/>
          <w:bCs w:val="false"/>
          <w:color w:val="000000"/>
          <w:sz w:val="20"/>
          <w:szCs w:val="20"/>
          <w:shd w:fill="auto" w:val="clear"/>
          <w:lang w:eastAsia="fr-FR"/>
        </w:rPr>
        <w:t xml:space="preserve">modalités mises en place pour la revalorisation des câbles et des équipements électriques déposés depuis les chantiers menés dans le présent accord-cadre </w:t>
      </w:r>
    </w:p>
    <w:p>
      <w:pPr>
        <w:pStyle w:val="Normal"/>
        <w:spacing w:lineRule="auto" w:line="240"/>
        <w:rPr>
          <w:rFonts w:ascii="Calibri" w:hAnsi="Calibri"/>
        </w:rPr>
      </w:pPr>
      <w:r>
        <w:rPr>
          <w:rFonts w:cs="Calibri" w:cstheme="minorHAnsi"/>
          <w:highlight w:val="lightGray"/>
        </w:rPr>
        <w:t>………………………………………………………………………………………………………………………………………………………………………………………………………………………………………………………………………………………………………………………………………………………………………………………………………………………………………………………………………………………………………………………………………………………………………………………………………………………………………………………………………………………………………………………………………………………………………………………………………………………………………………………………………………………………………………………………………………………………………………</w:t>
      </w:r>
    </w:p>
    <w:p>
      <w:pPr>
        <w:pStyle w:val="Normal"/>
        <w:spacing w:lineRule="auto" w:line="240"/>
        <w:rPr>
          <w:highlight w:val="none"/>
          <w:shd w:fill="FFFF00" w:val="clear"/>
        </w:rPr>
      </w:pPr>
      <w:r>
        <w:rPr>
          <w:shd w:fill="FFFF00" w:val="clear"/>
        </w:rPr>
      </w:r>
    </w:p>
    <w:p>
      <w:pPr>
        <w:pStyle w:val="Normal"/>
        <w:spacing w:lineRule="auto" w:line="240"/>
        <w:rPr>
          <w:highlight w:val="none"/>
          <w:shd w:fill="FFFF00" w:val="clear"/>
        </w:rPr>
      </w:pPr>
      <w:r>
        <w:rPr>
          <w:shd w:fill="FFFF00" w:val="clear"/>
        </w:rPr>
      </w:r>
    </w:p>
    <w:p>
      <w:pPr>
        <w:pStyle w:val="Normal"/>
        <w:spacing w:lineRule="auto" w:line="240"/>
        <w:rPr>
          <w:highlight w:val="none"/>
          <w:shd w:fill="FFFF00" w:val="clear"/>
        </w:rPr>
      </w:pPr>
      <w:r>
        <w:rPr>
          <w:shd w:fill="FFFF00" w:val="clear"/>
        </w:rPr>
      </w:r>
    </w:p>
    <w:p>
      <w:pPr>
        <w:pStyle w:val="Normal"/>
        <w:spacing w:lineRule="auto" w:line="240"/>
        <w:rPr>
          <w:highlight w:val="none"/>
          <w:shd w:fill="FFFF00" w:val="clear"/>
        </w:rPr>
      </w:pPr>
      <w:r>
        <w:rPr>
          <w:shd w:fill="FFFF00" w:val="clear"/>
        </w:rPr>
      </w:r>
    </w:p>
    <w:p>
      <w:pPr>
        <w:pStyle w:val="Normal"/>
        <w:spacing w:lineRule="auto" w:line="240"/>
        <w:rPr>
          <w:highlight w:val="none"/>
          <w:shd w:fill="FFFF00" w:val="clear"/>
        </w:rPr>
      </w:pPr>
      <w:r>
        <w:rPr>
          <w:shd w:fill="FFFF00" w:val="clear"/>
        </w:rPr>
      </w:r>
    </w:p>
    <w:p>
      <w:pPr>
        <w:pStyle w:val="Normal"/>
        <w:spacing w:lineRule="auto" w:line="240"/>
        <w:jc w:val="both"/>
        <w:rPr/>
      </w:pPr>
      <w:r>
        <w:rPr>
          <w:rFonts w:eastAsia="Times New Roman" w:cs="Calibri" w:ascii="Arial" w:hAnsi="Arial"/>
          <w:b w:val="false"/>
          <w:bCs w:val="false"/>
          <w:i/>
          <w:iCs/>
          <w:color w:val="000000"/>
          <w:sz w:val="20"/>
          <w:szCs w:val="20"/>
          <w:shd w:fill="auto" w:val="clear"/>
          <w:lang w:eastAsia="fr-FR"/>
        </w:rPr>
        <w:tab/>
        <w:t>Préciser les modalités pour la revalorisation des câbles et des équipements électriques dans vos chantiers pour chaque étape dans le tableau ci-dessous :</w:t>
      </w:r>
    </w:p>
    <w:tbl>
      <w:tblPr>
        <w:tblW w:w="9810" w:type="dxa"/>
        <w:jc w:val="left"/>
        <w:tblInd w:w="-267" w:type="dxa"/>
        <w:tblLayout w:type="fixed"/>
        <w:tblCellMar>
          <w:top w:w="55" w:type="dxa"/>
          <w:left w:w="55" w:type="dxa"/>
          <w:bottom w:w="55" w:type="dxa"/>
          <w:right w:w="55" w:type="dxa"/>
        </w:tblCellMar>
      </w:tblPr>
      <w:tblGrid>
        <w:gridCol w:w="1953"/>
        <w:gridCol w:w="2770"/>
        <w:gridCol w:w="2476"/>
        <w:gridCol w:w="2610"/>
      </w:tblGrid>
      <w:tr>
        <w:trPr>
          <w:trHeight w:val="735" w:hRule="atLeast"/>
        </w:trPr>
        <w:tc>
          <w:tcPr>
            <w:tcW w:w="1953" w:type="dxa"/>
            <w:tcBorders>
              <w:top w:val="single" w:sz="4" w:space="0" w:color="000000"/>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770"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Câbles/équipements électriques concernés</w:t>
            </w:r>
          </w:p>
        </w:tc>
        <w:tc>
          <w:tcPr>
            <w:tcW w:w="2476" w:type="dxa"/>
            <w:tcBorders>
              <w:top w:val="single" w:sz="4" w:space="0" w:color="000000"/>
              <w:left w:val="single" w:sz="4" w:space="0" w:color="000000"/>
              <w:bottom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Partenaires</w:t>
            </w:r>
          </w:p>
        </w:tc>
        <w:tc>
          <w:tcPr>
            <w:tcW w:w="2610" w:type="dxa"/>
            <w:tcBorders>
              <w:top w:val="single" w:sz="4" w:space="0" w:color="000000"/>
              <w:left w:val="single" w:sz="4" w:space="0" w:color="000000"/>
              <w:bottom w:val="single" w:sz="4" w:space="0" w:color="000000"/>
              <w:right w:val="single" w:sz="4" w:space="0" w:color="000000"/>
            </w:tcBorders>
            <w:shd w:fill="729FCF" w:val="clear"/>
            <w:vAlign w:val="center"/>
          </w:tcPr>
          <w:p>
            <w:pPr>
              <w:pStyle w:val="Contenudetableau"/>
              <w:spacing w:before="0" w:after="160"/>
              <w:jc w:val="center"/>
              <w:rPr>
                <w:b/>
                <w:bCs/>
              </w:rPr>
            </w:pPr>
            <w:r>
              <w:rPr>
                <w:rFonts w:ascii="Arial" w:hAnsi="Arial"/>
                <w:b/>
                <w:bCs/>
                <w:sz w:val="20"/>
                <w:szCs w:val="20"/>
              </w:rPr>
              <w:t>Modalités</w:t>
            </w:r>
          </w:p>
        </w:tc>
      </w:tr>
      <w:tr>
        <w:trPr/>
        <w:tc>
          <w:tcPr>
            <w:tcW w:w="1953"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Dépose et déconstruction</w:t>
            </w:r>
          </w:p>
        </w:tc>
        <w:tc>
          <w:tcPr>
            <w:tcW w:w="2770"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476"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610"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rHeight w:val="447" w:hRule="atLeast"/>
        </w:trPr>
        <w:tc>
          <w:tcPr>
            <w:tcW w:w="1953"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Tri et valorisation</w:t>
            </w:r>
          </w:p>
        </w:tc>
        <w:tc>
          <w:tcPr>
            <w:tcW w:w="2770"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476"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610"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953" w:type="dxa"/>
            <w:tcBorders>
              <w:left w:val="single" w:sz="4" w:space="0" w:color="000000"/>
              <w:bottom w:val="single" w:sz="4" w:space="0" w:color="000000"/>
            </w:tcBorders>
            <w:shd w:fill="AFD4EB" w:val="clear"/>
            <w:vAlign w:val="center"/>
          </w:tcPr>
          <w:p>
            <w:pPr>
              <w:pStyle w:val="Contenudetableau"/>
              <w:spacing w:before="0" w:after="160"/>
              <w:jc w:val="center"/>
              <w:rPr>
                <w:rFonts w:ascii="Arial" w:hAnsi="Arial"/>
                <w:b w:val="false"/>
                <w:bCs w:val="false"/>
                <w:sz w:val="20"/>
                <w:szCs w:val="20"/>
              </w:rPr>
            </w:pPr>
            <w:r>
              <w:rPr>
                <w:rFonts w:ascii="Arial" w:hAnsi="Arial"/>
                <w:b w:val="false"/>
                <w:bCs w:val="false"/>
                <w:sz w:val="20"/>
                <w:szCs w:val="20"/>
              </w:rPr>
              <w:t>Réemploi et reconditionnement</w:t>
            </w:r>
          </w:p>
        </w:tc>
        <w:tc>
          <w:tcPr>
            <w:tcW w:w="2770" w:type="dxa"/>
            <w:tcBorders>
              <w:left w:val="single" w:sz="4" w:space="0" w:color="000000"/>
              <w:bottom w:val="single" w:sz="4" w:space="0" w:color="000000"/>
            </w:tcBorders>
          </w:tcPr>
          <w:p>
            <w:pPr>
              <w:pStyle w:val="Contenudetableau"/>
              <w:spacing w:before="0" w:after="160"/>
              <w:jc w:val="center"/>
              <w:rPr>
                <w:b/>
                <w:bCs/>
              </w:rPr>
            </w:pPr>
            <w:r>
              <w:rPr>
                <w:b/>
                <w:bCs/>
              </w:rPr>
            </w:r>
          </w:p>
        </w:tc>
        <w:tc>
          <w:tcPr>
            <w:tcW w:w="2476" w:type="dxa"/>
            <w:tcBorders>
              <w:left w:val="single" w:sz="4" w:space="0" w:color="000000"/>
              <w:bottom w:val="single" w:sz="4" w:space="0" w:color="000000"/>
            </w:tcBorders>
          </w:tcPr>
          <w:p>
            <w:pPr>
              <w:pStyle w:val="Contenudetableau"/>
              <w:spacing w:before="0" w:after="160"/>
              <w:jc w:val="center"/>
              <w:rPr>
                <w:b/>
                <w:bCs/>
              </w:rPr>
            </w:pPr>
            <w:r>
              <w:rPr>
                <w:b/>
                <w:bCs/>
              </w:rPr>
            </w:r>
          </w:p>
        </w:tc>
        <w:tc>
          <w:tcPr>
            <w:tcW w:w="2610"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r>
        <w:trPr/>
        <w:tc>
          <w:tcPr>
            <w:tcW w:w="1953" w:type="dxa"/>
            <w:tcBorders>
              <w:left w:val="single" w:sz="4" w:space="0" w:color="000000"/>
              <w:bottom w:val="single" w:sz="4" w:space="0" w:color="000000"/>
            </w:tcBorders>
            <w:shd w:fill="AFD4EB" w:val="clear"/>
            <w:vAlign w:val="center"/>
          </w:tcPr>
          <w:p>
            <w:pPr>
              <w:pStyle w:val="Contenudetableau"/>
              <w:spacing w:before="0" w:after="160"/>
              <w:jc w:val="center"/>
              <w:rPr>
                <w:rFonts w:ascii="Calibri" w:hAnsi="Calibri" w:eastAsia="Calibri"/>
                <w:color w:val="030000"/>
                <w:shd w:fill="908B8B" w:val="clear"/>
              </w:rPr>
            </w:pPr>
            <w:r>
              <w:rPr>
                <w:rFonts w:eastAsia="Calibri" w:ascii="Arial" w:hAnsi="Arial"/>
                <w:color w:val="030000"/>
                <w:sz w:val="20"/>
                <w:szCs w:val="20"/>
                <w:shd w:fill="auto" w:val="clear"/>
              </w:rPr>
              <w:t>Installation</w:t>
            </w:r>
          </w:p>
        </w:tc>
        <w:tc>
          <w:tcPr>
            <w:tcW w:w="2770"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476" w:type="dxa"/>
            <w:tcBorders>
              <w:left w:val="single" w:sz="4" w:space="0" w:color="000000"/>
              <w:bottom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c>
          <w:tcPr>
            <w:tcW w:w="2610" w:type="dxa"/>
            <w:tcBorders>
              <w:left w:val="single" w:sz="4" w:space="0" w:color="000000"/>
              <w:bottom w:val="single" w:sz="4" w:space="0" w:color="000000"/>
              <w:right w:val="single" w:sz="4" w:space="0" w:color="000000"/>
            </w:tcBorders>
          </w:tcPr>
          <w:p>
            <w:pPr>
              <w:pStyle w:val="Contenudetableau"/>
              <w:widowControl w:val="false"/>
              <w:suppressLineNumbers/>
              <w:spacing w:before="0" w:after="160"/>
              <w:rPr>
                <w:rFonts w:ascii="Arial" w:hAnsi="Arial"/>
                <w:sz w:val="20"/>
                <w:szCs w:val="20"/>
              </w:rPr>
            </w:pPr>
            <w:r>
              <w:rPr>
                <w:rFonts w:ascii="Arial" w:hAnsi="Arial"/>
                <w:sz w:val="20"/>
                <w:szCs w:val="20"/>
              </w:rPr>
            </w:r>
          </w:p>
        </w:tc>
      </w:tr>
    </w:tbl>
    <w:p>
      <w:pPr>
        <w:pStyle w:val="Normal"/>
        <w:spacing w:lineRule="auto" w:line="240"/>
        <w:rPr>
          <w:rFonts w:cs="Calibri" w:cstheme="minorHAnsi"/>
          <w:highlight w:val="lightGray"/>
        </w:rPr>
      </w:pPr>
      <w:r>
        <w:rPr>
          <w:rFonts w:cs="Calibri" w:cstheme="minorHAnsi"/>
          <w:highlight w:val="lightGray"/>
        </w:rPr>
      </w:r>
    </w:p>
    <w:p>
      <w:pPr>
        <w:pStyle w:val="Normal"/>
        <w:spacing w:lineRule="auto" w:line="240" w:before="0" w:after="160"/>
        <w:rPr>
          <w:rFonts w:ascii="Calibri" w:hAnsi="Calibri"/>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1417" w:bottom="19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Segoe UI">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w:charset w:val="01"/>
    <w:family w:val="auto"/>
    <w:pitch w:val="default"/>
  </w:font>
  <w:font w:name="Courier New">
    <w:charset w:val="01"/>
    <w:family w:val="modern"/>
    <w:pitch w:val="fixed"/>
  </w:font>
  <w:font w:name="Wingdings">
    <w:charset w:val="02"/>
    <w:family w:val="auto"/>
    <w:pitch w:val="variable"/>
  </w:font>
  <w:font w:name="Calibri">
    <w:charset w:val="01"/>
    <w:family w:val="swiss"/>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Arial" w:hAnsi="Arial"/>
        <w:b/>
        <w:bCs/>
        <w:i w:val="false"/>
        <w:i w:val="false"/>
        <w:iCs w:val="false"/>
        <w:color w:val="000509"/>
        <w:sz w:val="20"/>
        <w:szCs w:val="20"/>
        <w:u w:val="none"/>
      </w:rPr>
    </w:pPr>
    <w:bookmarkStart w:id="0" w:name="PageNumWizard_FOOTER_Style_de_page_par_d"/>
    <w:r>
      <w:rPr>
        <w:rFonts w:ascii="Arial" w:hAnsi="Arial"/>
        <w:b/>
        <w:bCs/>
        <w:i w:val="false"/>
        <w:iCs w:val="false"/>
        <w:color w:val="000509"/>
        <w:sz w:val="20"/>
        <w:szCs w:val="20"/>
        <w:u w:val="none"/>
      </w:rPr>
      <w:fldChar w:fldCharType="begin"/>
    </w:r>
    <w:r>
      <w:rPr>
        <w:sz w:val="20"/>
        <w:i w:val="false"/>
        <w:u w:val="none"/>
        <w:b/>
        <w:szCs w:val="20"/>
        <w:iCs w:val="false"/>
        <w:bCs/>
        <w:rFonts w:ascii="Arial" w:hAnsi="Arial"/>
        <w:color w:val="000509"/>
      </w:rPr>
      <w:instrText xml:space="preserve"> PAGE </w:instrText>
    </w:r>
    <w:r>
      <w:rPr>
        <w:sz w:val="20"/>
        <w:i w:val="false"/>
        <w:u w:val="none"/>
        <w:b/>
        <w:szCs w:val="20"/>
        <w:iCs w:val="false"/>
        <w:bCs/>
        <w:rFonts w:ascii="Arial" w:hAnsi="Arial"/>
        <w:color w:val="000509"/>
      </w:rPr>
      <w:fldChar w:fldCharType="separate"/>
    </w:r>
    <w:r>
      <w:rPr>
        <w:sz w:val="20"/>
        <w:i w:val="false"/>
        <w:u w:val="none"/>
        <w:b/>
        <w:szCs w:val="20"/>
        <w:iCs w:val="false"/>
        <w:bCs/>
        <w:rFonts w:ascii="Arial" w:hAnsi="Arial"/>
        <w:color w:val="000509"/>
      </w:rPr>
      <w:t>7</w:t>
    </w:r>
    <w:r>
      <w:rPr>
        <w:sz w:val="20"/>
        <w:i w:val="false"/>
        <w:u w:val="none"/>
        <w:b/>
        <w:szCs w:val="20"/>
        <w:iCs w:val="false"/>
        <w:bCs/>
        <w:rFonts w:ascii="Arial" w:hAnsi="Arial"/>
        <w:color w:val="000509"/>
      </w:rPr>
      <w:fldChar w:fldCharType="end"/>
    </w:r>
    <w:bookmarkEnd w:id="0"/>
  </w:p>
  <w:p>
    <w:pPr>
      <w:pStyle w:val="Footer"/>
      <w:jc w:val="center"/>
      <w:rPr>
        <w:rFonts w:ascii="Arial" w:hAnsi="Arial"/>
        <w:b w:val="false"/>
        <w:bCs w:val="false"/>
        <w:i/>
        <w:i/>
        <w:iCs/>
        <w:color w:val="000509"/>
        <w:sz w:val="20"/>
        <w:szCs w:val="20"/>
        <w:u w:val="none"/>
      </w:rPr>
    </w:pPr>
    <w:r>
      <w:rPr>
        <w:rFonts w:ascii="Arial" w:hAnsi="Arial"/>
        <w:b w:val="false"/>
        <w:bCs w:val="false"/>
        <w:i/>
        <w:iCs/>
        <w:color w:val="000509"/>
        <w:sz w:val="20"/>
        <w:szCs w:val="20"/>
        <w:u w:val="none"/>
      </w:rPr>
      <w:t>Cadre de réponse technique - Courant fort-Courant faible-électricité-câblage-éclairage-relamping</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b/>
      </w:rPr>
    </w:pPr>
    <w:r>
      <w:rPr/>
      <w:tab/>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b/>
      </w:rPr>
    </w:pPr>
    <w:r>
      <w:rPr/>
      <w:drawing>
        <wp:inline distT="0" distB="0" distL="0" distR="0">
          <wp:extent cx="1404620" cy="1018540"/>
          <wp:effectExtent l="0" t="0" r="0" b="0"/>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rcRect l="-5" t="-7" r="-5" b="-7"/>
                  <a:stretch>
                    <a:fillRect/>
                  </a:stretch>
                </pic:blipFill>
                <pic:spPr bwMode="auto">
                  <a:xfrm>
                    <a:off x="0" y="0"/>
                    <a:ext cx="1404620" cy="1018540"/>
                  </a:xfrm>
                  <a:prstGeom prst="rect">
                    <a:avLst/>
                  </a:prstGeom>
                </pic:spPr>
              </pic:pic>
            </a:graphicData>
          </a:graphic>
        </wp:inline>
      </w:drawing>
    </w:r>
    <w:r>
      <w:rPr/>
      <w:tab/>
    </w:r>
    <w:r>
      <w:drawing>
        <wp:anchor behindDoc="1" distT="0" distB="0" distL="0" distR="0" simplePos="0" locked="0" layoutInCell="0" allowOverlap="1" relativeHeight="2">
          <wp:simplePos x="0" y="0"/>
          <wp:positionH relativeFrom="column">
            <wp:posOffset>3925570</wp:posOffset>
          </wp:positionH>
          <wp:positionV relativeFrom="paragraph">
            <wp:posOffset>236855</wp:posOffset>
          </wp:positionV>
          <wp:extent cx="1845945" cy="548640"/>
          <wp:effectExtent l="0" t="0" r="0" b="0"/>
          <wp:wrapSquare wrapText="largest"/>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2"/>
                  <a:stretch>
                    <a:fillRect/>
                  </a:stretch>
                </pic:blipFill>
                <pic:spPr bwMode="auto">
                  <a:xfrm>
                    <a:off x="0" y="0"/>
                    <a:ext cx="1845945" cy="548640"/>
                  </a:xfrm>
                  <a:prstGeom prst="rect">
                    <a:avLst/>
                  </a:prstGeom>
                </pic:spPr>
              </pic:pic>
            </a:graphicData>
          </a:graphic>
        </wp:anchor>
      </w:drawing>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link w:val="Titre1Car"/>
    <w:uiPriority w:val="9"/>
    <w:qFormat/>
    <w:pPr>
      <w:keepNext w:val="true"/>
      <w:pBdr>
        <w:top w:val="single" w:sz="8" w:space="1" w:color="CCCCCC"/>
        <w:left w:val="single" w:sz="8" w:space="1" w:color="CCCCCC"/>
        <w:bottom w:val="single" w:sz="8" w:space="1" w:color="CCCCCC"/>
        <w:right w:val="single" w:sz="8" w:space="1" w:color="CCCCCC"/>
      </w:pBdr>
      <w:shd w:val="clear" w:color="auto" w:fill="CCCCCC"/>
      <w:spacing w:lineRule="auto" w:line="240" w:before="113" w:after="0"/>
      <w:outlineLvl w:val="0"/>
    </w:pPr>
    <w:rPr>
      <w:rFonts w:ascii="Times New Roman" w:hAnsi="Times New Roman" w:eastAsia="Times New Roman" w:cs="Times New Roman"/>
      <w:b/>
      <w:bCs/>
      <w:kern w:val="2"/>
      <w:sz w:val="48"/>
      <w:szCs w:val="48"/>
      <w:lang w:eastAsia="fr-FR"/>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qFormat/>
    <w:rPr>
      <w:sz w:val="20"/>
      <w:szCs w:val="20"/>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TextedebullesCar" w:customStyle="1">
    <w:name w:val="Texte de bulles Car"/>
    <w:basedOn w:val="DefaultParagraphFont"/>
    <w:link w:val="BalloonText"/>
    <w:uiPriority w:val="99"/>
    <w:semiHidden/>
    <w:qFormat/>
    <w:rPr>
      <w:rFonts w:ascii="Segoe UI" w:hAnsi="Segoe UI" w:cs="Segoe UI"/>
      <w:sz w:val="18"/>
      <w:szCs w:val="18"/>
    </w:rPr>
  </w:style>
  <w:style w:type="character" w:styleId="Titre1Car" w:customStyle="1">
    <w:name w:val="Titre 1 Car"/>
    <w:basedOn w:val="DefaultParagraphFont"/>
    <w:uiPriority w:val="9"/>
    <w:qFormat/>
    <w:rPr>
      <w:rFonts w:ascii="Times New Roman" w:hAnsi="Times New Roman" w:eastAsia="Times New Roman" w:cs="Times New Roman"/>
      <w:b/>
      <w:bCs/>
      <w:kern w:val="2"/>
      <w:sz w:val="48"/>
      <w:szCs w:val="48"/>
      <w:shd w:fill="CCCCCC" w:val="clear"/>
      <w:lang w:eastAsia="fr-FR"/>
    </w:rPr>
  </w:style>
  <w:style w:type="character" w:styleId="Puces">
    <w:name w:val="Puces"/>
    <w:qFormat/>
    <w:rPr>
      <w:rFonts w:ascii="OpenSymbol" w:hAnsi="OpenSymbol" w:eastAsia="OpenSymbol" w:cs="OpenSymbol"/>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pPr>
      <w:spacing w:before="0" w:after="160"/>
      <w:ind w:hanging="0" w:left="720"/>
      <w:contextualSpacing/>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Contenudecadre">
    <w:name w:val="Contenu de cadre"/>
    <w:basedOn w:val="Normal"/>
    <w:qFormat/>
    <w:pPr/>
    <w:rPr/>
  </w:style>
  <w:style w:type="paragraph" w:styleId="Contenudetableau">
    <w:name w:val="Contenu de tableau"/>
    <w:basedOn w:val="Normal"/>
    <w:qFormat/>
    <w:pPr>
      <w:widowControl w:val="false"/>
      <w:suppressLineNumbers/>
    </w:pPr>
    <w:rPr/>
  </w:style>
  <w:style w:type="paragraph" w:styleId="western">
    <w:name w:val="western"/>
    <w:basedOn w:val="Normal"/>
    <w:qFormat/>
    <w:pPr>
      <w:spacing w:before="62" w:after="0"/>
      <w:jc w:val="both"/>
    </w:pPr>
    <w:rPr>
      <w:rFonts w:ascii="Arial" w:hAnsi="Arial" w:eastAsia="Arial Unicode MS" w:cs="Arial"/>
      <w:b/>
      <w:bCs/>
      <w:color w:val="000000"/>
    </w:rPr>
  </w:style>
  <w:style w:type="paragraph" w:styleId="Titredetableau">
    <w:name w:val="Titre de tableau"/>
    <w:basedOn w:val="Contenudetableau"/>
    <w:qFormat/>
    <w:pPr>
      <w:suppressLineNumbers/>
      <w:jc w:val="center"/>
    </w:pPr>
    <w:rPr>
      <w:b/>
      <w:bC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C1270-A4E0-493E-B5C9-88B6D3FC0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7</Pages>
  <Words>805</Words>
  <Characters>11117</Characters>
  <CharactersWithSpaces>11863</CharactersWithSpaces>
  <Paragraphs>78</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2025-04-03T17:02:55Z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