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4F2FC4C9" w:rsidR="009D60D5" w:rsidRPr="001B5605" w:rsidRDefault="00DD2C2C"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05065B">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05065B">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shd w:val="clear" w:color="auto" w:fill="auto"/>
          </w:tcPr>
          <w:p w14:paraId="4C3712B6" w14:textId="303F6DBA" w:rsidR="00C2145A" w:rsidRPr="0005065B" w:rsidRDefault="00C2145A" w:rsidP="0050492A">
            <w:pPr>
              <w:rPr>
                <w:rFonts w:asciiTheme="minorHAnsi" w:hAnsiTheme="minorHAnsi"/>
                <w:b/>
                <w:sz w:val="24"/>
              </w:rPr>
            </w:pPr>
            <w:r w:rsidRPr="0005065B">
              <w:rPr>
                <w:rFonts w:asciiTheme="minorHAnsi" w:hAnsiTheme="minorHAnsi"/>
                <w:b/>
                <w:bCs/>
                <w:smallCaps/>
                <w:sz w:val="24"/>
                <w:lang w:val="en"/>
              </w:rPr>
              <w:t xml:space="preserve">Number: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A05B5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71D4FE74" w:rsidR="00741D2D" w:rsidRPr="00263FD0" w:rsidRDefault="0050492A" w:rsidP="00996FEA">
            <w:pPr>
              <w:rPr>
                <w:rFonts w:asciiTheme="minorHAnsi" w:hAnsiTheme="minorHAnsi" w:cs="Arial"/>
                <w:sz w:val="24"/>
                <w:lang w:val="en-GB"/>
              </w:rPr>
            </w:pPr>
            <w:r w:rsidRPr="0050492A">
              <w:rPr>
                <w:rFonts w:asciiTheme="minorHAnsi" w:hAnsiTheme="minorHAnsi" w:cs="Arial"/>
                <w:i/>
                <w:iCs/>
                <w:sz w:val="24"/>
                <w:lang w:val="en"/>
              </w:rPr>
              <w:t>Energy Policy Based Loan Monitoring</w:t>
            </w:r>
          </w:p>
        </w:tc>
      </w:tr>
      <w:tr w:rsidR="008714BB" w:rsidRPr="00A05B5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73818954" w:rsidR="00741D2D" w:rsidRPr="00263FD0" w:rsidRDefault="003A7AB0" w:rsidP="00E953FE">
            <w:pPr>
              <w:rPr>
                <w:rFonts w:asciiTheme="minorHAnsi" w:hAnsiTheme="minorHAnsi" w:cs="Arial"/>
                <w:sz w:val="24"/>
                <w:lang w:val="en-GB"/>
              </w:rPr>
            </w:pPr>
            <w:r>
              <w:rPr>
                <w:rFonts w:asciiTheme="minorHAnsi" w:hAnsiTheme="minorHAnsi" w:cs="Arial"/>
                <w:i/>
                <w:iCs/>
                <w:sz w:val="24"/>
                <w:lang w:val="en"/>
              </w:rPr>
              <w:t>-</w:t>
            </w:r>
          </w:p>
        </w:tc>
      </w:tr>
      <w:tr w:rsidR="008714BB" w:rsidRPr="00A05B5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A05B55"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012CC13F" w14:textId="226C2DF4" w:rsidR="00707B69" w:rsidRPr="00B4244A" w:rsidRDefault="00801ECC" w:rsidP="008031BB">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It is awarded by means of</w:t>
            </w:r>
            <w:r w:rsidR="00F0054E">
              <w:rPr>
                <w:rFonts w:asciiTheme="minorHAnsi" w:hAnsiTheme="minorHAnsi"/>
                <w:sz w:val="22"/>
                <w:szCs w:val="22"/>
                <w:lang w:val="en"/>
              </w:rPr>
              <w:t xml:space="preserve"> </w:t>
            </w:r>
            <w:r w:rsidR="008031BB" w:rsidRPr="008031BB">
              <w:rPr>
                <w:rFonts w:ascii="Calibri" w:hAnsi="Calibri"/>
                <w:sz w:val="22"/>
                <w:szCs w:val="22"/>
              </w:rPr>
              <w:t>adapted procedure in application of Articles L. 2123-1 an</w:t>
            </w:r>
            <w:r w:rsidR="008031BB">
              <w:rPr>
                <w:rFonts w:ascii="Calibri" w:hAnsi="Calibri"/>
                <w:sz w:val="22"/>
                <w:szCs w:val="22"/>
              </w:rPr>
              <w:t>d R. 2123-1 to R. 2123-7 of CCP.</w:t>
            </w: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DD2C2C">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DD2C2C">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DD2C2C">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DD2C2C">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DD2C2C">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DD2C2C">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DD2C2C">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DD2C2C">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DD2C2C">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DD2C2C">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DD2C2C">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DD2C2C">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DD2C2C">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DD2C2C">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DD2C2C">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DD2C2C">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DD2C2C">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DD2C2C">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DD2C2C">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DD2C2C">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DD2C2C">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DD2C2C">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DD2C2C">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DD2C2C">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DD2C2C">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DD2C2C">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DD2C2C">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DD2C2C">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DD2C2C">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DD2C2C">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DD2C2C">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DD2C2C">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DD2C2C">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DD2C2C">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DD2C2C">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DD2C2C">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DD2C2C">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DD2C2C">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DD2C2C">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DD2C2C">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DD2C2C">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DD2C2C">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DD2C2C">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DD2C2C">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DD2C2C">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DD2C2C">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DD2C2C">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DD2C2C">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DD2C2C">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DD2C2C">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DD2C2C">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DD2C2C">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DD2C2C">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DD2C2C">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DD2C2C">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DD2C2C">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DD2C2C">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DD2C2C">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DD2C2C">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B656E8">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B656E8">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A05B5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B656E8">
            <w:pPr>
              <w:pStyle w:val="a"/>
              <w:widowControl w:val="0"/>
              <w:numPr>
                <w:ilvl w:val="0"/>
                <w:numId w:val="2"/>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B656E8">
            <w:pPr>
              <w:pStyle w:val="a"/>
              <w:widowControl w:val="0"/>
              <w:numPr>
                <w:ilvl w:val="0"/>
                <w:numId w:val="2"/>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B656E8">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4BEB900F"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In the context of the technical assistance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w:t>
      </w:r>
      <w:r w:rsidR="003A7AB0">
        <w:rPr>
          <w:rFonts w:asciiTheme="minorHAnsi" w:hAnsiTheme="minorHAnsi" w:cstheme="minorHAnsi"/>
          <w:sz w:val="22"/>
          <w:lang w:val="en"/>
        </w:rPr>
        <w:t>CUZ1064 01 T</w:t>
      </w:r>
      <w:r w:rsidRPr="003115EA">
        <w:rPr>
          <w:rFonts w:asciiTheme="minorHAnsi" w:hAnsiTheme="minorHAnsi" w:cstheme="minorHAnsi"/>
          <w:sz w:val="22"/>
          <w:lang w:val="en"/>
        </w:rPr>
        <w:t xml:space="preserve">) signed on </w:t>
      </w:r>
      <w:r w:rsidR="003A7AB0">
        <w:rPr>
          <w:rFonts w:asciiTheme="minorHAnsi" w:hAnsiTheme="minorHAnsi" w:cstheme="minorHAnsi"/>
          <w:i/>
          <w:iCs/>
          <w:sz w:val="22"/>
          <w:lang w:val="en"/>
        </w:rPr>
        <w:t>1</w:t>
      </w:r>
      <w:r w:rsidR="003A7AB0" w:rsidRPr="003A7AB0">
        <w:rPr>
          <w:rFonts w:asciiTheme="minorHAnsi" w:hAnsiTheme="minorHAnsi" w:cstheme="minorHAnsi"/>
          <w:i/>
          <w:iCs/>
          <w:sz w:val="22"/>
          <w:vertAlign w:val="superscript"/>
          <w:lang w:val="en"/>
        </w:rPr>
        <w:t>st</w:t>
      </w:r>
      <w:r w:rsidR="003A7AB0">
        <w:rPr>
          <w:rFonts w:asciiTheme="minorHAnsi" w:hAnsiTheme="minorHAnsi" w:cstheme="minorHAnsi"/>
          <w:i/>
          <w:iCs/>
          <w:sz w:val="22"/>
          <w:lang w:val="en"/>
        </w:rPr>
        <w:t xml:space="preserve"> August 2023</w:t>
      </w:r>
      <w:r w:rsidRPr="003115EA">
        <w:rPr>
          <w:rFonts w:asciiTheme="minorHAnsi" w:hAnsiTheme="minorHAnsi" w:cstheme="minorHAnsi"/>
          <w:sz w:val="22"/>
          <w:lang w:val="en"/>
        </w:rPr>
        <w:t xml:space="preserve"> </w:t>
      </w:r>
      <w:r w:rsidR="003A7AB0">
        <w:rPr>
          <w:rFonts w:asciiTheme="minorHAnsi" w:hAnsiTheme="minorHAnsi" w:cstheme="minorHAnsi"/>
          <w:sz w:val="22"/>
          <w:lang w:val="en"/>
        </w:rPr>
        <w:t>Expertise France</w:t>
      </w:r>
      <w:r w:rsidRPr="003115EA">
        <w:rPr>
          <w:rFonts w:asciiTheme="minorHAnsi" w:hAnsiTheme="minorHAnsi" w:cstheme="minorHAnsi"/>
          <w:sz w:val="22"/>
          <w:lang w:val="en"/>
        </w:rPr>
        <w:t xml:space="preserve"> and </w:t>
      </w:r>
      <w:r w:rsidR="003A7AB0" w:rsidRPr="003A7AB0">
        <w:rPr>
          <w:rFonts w:asciiTheme="minorHAnsi" w:hAnsiTheme="minorHAnsi" w:cstheme="minorHAnsi"/>
          <w:iCs/>
          <w:sz w:val="22"/>
          <w:lang w:val="en"/>
        </w:rPr>
        <w:t>AFD</w:t>
      </w:r>
      <w:r w:rsidRPr="003115EA">
        <w:rPr>
          <w:rFonts w:asciiTheme="minorHAnsi" w:hAnsiTheme="minorHAnsi" w:cstheme="minorHAnsi"/>
          <w:sz w:val="22"/>
          <w:lang w:val="en"/>
        </w:rPr>
        <w:t>, covering “</w:t>
      </w:r>
      <w:r w:rsidR="003A7AB0" w:rsidRPr="00ED3395">
        <w:rPr>
          <w:rFonts w:asciiTheme="minorHAnsi" w:hAnsiTheme="minorHAnsi"/>
          <w:i/>
        </w:rPr>
        <w:t>Uzbekistan Energy Sector technical assistan</w:t>
      </w:r>
      <w:r w:rsidR="003A7AB0">
        <w:rPr>
          <w:rFonts w:asciiTheme="minorHAnsi" w:hAnsiTheme="minorHAnsi"/>
          <w:i/>
        </w:rPr>
        <w:t>ce program (23DDU0C027)</w:t>
      </w:r>
      <w:r w:rsidR="003A7AB0" w:rsidRPr="003115EA">
        <w:rPr>
          <w:rFonts w:asciiTheme="minorHAnsi" w:hAnsiTheme="minorHAnsi" w:cstheme="minorHAnsi"/>
          <w:sz w:val="22"/>
          <w:lang w:val="en"/>
        </w:rPr>
        <w:t xml:space="preserve"> </w:t>
      </w:r>
      <w:r w:rsidRPr="003115EA">
        <w:rPr>
          <w:rFonts w:asciiTheme="minorHAnsi" w:hAnsiTheme="minorHAnsi" w:cstheme="minorHAnsi"/>
          <w:sz w:val="22"/>
          <w:lang w:val="en"/>
        </w:rPr>
        <w:t>“,</w:t>
      </w:r>
      <w:r w:rsidR="003115EA">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B656E8">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767C017D" w14:textId="753F36E9"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xml:space="preserve">) is </w:t>
      </w:r>
      <w:r w:rsidR="003A7AB0">
        <w:rPr>
          <w:rFonts w:asciiTheme="minorHAnsi" w:hAnsiTheme="minorHAnsi" w:cs="Arial"/>
          <w:lang w:val="en"/>
        </w:rPr>
        <w:t>to carry out a</w:t>
      </w:r>
      <w:r w:rsidR="0050492A">
        <w:rPr>
          <w:rFonts w:asciiTheme="minorHAnsi" w:hAnsiTheme="minorHAnsi" w:cs="Arial"/>
          <w:lang w:val="en"/>
        </w:rPr>
        <w:t>n</w:t>
      </w:r>
      <w:r w:rsidR="003A7AB0">
        <w:rPr>
          <w:rFonts w:asciiTheme="minorHAnsi" w:hAnsiTheme="minorHAnsi" w:cs="Arial"/>
          <w:lang w:val="en"/>
        </w:rPr>
        <w:t xml:space="preserve"> </w:t>
      </w:r>
      <w:r w:rsidRPr="00F2235E">
        <w:rPr>
          <w:rFonts w:asciiTheme="minorHAnsi" w:hAnsiTheme="minorHAnsi" w:cs="Arial"/>
          <w:lang w:val="en"/>
        </w:rPr>
        <w:t>“</w:t>
      </w:r>
      <w:r w:rsidR="0050492A" w:rsidRPr="0050492A">
        <w:rPr>
          <w:rFonts w:asciiTheme="minorHAnsi" w:hAnsiTheme="minorHAnsi" w:cs="Arial"/>
          <w:i/>
          <w:iCs/>
          <w:lang w:val="en"/>
        </w:rPr>
        <w:t>Energy Policy Based Loan Monitoring</w:t>
      </w:r>
      <w:r w:rsidR="003A7AB0" w:rsidRPr="003A7AB0">
        <w:rPr>
          <w:rFonts w:asciiTheme="minorHAnsi" w:hAnsiTheme="minorHAnsi" w:cs="Arial"/>
          <w:i/>
          <w:iCs/>
          <w:lang w:val="en"/>
        </w:rPr>
        <w:t xml:space="preserve"> </w:t>
      </w:r>
      <w:r w:rsidRPr="00F2235E">
        <w:rPr>
          <w:rFonts w:asciiTheme="minorHAnsi" w:hAnsiTheme="minorHAnsi" w:cs="Arial"/>
          <w:lang w:val="en"/>
        </w:rPr>
        <w:t>“.</w:t>
      </w:r>
    </w:p>
    <w:p w14:paraId="0E52074F" w14:textId="2A31EF8B" w:rsidR="001726C5" w:rsidRPr="00F2235E" w:rsidRDefault="001726C5" w:rsidP="00B656E8">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40836306"/>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B656E8">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B656E8">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B656E8">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661275C6" w:rsidR="00996FEA" w:rsidRPr="00F2235E" w:rsidRDefault="00861444" w:rsidP="00B656E8">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intellectual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B656E8">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446E1174" w14:textId="6BE5FD37" w:rsidR="00644EB5" w:rsidRPr="00A938F3" w:rsidRDefault="00E3012B" w:rsidP="00A938F3">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r w:rsidR="00644EB5">
        <w:rPr>
          <w:rFonts w:asciiTheme="minorHAnsi" w:hAnsiTheme="minorHAnsi"/>
          <w:b/>
          <w:bCs/>
          <w:caps/>
          <w:sz w:val="24"/>
          <w:lang w:val="en"/>
        </w:rPr>
        <w:br w:type="page"/>
      </w:r>
    </w:p>
    <w:p w14:paraId="4DA07917" w14:textId="77777777" w:rsidR="001726C5" w:rsidRPr="000D19AC" w:rsidRDefault="001726C5" w:rsidP="00B656E8">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Titre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31078566" w:rsidR="00A246CE" w:rsidRPr="000D19AC" w:rsidRDefault="001B6DF5" w:rsidP="002F2D1F">
      <w:pPr>
        <w:pStyle w:val="u"/>
        <w:widowControl w:val="0"/>
        <w:spacing w:before="240"/>
        <w:ind w:left="567"/>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w:t>
      </w:r>
      <w:r w:rsidR="009A61BD">
        <w:rPr>
          <w:rFonts w:asciiTheme="minorHAnsi" w:hAnsiTheme="minorHAnsi" w:cstheme="minorHAnsi"/>
          <w:szCs w:val="22"/>
          <w:lang w:val="en"/>
        </w:rPr>
        <w:t>a public contract for services</w:t>
      </w:r>
      <w:r w:rsidRPr="000D19AC">
        <w:rPr>
          <w:rFonts w:asciiTheme="minorHAnsi" w:hAnsiTheme="minorHAnsi" w:cstheme="minorHAnsi"/>
          <w:szCs w:val="22"/>
          <w:lang w:val="en"/>
        </w:rPr>
        <w:t xml:space="preserve"> </w:t>
      </w:r>
      <w:r w:rsidR="009A61BD">
        <w:rPr>
          <w:rFonts w:asciiTheme="minorHAnsi" w:hAnsiTheme="minorHAnsi" w:cstheme="minorHAnsi"/>
          <w:szCs w:val="22"/>
          <w:lang w:val="en"/>
        </w:rPr>
        <w:t xml:space="preserve">at </w:t>
      </w:r>
      <w:r w:rsidR="00C21B92">
        <w:rPr>
          <w:rFonts w:asciiTheme="minorHAnsi" w:hAnsiTheme="minorHAnsi" w:cstheme="minorHAnsi"/>
          <w:szCs w:val="22"/>
          <w:lang w:val="en"/>
        </w:rPr>
        <w:t>fixed and total</w:t>
      </w:r>
      <w:r w:rsidR="009A61BD">
        <w:rPr>
          <w:rFonts w:asciiTheme="minorHAnsi" w:hAnsiTheme="minorHAnsi" w:cstheme="minorHAnsi"/>
          <w:szCs w:val="22"/>
          <w:lang w:val="en"/>
        </w:rPr>
        <w:t xml:space="preserve"> price.</w:t>
      </w:r>
    </w:p>
    <w:p w14:paraId="69F763B2" w14:textId="6A89E4C5" w:rsidR="000A6E96" w:rsidRPr="000D19AC" w:rsidRDefault="000A6E96" w:rsidP="00F72033">
      <w:pPr>
        <w:pStyle w:val="Titre2"/>
        <w:spacing w:before="120" w:after="60"/>
        <w:rPr>
          <w:rFonts w:asciiTheme="minorHAnsi" w:hAnsiTheme="minorHAnsi" w:cstheme="minorHAnsi"/>
          <w:sz w:val="22"/>
          <w:szCs w:val="22"/>
          <w:lang w:val="en-GB"/>
        </w:rPr>
      </w:pPr>
      <w:bookmarkStart w:id="11" w:name="_Toc392669632"/>
      <w:bookmarkStart w:id="12" w:name="_Toc140836309"/>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0A59679E"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50492A">
        <w:rPr>
          <w:rFonts w:asciiTheme="minorHAnsi" w:hAnsiTheme="minorHAnsi" w:cstheme="minorHAnsi"/>
          <w:szCs w:val="22"/>
          <w:lang w:val="en"/>
        </w:rPr>
        <w:t>16</w:t>
      </w:r>
      <w:r w:rsidRPr="000D19AC">
        <w:rPr>
          <w:rFonts w:asciiTheme="minorHAnsi" w:hAnsiTheme="minorHAnsi" w:cstheme="minorHAnsi"/>
          <w:szCs w:val="22"/>
          <w:lang w:val="en"/>
        </w:rPr>
        <w:t xml:space="preserve"> months from date </w:t>
      </w:r>
      <w:r w:rsidR="009A61BD">
        <w:rPr>
          <w:rFonts w:asciiTheme="minorHAnsi" w:hAnsiTheme="minorHAnsi" w:cstheme="minorHAnsi"/>
          <w:szCs w:val="22"/>
          <w:lang w:val="en"/>
        </w:rPr>
        <w:t>of signature by both parties</w:t>
      </w:r>
      <w:r w:rsidRPr="000D19AC">
        <w:rPr>
          <w:rFonts w:asciiTheme="minorHAnsi" w:hAnsiTheme="minorHAnsi" w:cstheme="minorHAnsi"/>
          <w:szCs w:val="22"/>
          <w:lang w:val="en"/>
        </w:rPr>
        <w:t>.</w:t>
      </w:r>
    </w:p>
    <w:p w14:paraId="10848C8C" w14:textId="5CA4B9FC"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002D5940">
        <w:rPr>
          <w:rFonts w:asciiTheme="minorHAnsi" w:hAnsiTheme="minorHAnsi" w:cstheme="minorHAnsi"/>
          <w:szCs w:val="22"/>
          <w:lang w:val="en"/>
        </w:rPr>
        <w:t>shall expire after all services</w:t>
      </w:r>
      <w:r w:rsidRPr="000D19AC">
        <w:rPr>
          <w:rFonts w:asciiTheme="minorHAnsi" w:hAnsiTheme="minorHAnsi" w:cstheme="minorHAnsi"/>
          <w:szCs w:val="22"/>
          <w:lang w:val="en"/>
        </w:rPr>
        <w:t xml:space="preserve">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w:t>
      </w:r>
      <w:r w:rsidR="002D5940">
        <w:rPr>
          <w:rFonts w:asciiTheme="minorHAnsi" w:hAnsiTheme="minorHAnsi" w:cstheme="minorHAnsi"/>
          <w:szCs w:val="22"/>
          <w:lang w:val="en"/>
        </w:rPr>
        <w:t xml:space="preserve"> If all or some of the services</w:t>
      </w:r>
      <w:r w:rsidRPr="000D19AC">
        <w:rPr>
          <w:rFonts w:asciiTheme="minorHAnsi" w:hAnsiTheme="minorHAnsi" w:cstheme="minorHAnsi"/>
          <w:szCs w:val="22"/>
          <w:lang w:val="en"/>
        </w:rPr>
        <w:t xml:space="preserve">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B656E8">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3" w:name="_Toc140836313"/>
      <w:r w:rsidRPr="00F41A62">
        <w:rPr>
          <w:rFonts w:asciiTheme="minorHAnsi" w:hAnsiTheme="minorHAnsi"/>
          <w:b/>
          <w:bCs/>
          <w:caps/>
          <w:sz w:val="24"/>
          <w:u w:val="single"/>
          <w:lang w:val="en"/>
        </w:rPr>
        <w:t>Financial provisions</w:t>
      </w:r>
      <w:bookmarkEnd w:id="13"/>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4" w:name="_Toc524095228"/>
      <w:bookmarkStart w:id="15" w:name="_Toc392669634"/>
      <w:bookmarkStart w:id="16" w:name="_Toc140836314"/>
      <w:r w:rsidRPr="00F41A62">
        <w:rPr>
          <w:rFonts w:asciiTheme="minorHAnsi" w:hAnsiTheme="minorHAnsi" w:cstheme="minorHAnsi"/>
          <w:sz w:val="22"/>
          <w:szCs w:val="22"/>
          <w:lang w:val="en"/>
        </w:rPr>
        <w:t>Amount of the Contract</w:t>
      </w:r>
      <w:bookmarkEnd w:id="14"/>
      <w:bookmarkEnd w:id="15"/>
      <w:bookmarkEnd w:id="16"/>
    </w:p>
    <w:p w14:paraId="23B7F9B6" w14:textId="4D2BDB55" w:rsidR="00A17DB1" w:rsidRPr="00F41A62" w:rsidRDefault="00A17DB1"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is: </w:t>
      </w:r>
      <w:r w:rsidR="00C21B92">
        <w:rPr>
          <w:rFonts w:asciiTheme="minorHAnsi" w:hAnsiTheme="minorHAnsi" w:cstheme="minorHAnsi"/>
          <w:szCs w:val="22"/>
          <w:highlight w:val="yellow"/>
          <w:lang w:val="en"/>
        </w:rPr>
        <w:t>XXXXX</w:t>
      </w:r>
      <w:r w:rsidRPr="00F41A62">
        <w:rPr>
          <w:rFonts w:asciiTheme="minorHAnsi" w:hAnsiTheme="minorHAnsi" w:cstheme="minorHAnsi"/>
          <w:szCs w:val="22"/>
          <w:highlight w:val="yellow"/>
          <w:lang w:val="en"/>
        </w:rPr>
        <w:t xml:space="preserve"> € </w:t>
      </w:r>
      <w:r w:rsidRPr="00C21B92">
        <w:rPr>
          <w:rFonts w:asciiTheme="minorHAnsi" w:hAnsiTheme="minorHAnsi" w:cstheme="minorHAnsi"/>
          <w:szCs w:val="22"/>
          <w:lang w:val="en"/>
        </w:rPr>
        <w:t>exc. VAT.</w:t>
      </w:r>
    </w:p>
    <w:p w14:paraId="105B81C2" w14:textId="3C8684CA" w:rsidR="00D23E07" w:rsidRPr="00F41A62" w:rsidRDefault="00D23E07" w:rsidP="00D23E07">
      <w:pPr>
        <w:pStyle w:val="u"/>
        <w:widowControl w:val="0"/>
        <w:numPr>
          <w:ilvl w:val="12"/>
          <w:numId w:val="0"/>
        </w:numPr>
        <w:spacing w:before="120"/>
        <w:ind w:left="561"/>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corresponds to the prices stated in the unit pricing schedule below, as applied to the quantities actually delivered.</w:t>
      </w:r>
    </w:p>
    <w:p w14:paraId="7C097FC0" w14:textId="514A2C2B" w:rsidR="005C3E0B" w:rsidRDefault="00D23E07" w:rsidP="00D23E07">
      <w:pPr>
        <w:pStyle w:val="u"/>
        <w:widowControl w:val="0"/>
        <w:numPr>
          <w:ilvl w:val="12"/>
          <w:numId w:val="0"/>
        </w:numPr>
        <w:spacing w:before="120"/>
        <w:ind w:left="561"/>
        <w:rPr>
          <w:rFonts w:asciiTheme="minorHAnsi" w:hAnsiTheme="minorHAnsi" w:cstheme="minorHAnsi"/>
          <w:szCs w:val="22"/>
          <w:lang w:val="en"/>
        </w:rPr>
      </w:pPr>
      <w:r w:rsidRPr="00F41A62">
        <w:rPr>
          <w:rFonts w:asciiTheme="minorHAnsi" w:hAnsiTheme="minorHAnsi" w:cstheme="minorHAnsi"/>
          <w:szCs w:val="22"/>
          <w:lang w:val="en"/>
        </w:rPr>
        <w:t xml:space="preserve">The unit prices below include all costs and expenses (including taxes of all kinds) which apply to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under the </w:t>
      </w:r>
      <w:r w:rsidR="00F41A62">
        <w:rPr>
          <w:rFonts w:asciiTheme="minorHAnsi" w:hAnsiTheme="minorHAnsi" w:cstheme="minorHAnsi"/>
          <w:smallCaps/>
          <w:lang w:val="en"/>
        </w:rPr>
        <w:t>Contract</w:t>
      </w:r>
      <w:r w:rsidRPr="00F41A62">
        <w:rPr>
          <w:rFonts w:asciiTheme="minorHAnsi" w:hAnsiTheme="minorHAnsi" w:cstheme="minorHAnsi"/>
          <w:szCs w:val="22"/>
          <w:lang w:val="en"/>
        </w:rPr>
        <w:t>.</w:t>
      </w:r>
    </w:p>
    <w:p w14:paraId="32646A2E" w14:textId="19C348FA" w:rsidR="00D23E07" w:rsidRPr="002F342B" w:rsidRDefault="00D23E07" w:rsidP="002F342B">
      <w:pPr>
        <w:spacing w:line="240" w:lineRule="auto"/>
        <w:rPr>
          <w:rFonts w:asciiTheme="minorHAnsi" w:eastAsia="Times New Roman" w:hAnsiTheme="minorHAnsi" w:cstheme="minorHAnsi"/>
          <w:sz w:val="22"/>
          <w:szCs w:val="22"/>
          <w:lang w:val="en"/>
        </w:rPr>
      </w:pPr>
    </w:p>
    <w:tbl>
      <w:tblPr>
        <w:tblpPr w:leftFromText="141" w:rightFromText="141" w:vertAnchor="text" w:tblpX="763"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22"/>
        <w:gridCol w:w="1065"/>
        <w:gridCol w:w="1312"/>
        <w:gridCol w:w="2410"/>
      </w:tblGrid>
      <w:tr w:rsidR="00F53E95" w:rsidRPr="00F41A62" w14:paraId="7C88A8EF" w14:textId="77777777" w:rsidTr="00B75D63">
        <w:trPr>
          <w:trHeight w:val="375"/>
        </w:trPr>
        <w:tc>
          <w:tcPr>
            <w:tcW w:w="2822" w:type="dxa"/>
          </w:tcPr>
          <w:p w14:paraId="546C0375" w14:textId="500983AE" w:rsidR="00F53E95" w:rsidRPr="00F41A62" w:rsidRDefault="00F53E95" w:rsidP="00F53E95">
            <w:pPr>
              <w:pStyle w:val="u"/>
              <w:widowControl w:val="0"/>
              <w:numPr>
                <w:ilvl w:val="12"/>
                <w:numId w:val="0"/>
              </w:numPr>
              <w:spacing w:before="120"/>
              <w:rPr>
                <w:rFonts w:asciiTheme="minorHAnsi" w:hAnsiTheme="minorHAnsi" w:cstheme="minorHAnsi"/>
                <w:szCs w:val="22"/>
              </w:rPr>
            </w:pPr>
            <w:r w:rsidRPr="00F41A62">
              <w:rPr>
                <w:rFonts w:asciiTheme="minorHAnsi" w:hAnsiTheme="minorHAnsi" w:cstheme="minorHAnsi"/>
                <w:szCs w:val="22"/>
                <w:lang w:val="en"/>
              </w:rPr>
              <w:t>Price heading</w:t>
            </w:r>
          </w:p>
        </w:tc>
        <w:tc>
          <w:tcPr>
            <w:tcW w:w="1065" w:type="dxa"/>
          </w:tcPr>
          <w:p w14:paraId="4ECD84A8" w14:textId="507B4DDE" w:rsidR="00F53E95" w:rsidRPr="00F41A62" w:rsidRDefault="00F53E95" w:rsidP="00B75D63">
            <w:pPr>
              <w:pStyle w:val="u"/>
              <w:widowControl w:val="0"/>
              <w:numPr>
                <w:ilvl w:val="12"/>
                <w:numId w:val="0"/>
              </w:numPr>
              <w:spacing w:before="120"/>
              <w:rPr>
                <w:rFonts w:asciiTheme="minorHAnsi" w:hAnsiTheme="minorHAnsi" w:cstheme="minorHAnsi"/>
                <w:szCs w:val="22"/>
              </w:rPr>
            </w:pPr>
            <w:r w:rsidRPr="00F41A62">
              <w:rPr>
                <w:rFonts w:asciiTheme="minorHAnsi" w:hAnsiTheme="minorHAnsi" w:cstheme="minorHAnsi"/>
                <w:szCs w:val="22"/>
                <w:lang w:val="en"/>
              </w:rPr>
              <w:t>Unit</w:t>
            </w:r>
            <w:r w:rsidR="00DD2C2C">
              <w:rPr>
                <w:rFonts w:asciiTheme="minorHAnsi" w:hAnsiTheme="minorHAnsi" w:cstheme="minorHAnsi"/>
                <w:szCs w:val="22"/>
                <w:lang w:val="en"/>
              </w:rPr>
              <w:t xml:space="preserve"> (number of days)</w:t>
            </w:r>
          </w:p>
        </w:tc>
        <w:tc>
          <w:tcPr>
            <w:tcW w:w="1312" w:type="dxa"/>
          </w:tcPr>
          <w:p w14:paraId="3D67031D" w14:textId="67E76632" w:rsidR="00F53E95" w:rsidRPr="00F41A62" w:rsidRDefault="00F53E95" w:rsidP="00B75D63">
            <w:pPr>
              <w:pStyle w:val="u"/>
              <w:widowControl w:val="0"/>
              <w:numPr>
                <w:ilvl w:val="12"/>
                <w:numId w:val="0"/>
              </w:numPr>
              <w:spacing w:before="120"/>
              <w:rPr>
                <w:rFonts w:asciiTheme="minorHAnsi" w:hAnsiTheme="minorHAnsi" w:cstheme="minorHAnsi"/>
                <w:szCs w:val="22"/>
                <w:lang w:val="en-GB"/>
              </w:rPr>
            </w:pPr>
            <w:r w:rsidRPr="00F41A62">
              <w:rPr>
                <w:rFonts w:asciiTheme="minorHAnsi" w:hAnsiTheme="minorHAnsi" w:cstheme="minorHAnsi"/>
                <w:szCs w:val="22"/>
                <w:lang w:val="en"/>
              </w:rPr>
              <w:t>Unit price in € exc. VAT</w:t>
            </w:r>
          </w:p>
        </w:tc>
        <w:tc>
          <w:tcPr>
            <w:tcW w:w="2410" w:type="dxa"/>
          </w:tcPr>
          <w:p w14:paraId="33EF4075"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r w:rsidRPr="00F41A62">
              <w:rPr>
                <w:rFonts w:asciiTheme="minorHAnsi" w:hAnsiTheme="minorHAnsi" w:cstheme="minorHAnsi"/>
                <w:szCs w:val="22"/>
                <w:lang w:val="en"/>
              </w:rPr>
              <w:t>Applicable VAT (rate: ……%)</w:t>
            </w:r>
          </w:p>
        </w:tc>
      </w:tr>
      <w:tr w:rsidR="00F53E95" w:rsidRPr="00F41A62" w14:paraId="2D2E1F2C" w14:textId="77777777" w:rsidTr="00B75D63">
        <w:trPr>
          <w:trHeight w:val="283"/>
        </w:trPr>
        <w:tc>
          <w:tcPr>
            <w:tcW w:w="2822" w:type="dxa"/>
          </w:tcPr>
          <w:p w14:paraId="3CD3627F" w14:textId="0C1A0B33"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1065" w:type="dxa"/>
          </w:tcPr>
          <w:p w14:paraId="147678E8"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1312" w:type="dxa"/>
          </w:tcPr>
          <w:p w14:paraId="20091CCC"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2410" w:type="dxa"/>
          </w:tcPr>
          <w:p w14:paraId="18A280A6"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r>
      <w:tr w:rsidR="00F53E95" w:rsidRPr="00F41A62" w14:paraId="409F8E41" w14:textId="77777777" w:rsidTr="00B75D63">
        <w:trPr>
          <w:trHeight w:val="350"/>
        </w:trPr>
        <w:tc>
          <w:tcPr>
            <w:tcW w:w="2822" w:type="dxa"/>
            <w:tcBorders>
              <w:bottom w:val="single" w:sz="4" w:space="0" w:color="auto"/>
            </w:tcBorders>
          </w:tcPr>
          <w:p w14:paraId="77A39C48" w14:textId="5E2C6BAF"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1065" w:type="dxa"/>
          </w:tcPr>
          <w:p w14:paraId="5AAF7D53"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1312" w:type="dxa"/>
          </w:tcPr>
          <w:p w14:paraId="1967CD12"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2410" w:type="dxa"/>
          </w:tcPr>
          <w:p w14:paraId="3E32DEF1"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r>
      <w:tr w:rsidR="00F53E95" w:rsidRPr="00F41A62" w14:paraId="01DF07D1" w14:textId="77777777" w:rsidTr="00B75D63">
        <w:trPr>
          <w:trHeight w:val="392"/>
        </w:trPr>
        <w:tc>
          <w:tcPr>
            <w:tcW w:w="2822" w:type="dxa"/>
            <w:tcBorders>
              <w:bottom w:val="single" w:sz="4" w:space="0" w:color="auto"/>
            </w:tcBorders>
          </w:tcPr>
          <w:p w14:paraId="4866667A" w14:textId="692BEF5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1065" w:type="dxa"/>
          </w:tcPr>
          <w:p w14:paraId="1B762599"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1312" w:type="dxa"/>
          </w:tcPr>
          <w:p w14:paraId="1E8D18CE"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c>
          <w:tcPr>
            <w:tcW w:w="2410" w:type="dxa"/>
          </w:tcPr>
          <w:p w14:paraId="25FD4F7C" w14:textId="77777777" w:rsidR="00F53E95" w:rsidRPr="00F41A62" w:rsidRDefault="00F53E95" w:rsidP="00B75D63">
            <w:pPr>
              <w:pStyle w:val="u"/>
              <w:widowControl w:val="0"/>
              <w:numPr>
                <w:ilvl w:val="12"/>
                <w:numId w:val="0"/>
              </w:numPr>
              <w:spacing w:before="120"/>
              <w:rPr>
                <w:rFonts w:asciiTheme="minorHAnsi" w:hAnsiTheme="minorHAnsi" w:cstheme="minorHAnsi"/>
                <w:szCs w:val="22"/>
              </w:rPr>
            </w:pPr>
          </w:p>
        </w:tc>
      </w:tr>
    </w:tbl>
    <w:p w14:paraId="643B8024" w14:textId="4F55C8C9" w:rsidR="00D23E07" w:rsidRDefault="00D23E07" w:rsidP="00D23E07">
      <w:pPr>
        <w:pStyle w:val="u"/>
        <w:widowControl w:val="0"/>
        <w:numPr>
          <w:ilvl w:val="12"/>
          <w:numId w:val="0"/>
        </w:numPr>
        <w:spacing w:before="120"/>
        <w:ind w:left="561"/>
        <w:rPr>
          <w:rFonts w:asciiTheme="minorHAnsi" w:hAnsiTheme="minorHAnsi" w:cs="Arial"/>
          <w:sz w:val="20"/>
        </w:rPr>
      </w:pPr>
    </w:p>
    <w:p w14:paraId="59AFCD28" w14:textId="77777777" w:rsidR="00D23E07" w:rsidRDefault="00D23E07" w:rsidP="00D23E07">
      <w:pPr>
        <w:pStyle w:val="u"/>
        <w:widowControl w:val="0"/>
        <w:numPr>
          <w:ilvl w:val="12"/>
          <w:numId w:val="0"/>
        </w:numPr>
        <w:spacing w:before="120"/>
        <w:rPr>
          <w:rFonts w:asciiTheme="minorHAnsi" w:hAnsiTheme="minorHAnsi" w:cs="Arial"/>
          <w:sz w:val="20"/>
        </w:rPr>
      </w:pPr>
    </w:p>
    <w:p w14:paraId="485E4D79" w14:textId="77777777" w:rsidR="00D23E07" w:rsidRDefault="00D23E07" w:rsidP="00D23E07">
      <w:pPr>
        <w:pStyle w:val="u"/>
        <w:widowControl w:val="0"/>
        <w:numPr>
          <w:ilvl w:val="12"/>
          <w:numId w:val="0"/>
        </w:numPr>
        <w:spacing w:before="120"/>
        <w:rPr>
          <w:rFonts w:asciiTheme="minorHAnsi" w:hAnsiTheme="minorHAnsi" w:cs="Arial"/>
          <w:sz w:val="20"/>
        </w:rPr>
      </w:pPr>
    </w:p>
    <w:p w14:paraId="64CF01E8" w14:textId="79323FB8" w:rsidR="00D23E07" w:rsidRPr="0069556C" w:rsidRDefault="00D23E07" w:rsidP="00D23E07">
      <w:pPr>
        <w:pStyle w:val="u"/>
        <w:widowControl w:val="0"/>
        <w:numPr>
          <w:ilvl w:val="12"/>
          <w:numId w:val="0"/>
        </w:numPr>
        <w:spacing w:before="120"/>
        <w:ind w:left="561"/>
        <w:rPr>
          <w:rFonts w:asciiTheme="minorHAnsi" w:hAnsiTheme="minorHAnsi" w:cs="Arial"/>
          <w:sz w:val="20"/>
        </w:rPr>
      </w:pPr>
    </w:p>
    <w:p w14:paraId="0CABA3D5" w14:textId="77777777" w:rsidR="00D23E07" w:rsidRDefault="00D23E07" w:rsidP="00CC15CE">
      <w:pPr>
        <w:pStyle w:val="u"/>
        <w:widowControl w:val="0"/>
        <w:numPr>
          <w:ilvl w:val="12"/>
          <w:numId w:val="0"/>
        </w:numPr>
        <w:spacing w:before="240" w:after="120"/>
        <w:jc w:val="left"/>
        <w:rPr>
          <w:rFonts w:asciiTheme="minorHAnsi" w:hAnsiTheme="minorHAnsi" w:cs="Arial"/>
          <w:sz w:val="20"/>
        </w:rPr>
      </w:pPr>
    </w:p>
    <w:p w14:paraId="2E85D974" w14:textId="77777777" w:rsidR="00DD2C2C" w:rsidRDefault="00DD2C2C" w:rsidP="00C21B92">
      <w:pPr>
        <w:pStyle w:val="u"/>
        <w:widowControl w:val="0"/>
        <w:numPr>
          <w:ilvl w:val="12"/>
          <w:numId w:val="0"/>
        </w:numPr>
        <w:spacing w:before="240" w:after="120"/>
        <w:jc w:val="left"/>
        <w:rPr>
          <w:rFonts w:asciiTheme="minorHAnsi" w:hAnsiTheme="minorHAnsi" w:cstheme="minorHAnsi"/>
          <w:b/>
          <w:szCs w:val="22"/>
          <w:lang w:val="en"/>
        </w:rPr>
      </w:pPr>
      <w:bookmarkStart w:id="17" w:name="_Toc140836315"/>
      <w:bookmarkStart w:id="18" w:name="_Toc392669637"/>
    </w:p>
    <w:p w14:paraId="61241936" w14:textId="424D676F" w:rsidR="000A6D39" w:rsidRPr="00C21B92" w:rsidRDefault="00E03E41" w:rsidP="00C21B92">
      <w:pPr>
        <w:pStyle w:val="u"/>
        <w:widowControl w:val="0"/>
        <w:numPr>
          <w:ilvl w:val="12"/>
          <w:numId w:val="0"/>
        </w:numPr>
        <w:spacing w:before="240" w:after="120"/>
        <w:jc w:val="left"/>
        <w:rPr>
          <w:rFonts w:asciiTheme="minorHAnsi" w:hAnsiTheme="minorHAnsi" w:cstheme="minorHAnsi"/>
          <w:b/>
          <w:szCs w:val="22"/>
          <w:lang w:val="en-GB"/>
        </w:rPr>
      </w:pPr>
      <w:r w:rsidRPr="00C21B92">
        <w:rPr>
          <w:rFonts w:asciiTheme="minorHAnsi" w:hAnsiTheme="minorHAnsi" w:cstheme="minorHAnsi"/>
          <w:b/>
          <w:szCs w:val="22"/>
          <w:lang w:val="en"/>
        </w:rPr>
        <w:t>Form of prices</w:t>
      </w:r>
      <w:bookmarkEnd w:id="17"/>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19" w:name="_Toc140836316"/>
      <w:r>
        <w:rPr>
          <w:rFonts w:asciiTheme="minorHAnsi" w:hAnsiTheme="minorHAnsi" w:cstheme="minorHAnsi"/>
          <w:sz w:val="22"/>
          <w:szCs w:val="22"/>
          <w:lang w:val="en"/>
        </w:rPr>
        <w:t>Advance</w:t>
      </w:r>
      <w:bookmarkEnd w:id="19"/>
    </w:p>
    <w:p w14:paraId="1E44AB5A" w14:textId="75E3D827" w:rsidR="008F2B87" w:rsidRPr="008F2B87" w:rsidRDefault="003231C9" w:rsidP="008F2B87">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of </w:t>
      </w:r>
      <w:r w:rsidR="00C21B92">
        <w:rPr>
          <w:rFonts w:asciiTheme="minorHAnsi" w:hAnsiTheme="minorHAnsi" w:cstheme="minorHAnsi"/>
          <w:szCs w:val="22"/>
          <w:lang w:val="en"/>
        </w:rPr>
        <w:t>30</w:t>
      </w:r>
      <w:r w:rsidRPr="008E7A24">
        <w:rPr>
          <w:rFonts w:asciiTheme="minorHAnsi" w:hAnsiTheme="minorHAnsi" w:cstheme="minorHAnsi"/>
          <w:szCs w:val="22"/>
          <w:lang w:val="en"/>
        </w:rPr>
        <w:t>% of the</w:t>
      </w:r>
      <w:r w:rsidR="00C21B92">
        <w:rPr>
          <w:rFonts w:asciiTheme="minorHAnsi" w:hAnsiTheme="minorHAnsi" w:cstheme="minorHAnsi"/>
          <w:szCs w:val="22"/>
          <w:lang w:val="en"/>
        </w:rPr>
        <w:t xml:space="preserve"> total</w:t>
      </w:r>
      <w:r w:rsidRPr="008E7A24">
        <w:rPr>
          <w:rFonts w:asciiTheme="minorHAnsi" w:hAnsiTheme="minorHAnsi" w:cstheme="minorHAnsi"/>
          <w:szCs w:val="22"/>
          <w:lang w:val="en"/>
        </w:rPr>
        <w:t xml:space="preserve"> amount </w:t>
      </w:r>
      <w:r w:rsidR="00C21B92">
        <w:rPr>
          <w:rFonts w:asciiTheme="minorHAnsi" w:hAnsiTheme="minorHAnsi" w:cstheme="minorHAnsi"/>
          <w:szCs w:val="22"/>
          <w:lang w:val="en"/>
        </w:rPr>
        <w:t>of the contract</w:t>
      </w:r>
      <w:r w:rsidRPr="008E7A24">
        <w:rPr>
          <w:rFonts w:asciiTheme="minorHAnsi" w:hAnsiTheme="minorHAnsi" w:cstheme="minorHAnsi"/>
          <w:szCs w:val="22"/>
          <w:lang w:val="en"/>
        </w:rPr>
        <w:t xml:space="preserve"> is granted to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w:t>
      </w:r>
      <w:r w:rsidR="00C21B92">
        <w:rPr>
          <w:rFonts w:asciiTheme="minorHAnsi" w:hAnsiTheme="minorHAnsi" w:cstheme="minorHAnsi"/>
          <w:szCs w:val="22"/>
          <w:lang w:val="en"/>
        </w:rPr>
        <w:t xml:space="preserve">at the </w:t>
      </w:r>
      <w:r w:rsidR="00056A40">
        <w:rPr>
          <w:rFonts w:asciiTheme="minorHAnsi" w:hAnsiTheme="minorHAnsi" w:cstheme="minorHAnsi"/>
          <w:szCs w:val="22"/>
          <w:lang w:val="en"/>
        </w:rPr>
        <w:t xml:space="preserve">validation </w:t>
      </w:r>
      <w:r w:rsidR="00C21B92">
        <w:rPr>
          <w:rFonts w:asciiTheme="minorHAnsi" w:hAnsiTheme="minorHAnsi" w:cstheme="minorHAnsi"/>
          <w:szCs w:val="22"/>
          <w:lang w:val="en"/>
        </w:rPr>
        <w:t>of the first deliverable (“Inception Report”)</w:t>
      </w:r>
      <w:r w:rsidR="00056A40">
        <w:rPr>
          <w:rFonts w:asciiTheme="minorHAnsi" w:hAnsiTheme="minorHAnsi" w:cstheme="minorHAnsi"/>
          <w:szCs w:val="22"/>
          <w:lang w:val="en"/>
        </w:rPr>
        <w:t xml:space="preserve"> by Expertise France</w:t>
      </w:r>
      <w:r w:rsidR="00C21B92">
        <w:rPr>
          <w:rFonts w:asciiTheme="minorHAnsi" w:hAnsiTheme="minorHAnsi" w:cstheme="minorHAnsi"/>
          <w:szCs w:val="22"/>
          <w:lang w:val="en"/>
        </w:rPr>
        <w:t>.</w:t>
      </w:r>
      <w:bookmarkStart w:id="20" w:name="_Toc140836318"/>
    </w:p>
    <w:p w14:paraId="2D1BC3F9" w14:textId="2C00302B" w:rsidR="002712EA" w:rsidRPr="00DA34BC" w:rsidRDefault="002712EA" w:rsidP="00A1761D">
      <w:pPr>
        <w:pStyle w:val="Titre2"/>
        <w:spacing w:before="120" w:after="60"/>
        <w:jc w:val="both"/>
        <w:rPr>
          <w:rFonts w:asciiTheme="minorHAnsi" w:hAnsiTheme="minorHAnsi"/>
          <w:sz w:val="22"/>
          <w:szCs w:val="22"/>
          <w:lang w:val="en-GB"/>
        </w:rPr>
      </w:pPr>
      <w:r w:rsidRPr="00DA34BC">
        <w:rPr>
          <w:rFonts w:asciiTheme="minorHAnsi" w:hAnsiTheme="minorHAnsi"/>
          <w:sz w:val="22"/>
          <w:szCs w:val="22"/>
          <w:lang w:val="en"/>
        </w:rPr>
        <w:t>Payment terms and late payment interest</w:t>
      </w:r>
      <w:bookmarkEnd w:id="20"/>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lastRenderedPageBreak/>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1" w:name="_Toc140836319"/>
      <w:r w:rsidRPr="00DA34BC">
        <w:rPr>
          <w:rFonts w:asciiTheme="minorHAnsi" w:hAnsiTheme="minorHAnsi"/>
          <w:sz w:val="22"/>
          <w:szCs w:val="22"/>
          <w:lang w:val="en"/>
        </w:rPr>
        <w:t>Presentation of payment demands</w:t>
      </w:r>
      <w:bookmarkEnd w:id="21"/>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B656E8">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B656E8">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B656E8">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B656E8">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B656E8">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B656E8">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B656E8">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B656E8">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w:t>
      </w:r>
      <w:r w:rsidRPr="00DA34BC">
        <w:rPr>
          <w:rFonts w:asciiTheme="minorHAnsi" w:hAnsiTheme="minorHAnsi" w:cs="Arial"/>
          <w:szCs w:val="22"/>
          <w:lang w:val="en"/>
        </w:rPr>
        <w:lastRenderedPageBreak/>
        <w:t xml:space="preserve">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2" w:name="_Toc140836320"/>
      <w:bookmarkStart w:id="23" w:name="_Toc344300189"/>
      <w:bookmarkEnd w:id="18"/>
      <w:r w:rsidRPr="00DA34BC">
        <w:rPr>
          <w:rFonts w:asciiTheme="minorHAnsi" w:hAnsiTheme="minorHAnsi"/>
          <w:sz w:val="22"/>
          <w:szCs w:val="22"/>
          <w:lang w:val="en"/>
        </w:rPr>
        <w:t>Bank transfer</w:t>
      </w:r>
      <w:bookmarkEnd w:id="22"/>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4" w:name="_Toc140836321"/>
      <w:r w:rsidRPr="00DA34BC">
        <w:rPr>
          <w:rFonts w:asciiTheme="minorHAnsi" w:hAnsiTheme="minorHAnsi"/>
          <w:sz w:val="22"/>
          <w:szCs w:val="22"/>
          <w:lang w:val="en"/>
        </w:rPr>
        <w:t>Value added tax (VAT)</w:t>
      </w:r>
      <w:bookmarkEnd w:id="23"/>
      <w:bookmarkEnd w:id="24"/>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5" w:name="_Toc392669638"/>
      <w:bookmarkStart w:id="26" w:name="_Toc140836322"/>
      <w:r w:rsidRPr="00DA34BC">
        <w:rPr>
          <w:rFonts w:asciiTheme="minorHAnsi" w:hAnsiTheme="minorHAnsi"/>
          <w:sz w:val="22"/>
          <w:szCs w:val="22"/>
          <w:lang w:val="en"/>
        </w:rPr>
        <w:t>Taxes and duties</w:t>
      </w:r>
      <w:bookmarkEnd w:id="25"/>
      <w:bookmarkEnd w:id="26"/>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B656E8">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27" w:name="_Toc140836323"/>
      <w:r w:rsidRPr="00CB5E4E">
        <w:rPr>
          <w:rFonts w:asciiTheme="minorHAnsi" w:hAnsiTheme="minorHAnsi"/>
          <w:b/>
          <w:bCs/>
          <w:caps/>
          <w:sz w:val="24"/>
          <w:u w:val="single"/>
          <w:lang w:val="en"/>
        </w:rPr>
        <w:t>inspection and acceptance activities</w:t>
      </w:r>
      <w:bookmarkEnd w:id="27"/>
    </w:p>
    <w:p w14:paraId="54DD548A" w14:textId="77777777" w:rsidR="00F72033" w:rsidRPr="00CB5E4E" w:rsidRDefault="000243D6" w:rsidP="00A1761D">
      <w:pPr>
        <w:pStyle w:val="Titre2"/>
        <w:jc w:val="both"/>
        <w:rPr>
          <w:rFonts w:asciiTheme="minorHAnsi" w:hAnsiTheme="minorHAnsi"/>
          <w:sz w:val="22"/>
          <w:szCs w:val="22"/>
        </w:rPr>
      </w:pPr>
      <w:bookmarkStart w:id="28" w:name="_Toc392669640"/>
      <w:bookmarkStart w:id="29" w:name="_Toc390691469"/>
      <w:bookmarkStart w:id="30" w:name="_Toc140836324"/>
      <w:r w:rsidRPr="00CB5E4E">
        <w:rPr>
          <w:rFonts w:asciiTheme="minorHAnsi" w:hAnsiTheme="minorHAnsi"/>
          <w:sz w:val="22"/>
          <w:szCs w:val="22"/>
          <w:lang w:val="en"/>
        </w:rPr>
        <w:t>Inspection activities</w:t>
      </w:r>
      <w:bookmarkEnd w:id="28"/>
      <w:bookmarkEnd w:id="29"/>
      <w:bookmarkEnd w:id="30"/>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134FCA57" w:rsidR="00D00B3A" w:rsidRPr="00CB5E4E" w:rsidRDefault="00F766D6" w:rsidP="00B656E8">
      <w:pPr>
        <w:pStyle w:val="u"/>
        <w:widowControl w:val="0"/>
        <w:numPr>
          <w:ilvl w:val="0"/>
          <w:numId w:val="8"/>
        </w:numPr>
        <w:rPr>
          <w:rFonts w:asciiTheme="minorHAnsi" w:hAnsiTheme="minorHAnsi" w:cs="Arial"/>
          <w:szCs w:val="22"/>
          <w:lang w:val="en-GB"/>
        </w:rPr>
      </w:pPr>
      <w:r w:rsidRPr="00CB5E4E">
        <w:rPr>
          <w:rFonts w:asciiTheme="minorHAnsi" w:hAnsiTheme="minorHAnsi" w:cs="Arial"/>
          <w:szCs w:val="22"/>
          <w:lang w:val="en"/>
        </w:rPr>
        <w:t xml:space="preserve">the </w:t>
      </w:r>
      <w:r w:rsidR="00056A40">
        <w:rPr>
          <w:rFonts w:asciiTheme="minorHAnsi" w:hAnsiTheme="minorHAnsi" w:cs="Arial"/>
          <w:szCs w:val="22"/>
          <w:lang w:val="en"/>
        </w:rPr>
        <w:t>p</w:t>
      </w:r>
      <w:r w:rsidRPr="00056A40">
        <w:rPr>
          <w:rFonts w:asciiTheme="minorHAnsi" w:hAnsiTheme="minorHAnsi" w:cs="Arial"/>
          <w:szCs w:val="22"/>
          <w:lang w:val="en"/>
        </w:rPr>
        <w:t xml:space="preserve">roject Manager, </w:t>
      </w:r>
      <w:r w:rsidR="00056A40">
        <w:rPr>
          <w:rFonts w:asciiTheme="minorHAnsi" w:hAnsiTheme="minorHAnsi" w:cs="Arial"/>
          <w:szCs w:val="22"/>
          <w:lang w:val="en"/>
        </w:rPr>
        <w:t>Hakim BEJAOUI</w:t>
      </w:r>
    </w:p>
    <w:p w14:paraId="5A68427F" w14:textId="42472C21" w:rsidR="00F766D6" w:rsidRPr="00CB5E4E" w:rsidRDefault="00F766D6" w:rsidP="00B656E8">
      <w:pPr>
        <w:pStyle w:val="u"/>
        <w:widowControl w:val="0"/>
        <w:numPr>
          <w:ilvl w:val="0"/>
          <w:numId w:val="8"/>
        </w:numPr>
        <w:rPr>
          <w:rFonts w:asciiTheme="minorHAnsi" w:hAnsiTheme="minorHAnsi" w:cs="Arial"/>
          <w:szCs w:val="22"/>
          <w:lang w:val="en-GB"/>
        </w:rPr>
      </w:pPr>
      <w:r w:rsidRPr="00CB5E4E">
        <w:rPr>
          <w:rFonts w:asciiTheme="minorHAnsi" w:hAnsiTheme="minorHAnsi" w:cs="Arial"/>
          <w:szCs w:val="22"/>
          <w:lang w:val="en"/>
        </w:rPr>
        <w:t xml:space="preserve">the </w:t>
      </w:r>
      <w:r w:rsidR="00056A40">
        <w:rPr>
          <w:rFonts w:asciiTheme="minorHAnsi" w:hAnsiTheme="minorHAnsi" w:cs="Arial"/>
          <w:szCs w:val="22"/>
          <w:lang w:val="en"/>
        </w:rPr>
        <w:t>project Team Leader, Mur</w:t>
      </w:r>
      <w:r w:rsidR="0050492A">
        <w:rPr>
          <w:rFonts w:asciiTheme="minorHAnsi" w:hAnsiTheme="minorHAnsi" w:cs="Arial"/>
          <w:szCs w:val="22"/>
          <w:lang w:val="en"/>
        </w:rPr>
        <w:t>a</w:t>
      </w:r>
      <w:r w:rsidR="00056A40">
        <w:rPr>
          <w:rFonts w:asciiTheme="minorHAnsi" w:hAnsiTheme="minorHAnsi" w:cs="Arial"/>
          <w:szCs w:val="22"/>
          <w:lang w:val="en"/>
        </w:rPr>
        <w:t>d Saidakhmedov</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1" w:name="_Toc390691470"/>
      <w:bookmarkStart w:id="32" w:name="_Toc392669641"/>
      <w:bookmarkStart w:id="33" w:name="_Toc140836325"/>
      <w:r w:rsidRPr="00CB5E4E">
        <w:rPr>
          <w:rFonts w:asciiTheme="minorHAnsi" w:hAnsiTheme="minorHAnsi"/>
          <w:sz w:val="22"/>
          <w:szCs w:val="22"/>
          <w:lang w:val="en"/>
        </w:rPr>
        <w:t>Acceptance</w:t>
      </w:r>
      <w:bookmarkEnd w:id="31"/>
      <w:r w:rsidRPr="00CB5E4E">
        <w:rPr>
          <w:rFonts w:asciiTheme="minorHAnsi" w:hAnsiTheme="minorHAnsi"/>
          <w:sz w:val="22"/>
          <w:szCs w:val="22"/>
          <w:lang w:val="en"/>
        </w:rPr>
        <w:t xml:space="preserve"> of service</w:t>
      </w:r>
      <w:bookmarkEnd w:id="32"/>
      <w:r w:rsidRPr="00CB5E4E">
        <w:rPr>
          <w:rFonts w:asciiTheme="minorHAnsi" w:hAnsiTheme="minorHAnsi"/>
          <w:sz w:val="22"/>
          <w:szCs w:val="22"/>
          <w:lang w:val="en"/>
        </w:rPr>
        <w:t>s and supplies</w:t>
      </w:r>
      <w:bookmarkEnd w:id="33"/>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76F3D481" w:rsidR="00C27993" w:rsidRPr="00CB5E4E" w:rsidRDefault="00056A40" w:rsidP="00B656E8">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The project Manager, Hakim BEJAOUI</w:t>
      </w:r>
    </w:p>
    <w:p w14:paraId="7DB5AAB0" w14:textId="784583D9" w:rsidR="00C27993" w:rsidRPr="006A3A9B" w:rsidRDefault="00056A40" w:rsidP="00B656E8">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The project Team Leader, Mur</w:t>
      </w:r>
      <w:r w:rsidR="0050492A">
        <w:rPr>
          <w:rFonts w:asciiTheme="minorHAnsi" w:hAnsiTheme="minorHAnsi" w:cs="Arial"/>
          <w:szCs w:val="22"/>
          <w:lang w:val="en"/>
        </w:rPr>
        <w:t>a</w:t>
      </w:r>
      <w:r>
        <w:rPr>
          <w:rFonts w:asciiTheme="minorHAnsi" w:hAnsiTheme="minorHAnsi" w:cs="Arial"/>
          <w:szCs w:val="22"/>
          <w:lang w:val="en"/>
        </w:rPr>
        <w:t>d Saidakhmedov</w:t>
      </w:r>
    </w:p>
    <w:p w14:paraId="2A57747D" w14:textId="77777777" w:rsidR="006A3A9B" w:rsidRPr="00CB5E4E" w:rsidRDefault="006A3A9B" w:rsidP="006A3A9B">
      <w:pPr>
        <w:pStyle w:val="u"/>
        <w:widowControl w:val="0"/>
        <w:ind w:left="1428"/>
        <w:rPr>
          <w:rFonts w:asciiTheme="minorHAnsi" w:hAnsiTheme="minorHAnsi" w:cs="Arial"/>
          <w:szCs w:val="22"/>
          <w:lang w:val="en-GB"/>
        </w:rPr>
      </w:pPr>
    </w:p>
    <w:p w14:paraId="2E9DF144" w14:textId="37835C12" w:rsidR="00056A40" w:rsidRDefault="00F766D6" w:rsidP="00A938F3">
      <w:pPr>
        <w:pStyle w:val="u"/>
        <w:widowControl w:val="0"/>
        <w:numPr>
          <w:ilvl w:val="12"/>
          <w:numId w:val="0"/>
        </w:numPr>
        <w:spacing w:before="120"/>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456FF096" w14:textId="0750DD74" w:rsidR="00DD2C2C" w:rsidRDefault="00DD2C2C" w:rsidP="00A938F3">
      <w:pPr>
        <w:pStyle w:val="u"/>
        <w:widowControl w:val="0"/>
        <w:numPr>
          <w:ilvl w:val="12"/>
          <w:numId w:val="0"/>
        </w:numPr>
        <w:spacing w:before="120"/>
        <w:rPr>
          <w:rFonts w:asciiTheme="minorHAnsi" w:hAnsiTheme="minorHAnsi" w:cs="Arial"/>
          <w:szCs w:val="22"/>
          <w:lang w:val="en"/>
        </w:rPr>
      </w:pPr>
    </w:p>
    <w:p w14:paraId="444C6D74" w14:textId="4BDE256A" w:rsidR="00DD2C2C" w:rsidRDefault="00DD2C2C" w:rsidP="00A938F3">
      <w:pPr>
        <w:pStyle w:val="u"/>
        <w:widowControl w:val="0"/>
        <w:numPr>
          <w:ilvl w:val="12"/>
          <w:numId w:val="0"/>
        </w:numPr>
        <w:spacing w:before="120"/>
        <w:rPr>
          <w:rFonts w:asciiTheme="minorHAnsi" w:hAnsiTheme="minorHAnsi" w:cs="Arial"/>
          <w:szCs w:val="22"/>
          <w:lang w:val="en"/>
        </w:rPr>
      </w:pPr>
    </w:p>
    <w:p w14:paraId="244E36C1" w14:textId="77777777" w:rsidR="00DD2C2C" w:rsidRDefault="00DD2C2C" w:rsidP="00A938F3">
      <w:pPr>
        <w:pStyle w:val="u"/>
        <w:widowControl w:val="0"/>
        <w:numPr>
          <w:ilvl w:val="12"/>
          <w:numId w:val="0"/>
        </w:numPr>
        <w:spacing w:before="120"/>
        <w:rPr>
          <w:rFonts w:asciiTheme="minorHAnsi" w:hAnsiTheme="minorHAnsi" w:cs="Arial"/>
          <w:szCs w:val="22"/>
          <w:lang w:val="en"/>
        </w:rPr>
      </w:pPr>
    </w:p>
    <w:p w14:paraId="767FEAF2" w14:textId="77777777" w:rsidR="002251EE" w:rsidRPr="00D95D87" w:rsidRDefault="002251EE" w:rsidP="00B656E8">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4" w:name="_Toc140836326"/>
      <w:r w:rsidRPr="00D95D87">
        <w:rPr>
          <w:rFonts w:asciiTheme="minorHAnsi" w:hAnsiTheme="minorHAnsi"/>
          <w:b/>
          <w:bCs/>
          <w:caps/>
          <w:sz w:val="24"/>
          <w:u w:val="single"/>
          <w:lang w:val="en"/>
        </w:rPr>
        <w:lastRenderedPageBreak/>
        <w:t>Specific terms of execution</w:t>
      </w:r>
      <w:bookmarkEnd w:id="34"/>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35" w:name="_Toc140836327"/>
      <w:bookmarkStart w:id="36" w:name="_Toc392669643"/>
      <w:r w:rsidRPr="00D95D87">
        <w:rPr>
          <w:rFonts w:asciiTheme="minorHAnsi" w:hAnsiTheme="minorHAnsi" w:cstheme="minorHAnsi"/>
          <w:sz w:val="22"/>
          <w:szCs w:val="22"/>
          <w:lang w:val="en"/>
        </w:rPr>
        <w:t>Deliverables table</w:t>
      </w:r>
      <w:bookmarkEnd w:id="35"/>
    </w:p>
    <w:tbl>
      <w:tblPr>
        <w:tblStyle w:val="Grilledutableau"/>
        <w:tblW w:w="9857" w:type="dxa"/>
        <w:tblInd w:w="562" w:type="dxa"/>
        <w:tblLook w:val="04A0" w:firstRow="1" w:lastRow="0" w:firstColumn="1" w:lastColumn="0" w:noHBand="0" w:noVBand="1"/>
      </w:tblPr>
      <w:tblGrid>
        <w:gridCol w:w="761"/>
        <w:gridCol w:w="4484"/>
        <w:gridCol w:w="4612"/>
      </w:tblGrid>
      <w:tr w:rsidR="005C1231" w:rsidRPr="00D95D87" w14:paraId="21D70271" w14:textId="77777777" w:rsidTr="006A3A9B">
        <w:trPr>
          <w:trHeight w:val="282"/>
        </w:trPr>
        <w:tc>
          <w:tcPr>
            <w:tcW w:w="761" w:type="dxa"/>
          </w:tcPr>
          <w:p w14:paraId="00B00C9B" w14:textId="77777777" w:rsidR="005C1231" w:rsidRPr="00D95D87" w:rsidRDefault="00143F6C"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4484" w:type="dxa"/>
          </w:tcPr>
          <w:p w14:paraId="7CE04177" w14:textId="61B2AA33"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r w:rsidR="006A3A9B">
              <w:rPr>
                <w:rFonts w:asciiTheme="minorHAnsi" w:hAnsiTheme="minorHAnsi" w:cstheme="minorHAnsi"/>
                <w:szCs w:val="22"/>
                <w:lang w:val="en"/>
              </w:rPr>
              <w:t>s</w:t>
            </w:r>
          </w:p>
        </w:tc>
        <w:tc>
          <w:tcPr>
            <w:tcW w:w="4612" w:type="dxa"/>
          </w:tcPr>
          <w:p w14:paraId="423C640C" w14:textId="3194DD6E" w:rsidR="005C1231" w:rsidRPr="00D95D87" w:rsidRDefault="00143F6C" w:rsidP="006A3A9B">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 xml:space="preserve">Submission </w:t>
            </w:r>
            <w:r w:rsidR="006A3A9B">
              <w:rPr>
                <w:rFonts w:asciiTheme="minorHAnsi" w:hAnsiTheme="minorHAnsi" w:cstheme="minorHAnsi"/>
                <w:szCs w:val="22"/>
                <w:lang w:val="en"/>
              </w:rPr>
              <w:t>deadline</w:t>
            </w:r>
          </w:p>
        </w:tc>
      </w:tr>
      <w:tr w:rsidR="005C1231" w:rsidRPr="00D95D87" w14:paraId="407DA1ED" w14:textId="77777777" w:rsidTr="006A3A9B">
        <w:trPr>
          <w:trHeight w:val="268"/>
        </w:trPr>
        <w:tc>
          <w:tcPr>
            <w:tcW w:w="761" w:type="dxa"/>
            <w:vAlign w:val="center"/>
          </w:tcPr>
          <w:p w14:paraId="508579F9" w14:textId="66280432" w:rsidR="005C1231" w:rsidRPr="00D95D87" w:rsidRDefault="00056A40" w:rsidP="006A3A9B">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1</w:t>
            </w:r>
          </w:p>
        </w:tc>
        <w:tc>
          <w:tcPr>
            <w:tcW w:w="4484" w:type="dxa"/>
            <w:vAlign w:val="center"/>
          </w:tcPr>
          <w:p w14:paraId="2BA525E4" w14:textId="73623442" w:rsidR="005C1231" w:rsidRPr="00D95D87" w:rsidRDefault="00056A40" w:rsidP="00AD3B8D">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Inception Report</w:t>
            </w:r>
          </w:p>
        </w:tc>
        <w:tc>
          <w:tcPr>
            <w:tcW w:w="4612" w:type="dxa"/>
            <w:vAlign w:val="center"/>
          </w:tcPr>
          <w:p w14:paraId="79AB6CE6" w14:textId="39A4E219" w:rsidR="005C1231" w:rsidRPr="00D95D87" w:rsidRDefault="00056A40" w:rsidP="006A3A9B">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 xml:space="preserve">On </w:t>
            </w:r>
            <w:r w:rsidR="00AD3B8D">
              <w:rPr>
                <w:rFonts w:asciiTheme="minorHAnsi" w:hAnsiTheme="minorHAnsi" w:cstheme="minorHAnsi"/>
                <w:szCs w:val="22"/>
              </w:rPr>
              <w:t>the 1</w:t>
            </w:r>
            <w:r w:rsidR="00AD3B8D" w:rsidRPr="00AD3B8D">
              <w:rPr>
                <w:rFonts w:asciiTheme="minorHAnsi" w:hAnsiTheme="minorHAnsi" w:cstheme="minorHAnsi"/>
                <w:szCs w:val="22"/>
                <w:vertAlign w:val="superscript"/>
                <w:lang w:val="en"/>
              </w:rPr>
              <w:t>st</w:t>
            </w:r>
            <w:r w:rsidR="00AD3B8D">
              <w:rPr>
                <w:rFonts w:asciiTheme="minorHAnsi" w:hAnsiTheme="minorHAnsi" w:cstheme="minorHAnsi"/>
                <w:szCs w:val="22"/>
              </w:rPr>
              <w:t xml:space="preserve"> </w:t>
            </w:r>
            <w:r>
              <w:rPr>
                <w:rFonts w:asciiTheme="minorHAnsi" w:hAnsiTheme="minorHAnsi" w:cstheme="minorHAnsi"/>
                <w:szCs w:val="22"/>
              </w:rPr>
              <w:t xml:space="preserve">month </w:t>
            </w:r>
            <w:r w:rsidR="00AD3B8D">
              <w:rPr>
                <w:rFonts w:asciiTheme="minorHAnsi" w:hAnsiTheme="minorHAnsi" w:cstheme="minorHAnsi"/>
                <w:szCs w:val="22"/>
              </w:rPr>
              <w:t>after signature of the contract</w:t>
            </w:r>
            <w:r>
              <w:rPr>
                <w:rFonts w:asciiTheme="minorHAnsi" w:hAnsiTheme="minorHAnsi" w:cstheme="minorHAnsi"/>
                <w:szCs w:val="22"/>
              </w:rPr>
              <w:t xml:space="preserve"> </w:t>
            </w:r>
          </w:p>
        </w:tc>
      </w:tr>
      <w:tr w:rsidR="005C1231" w:rsidRPr="00D95D87" w14:paraId="3D4B3477" w14:textId="77777777" w:rsidTr="006A3A9B">
        <w:trPr>
          <w:trHeight w:val="550"/>
        </w:trPr>
        <w:tc>
          <w:tcPr>
            <w:tcW w:w="761" w:type="dxa"/>
            <w:vAlign w:val="center"/>
          </w:tcPr>
          <w:p w14:paraId="2EB9CA01" w14:textId="50B4B844" w:rsidR="005C1231" w:rsidRPr="00D95D87" w:rsidRDefault="00056A40" w:rsidP="006A3A9B">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2</w:t>
            </w:r>
          </w:p>
        </w:tc>
        <w:tc>
          <w:tcPr>
            <w:tcW w:w="4484" w:type="dxa"/>
            <w:vAlign w:val="center"/>
          </w:tcPr>
          <w:p w14:paraId="28875817" w14:textId="09D8657F" w:rsidR="005C1231" w:rsidRPr="00D95D87" w:rsidRDefault="00AD3B8D" w:rsidP="00AD3B8D">
            <w:pPr>
              <w:pStyle w:val="u"/>
              <w:widowControl w:val="0"/>
              <w:numPr>
                <w:ilvl w:val="12"/>
                <w:numId w:val="0"/>
              </w:numPr>
              <w:jc w:val="left"/>
              <w:rPr>
                <w:rFonts w:asciiTheme="minorHAnsi" w:hAnsiTheme="minorHAnsi" w:cstheme="minorHAnsi"/>
                <w:szCs w:val="22"/>
              </w:rPr>
            </w:pPr>
            <w:r w:rsidRPr="00AD3B8D">
              <w:rPr>
                <w:rFonts w:asciiTheme="minorHAnsi" w:hAnsiTheme="minorHAnsi" w:cstheme="minorHAnsi"/>
                <w:szCs w:val="22"/>
              </w:rPr>
              <w:t>Completion of Literature Review and Data Collection</w:t>
            </w:r>
          </w:p>
        </w:tc>
        <w:tc>
          <w:tcPr>
            <w:tcW w:w="4612" w:type="dxa"/>
            <w:vAlign w:val="center"/>
          </w:tcPr>
          <w:p w14:paraId="6B4B2805" w14:textId="54FCFA1B" w:rsidR="005C1231" w:rsidRPr="00D95D87" w:rsidRDefault="00056A40" w:rsidP="006A3A9B">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On the 3</w:t>
            </w:r>
            <w:r w:rsidRPr="00AD3B8D">
              <w:rPr>
                <w:rFonts w:asciiTheme="minorHAnsi" w:hAnsiTheme="minorHAnsi" w:cstheme="minorHAnsi"/>
                <w:szCs w:val="22"/>
                <w:vertAlign w:val="superscript"/>
                <w:lang w:val="en"/>
              </w:rPr>
              <w:t>rd</w:t>
            </w:r>
            <w:r>
              <w:rPr>
                <w:rFonts w:asciiTheme="minorHAnsi" w:hAnsiTheme="minorHAnsi" w:cstheme="minorHAnsi"/>
                <w:szCs w:val="22"/>
              </w:rPr>
              <w:t xml:space="preserve"> month</w:t>
            </w:r>
            <w:r w:rsidR="00AD3B8D">
              <w:rPr>
                <w:rFonts w:asciiTheme="minorHAnsi" w:hAnsiTheme="minorHAnsi" w:cstheme="minorHAnsi"/>
                <w:szCs w:val="22"/>
              </w:rPr>
              <w:t xml:space="preserve"> after signature of the contract</w:t>
            </w:r>
          </w:p>
        </w:tc>
      </w:tr>
      <w:tr w:rsidR="008714BB" w:rsidRPr="00D95D87" w14:paraId="3C3807FF" w14:textId="77777777" w:rsidTr="006A3A9B">
        <w:trPr>
          <w:trHeight w:val="565"/>
        </w:trPr>
        <w:tc>
          <w:tcPr>
            <w:tcW w:w="761" w:type="dxa"/>
            <w:vAlign w:val="center"/>
          </w:tcPr>
          <w:p w14:paraId="70C79A8E" w14:textId="158DF3AE" w:rsidR="000A6914" w:rsidRPr="00D95D87" w:rsidRDefault="00056A40" w:rsidP="006A3A9B">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lang w:val="en"/>
              </w:rPr>
              <w:t>3</w:t>
            </w:r>
          </w:p>
        </w:tc>
        <w:tc>
          <w:tcPr>
            <w:tcW w:w="4484" w:type="dxa"/>
            <w:vAlign w:val="center"/>
          </w:tcPr>
          <w:p w14:paraId="34812AF4" w14:textId="10D3D1F9" w:rsidR="000A6914" w:rsidRPr="00D95D87" w:rsidRDefault="00AD3B8D" w:rsidP="00AD3B8D">
            <w:pPr>
              <w:pStyle w:val="u"/>
              <w:widowControl w:val="0"/>
              <w:numPr>
                <w:ilvl w:val="12"/>
                <w:numId w:val="0"/>
              </w:numPr>
              <w:jc w:val="left"/>
              <w:rPr>
                <w:rFonts w:asciiTheme="minorHAnsi" w:hAnsiTheme="minorHAnsi" w:cstheme="minorHAnsi"/>
                <w:szCs w:val="22"/>
              </w:rPr>
            </w:pPr>
            <w:r w:rsidRPr="00AD3B8D">
              <w:rPr>
                <w:rFonts w:asciiTheme="minorHAnsi" w:hAnsiTheme="minorHAnsi" w:cstheme="minorHAnsi"/>
                <w:szCs w:val="22"/>
                <w:lang w:val="en"/>
              </w:rPr>
              <w:t>Interim Report on Technical and Economic Analysis</w:t>
            </w:r>
          </w:p>
        </w:tc>
        <w:tc>
          <w:tcPr>
            <w:tcW w:w="4612" w:type="dxa"/>
            <w:vAlign w:val="center"/>
          </w:tcPr>
          <w:p w14:paraId="5A59A5BC" w14:textId="02ED3E37" w:rsidR="000A6914" w:rsidRPr="00D95D87" w:rsidRDefault="00AD3B8D" w:rsidP="006A3A9B">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lang w:val="en"/>
              </w:rPr>
              <w:t>On the 4</w:t>
            </w:r>
            <w:r w:rsidRPr="00AD3B8D">
              <w:rPr>
                <w:rFonts w:asciiTheme="minorHAnsi" w:hAnsiTheme="minorHAnsi" w:cstheme="minorHAnsi"/>
                <w:szCs w:val="22"/>
                <w:vertAlign w:val="superscript"/>
                <w:lang w:val="en"/>
              </w:rPr>
              <w:t>th</w:t>
            </w:r>
            <w:r>
              <w:rPr>
                <w:rFonts w:asciiTheme="minorHAnsi" w:hAnsiTheme="minorHAnsi" w:cstheme="minorHAnsi"/>
                <w:szCs w:val="22"/>
                <w:lang w:val="en"/>
              </w:rPr>
              <w:t xml:space="preserve"> month after signature of the contract</w:t>
            </w:r>
          </w:p>
        </w:tc>
      </w:tr>
      <w:tr w:rsidR="00197CF8" w:rsidRPr="00D95D87" w14:paraId="5FB1715F" w14:textId="77777777" w:rsidTr="006A3A9B">
        <w:trPr>
          <w:trHeight w:val="550"/>
        </w:trPr>
        <w:tc>
          <w:tcPr>
            <w:tcW w:w="761" w:type="dxa"/>
            <w:vAlign w:val="center"/>
          </w:tcPr>
          <w:p w14:paraId="4C978E4A" w14:textId="48EA295F" w:rsidR="00197CF8" w:rsidRPr="00D95D87" w:rsidRDefault="00056A40" w:rsidP="006A3A9B">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4</w:t>
            </w:r>
          </w:p>
        </w:tc>
        <w:tc>
          <w:tcPr>
            <w:tcW w:w="4484" w:type="dxa"/>
            <w:vAlign w:val="center"/>
          </w:tcPr>
          <w:p w14:paraId="6D3A7FC0" w14:textId="00053D8E" w:rsidR="00197CF8" w:rsidRPr="00D95D87" w:rsidRDefault="00AD3B8D" w:rsidP="00AD3B8D">
            <w:pPr>
              <w:pStyle w:val="u"/>
              <w:widowControl w:val="0"/>
              <w:numPr>
                <w:ilvl w:val="12"/>
                <w:numId w:val="0"/>
              </w:numPr>
              <w:jc w:val="left"/>
              <w:rPr>
                <w:rFonts w:asciiTheme="minorHAnsi" w:hAnsiTheme="minorHAnsi" w:cstheme="minorHAnsi"/>
                <w:szCs w:val="22"/>
              </w:rPr>
            </w:pPr>
            <w:r w:rsidRPr="00AD3B8D">
              <w:rPr>
                <w:rFonts w:asciiTheme="minorHAnsi" w:hAnsiTheme="minorHAnsi" w:cstheme="minorHAnsi"/>
                <w:szCs w:val="22"/>
              </w:rPr>
              <w:t>Interim Report on Environmental and Social Impact Assessments</w:t>
            </w:r>
          </w:p>
        </w:tc>
        <w:tc>
          <w:tcPr>
            <w:tcW w:w="4612" w:type="dxa"/>
            <w:vAlign w:val="center"/>
          </w:tcPr>
          <w:p w14:paraId="7843E4E7" w14:textId="5F3C8C5B" w:rsidR="00197CF8" w:rsidRPr="00D95D87" w:rsidRDefault="006A3A9B" w:rsidP="006A3A9B">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On the 5</w:t>
            </w:r>
            <w:r w:rsidRPr="006A3A9B">
              <w:rPr>
                <w:rFonts w:asciiTheme="minorHAnsi" w:hAnsiTheme="minorHAnsi" w:cstheme="minorHAnsi"/>
                <w:szCs w:val="22"/>
                <w:vertAlign w:val="superscript"/>
                <w:lang w:val="en"/>
              </w:rPr>
              <w:t>th</w:t>
            </w:r>
            <w:r>
              <w:rPr>
                <w:rFonts w:asciiTheme="minorHAnsi" w:hAnsiTheme="minorHAnsi" w:cstheme="minorHAnsi"/>
                <w:szCs w:val="22"/>
              </w:rPr>
              <w:t xml:space="preserve"> month after signature of the contract</w:t>
            </w:r>
          </w:p>
        </w:tc>
      </w:tr>
      <w:tr w:rsidR="008714BB" w:rsidRPr="00D95D87" w14:paraId="2180D999" w14:textId="77777777" w:rsidTr="006A3A9B">
        <w:trPr>
          <w:trHeight w:val="565"/>
        </w:trPr>
        <w:tc>
          <w:tcPr>
            <w:tcW w:w="761" w:type="dxa"/>
            <w:vAlign w:val="center"/>
          </w:tcPr>
          <w:p w14:paraId="3557224D" w14:textId="7992A96A" w:rsidR="000A6914" w:rsidRPr="00D95D87" w:rsidRDefault="00AD3B8D" w:rsidP="006A3A9B">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5</w:t>
            </w:r>
          </w:p>
        </w:tc>
        <w:tc>
          <w:tcPr>
            <w:tcW w:w="4484" w:type="dxa"/>
            <w:vAlign w:val="center"/>
          </w:tcPr>
          <w:p w14:paraId="6ACBC72D" w14:textId="73D068A7" w:rsidR="000A6914" w:rsidRPr="00D95D87" w:rsidRDefault="00AD3B8D" w:rsidP="00AD3B8D">
            <w:pPr>
              <w:pStyle w:val="u"/>
              <w:widowControl w:val="0"/>
              <w:numPr>
                <w:ilvl w:val="12"/>
                <w:numId w:val="0"/>
              </w:numPr>
              <w:jc w:val="left"/>
              <w:rPr>
                <w:rFonts w:asciiTheme="minorHAnsi" w:hAnsiTheme="minorHAnsi" w:cstheme="minorHAnsi"/>
                <w:szCs w:val="22"/>
              </w:rPr>
            </w:pPr>
            <w:r w:rsidRPr="00AD3B8D">
              <w:rPr>
                <w:rFonts w:asciiTheme="minorHAnsi" w:hAnsiTheme="minorHAnsi" w:cstheme="minorHAnsi"/>
                <w:szCs w:val="22"/>
              </w:rPr>
              <w:t>Draft Final Report</w:t>
            </w:r>
          </w:p>
        </w:tc>
        <w:tc>
          <w:tcPr>
            <w:tcW w:w="4612" w:type="dxa"/>
            <w:vAlign w:val="center"/>
          </w:tcPr>
          <w:p w14:paraId="26A4F612" w14:textId="3702B26F" w:rsidR="000A6914" w:rsidRPr="00D95D87" w:rsidRDefault="006A3A9B" w:rsidP="006A3A9B">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On the 7</w:t>
            </w:r>
            <w:r w:rsidRPr="006A3A9B">
              <w:rPr>
                <w:rFonts w:asciiTheme="minorHAnsi" w:hAnsiTheme="minorHAnsi" w:cstheme="minorHAnsi"/>
                <w:szCs w:val="22"/>
                <w:vertAlign w:val="superscript"/>
                <w:lang w:val="en"/>
              </w:rPr>
              <w:t>th</w:t>
            </w:r>
            <w:r>
              <w:rPr>
                <w:rFonts w:asciiTheme="minorHAnsi" w:hAnsiTheme="minorHAnsi" w:cstheme="minorHAnsi"/>
                <w:szCs w:val="22"/>
              </w:rPr>
              <w:t xml:space="preserve"> month after signature of the contract</w:t>
            </w:r>
          </w:p>
        </w:tc>
      </w:tr>
      <w:tr w:rsidR="00AD3B8D" w:rsidRPr="00D95D87" w14:paraId="71758C79" w14:textId="77777777" w:rsidTr="006A3A9B">
        <w:trPr>
          <w:trHeight w:val="550"/>
        </w:trPr>
        <w:tc>
          <w:tcPr>
            <w:tcW w:w="761" w:type="dxa"/>
            <w:vAlign w:val="center"/>
          </w:tcPr>
          <w:p w14:paraId="253ED6CC" w14:textId="71CBC89B" w:rsidR="00AD3B8D" w:rsidRPr="00D95D87" w:rsidRDefault="00AD3B8D" w:rsidP="006A3A9B">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6</w:t>
            </w:r>
          </w:p>
        </w:tc>
        <w:tc>
          <w:tcPr>
            <w:tcW w:w="4484" w:type="dxa"/>
            <w:vAlign w:val="center"/>
          </w:tcPr>
          <w:p w14:paraId="76C32812" w14:textId="564843DC" w:rsidR="00AD3B8D" w:rsidRPr="00D230BD" w:rsidRDefault="00AD3B8D" w:rsidP="00AD3B8D">
            <w:pPr>
              <w:pStyle w:val="u"/>
              <w:widowControl w:val="0"/>
              <w:numPr>
                <w:ilvl w:val="12"/>
                <w:numId w:val="0"/>
              </w:numPr>
              <w:jc w:val="left"/>
              <w:rPr>
                <w:rFonts w:cstheme="minorHAnsi"/>
                <w:szCs w:val="24"/>
              </w:rPr>
            </w:pPr>
            <w:r w:rsidRPr="00AD3B8D">
              <w:rPr>
                <w:rFonts w:asciiTheme="minorHAnsi" w:hAnsiTheme="minorHAnsi" w:cstheme="minorHAnsi"/>
                <w:szCs w:val="22"/>
              </w:rPr>
              <w:t>Final Report and Presentation to Stakeholders</w:t>
            </w:r>
          </w:p>
        </w:tc>
        <w:tc>
          <w:tcPr>
            <w:tcW w:w="4612" w:type="dxa"/>
            <w:vAlign w:val="center"/>
          </w:tcPr>
          <w:p w14:paraId="37E5442F" w14:textId="51F1BDAC" w:rsidR="00AD3B8D" w:rsidRPr="00D95D87" w:rsidRDefault="006A3A9B" w:rsidP="006A3A9B">
            <w:pPr>
              <w:pStyle w:val="u"/>
              <w:widowControl w:val="0"/>
              <w:numPr>
                <w:ilvl w:val="12"/>
                <w:numId w:val="0"/>
              </w:numPr>
              <w:jc w:val="left"/>
              <w:rPr>
                <w:rFonts w:asciiTheme="minorHAnsi" w:hAnsiTheme="minorHAnsi" w:cstheme="minorHAnsi"/>
                <w:szCs w:val="22"/>
              </w:rPr>
            </w:pPr>
            <w:r>
              <w:rPr>
                <w:rFonts w:asciiTheme="minorHAnsi" w:hAnsiTheme="minorHAnsi" w:cstheme="minorHAnsi"/>
                <w:szCs w:val="22"/>
              </w:rPr>
              <w:t>On the 8</w:t>
            </w:r>
            <w:r w:rsidRPr="006A3A9B">
              <w:rPr>
                <w:rFonts w:asciiTheme="minorHAnsi" w:hAnsiTheme="minorHAnsi" w:cstheme="minorHAnsi"/>
                <w:szCs w:val="22"/>
                <w:vertAlign w:val="superscript"/>
                <w:lang w:val="en"/>
              </w:rPr>
              <w:t>th</w:t>
            </w:r>
            <w:r>
              <w:rPr>
                <w:rFonts w:asciiTheme="minorHAnsi" w:hAnsiTheme="minorHAnsi" w:cstheme="minorHAnsi"/>
                <w:szCs w:val="22"/>
              </w:rPr>
              <w:t xml:space="preserve"> month after signature of the contract</w:t>
            </w:r>
          </w:p>
        </w:tc>
      </w:tr>
    </w:tbl>
    <w:p w14:paraId="703ECFCE" w14:textId="6BD3384B" w:rsidR="006A3A9B" w:rsidRDefault="006A3A9B" w:rsidP="00EF653D">
      <w:pPr>
        <w:pStyle w:val="Titre2"/>
        <w:spacing w:before="120" w:after="60"/>
        <w:rPr>
          <w:rFonts w:asciiTheme="minorHAnsi" w:hAnsiTheme="minorHAnsi" w:cstheme="minorHAnsi"/>
          <w:b w:val="0"/>
          <w:sz w:val="22"/>
          <w:szCs w:val="22"/>
          <w:lang w:val="en"/>
        </w:rPr>
      </w:pPr>
      <w:bookmarkStart w:id="37" w:name="_Toc392669642"/>
      <w:bookmarkStart w:id="38" w:name="_Toc140836328"/>
      <w:bookmarkStart w:id="39" w:name="_Toc392669644"/>
      <w:bookmarkEnd w:id="36"/>
      <w:r w:rsidRPr="008F3A11">
        <w:rPr>
          <w:rFonts w:asciiTheme="minorHAnsi" w:hAnsiTheme="minorHAnsi" w:cstheme="minorHAnsi"/>
          <w:b w:val="0"/>
          <w:sz w:val="22"/>
          <w:szCs w:val="22"/>
          <w:lang w:val="en"/>
        </w:rPr>
        <w:t>In addition, the contractor will</w:t>
      </w:r>
      <w:r w:rsidR="008F3A11" w:rsidRPr="008F3A11">
        <w:rPr>
          <w:rFonts w:asciiTheme="minorHAnsi" w:hAnsiTheme="minorHAnsi" w:cstheme="minorHAnsi"/>
          <w:b w:val="0"/>
          <w:sz w:val="22"/>
          <w:szCs w:val="22"/>
          <w:lang w:val="en"/>
        </w:rPr>
        <w:t xml:space="preserve"> provide monthly progress updates and</w:t>
      </w:r>
      <w:r w:rsidRPr="008F3A11">
        <w:rPr>
          <w:rFonts w:asciiTheme="minorHAnsi" w:hAnsiTheme="minorHAnsi" w:cstheme="minorHAnsi"/>
          <w:b w:val="0"/>
          <w:sz w:val="22"/>
          <w:szCs w:val="22"/>
          <w:lang w:val="en"/>
        </w:rPr>
        <w:t xml:space="preserve"> hold monthly or bi-monthly meetings (or upon necessity) with Expertise France</w:t>
      </w:r>
      <w:r w:rsidR="008F3A11" w:rsidRPr="008F3A11">
        <w:rPr>
          <w:rFonts w:asciiTheme="minorHAnsi" w:hAnsiTheme="minorHAnsi" w:cstheme="minorHAnsi"/>
          <w:b w:val="0"/>
          <w:sz w:val="22"/>
          <w:szCs w:val="22"/>
          <w:lang w:val="en"/>
        </w:rPr>
        <w:t>.</w:t>
      </w:r>
    </w:p>
    <w:p w14:paraId="21238411" w14:textId="77777777" w:rsidR="00A938F3" w:rsidRPr="00A938F3" w:rsidRDefault="00A938F3" w:rsidP="00A938F3">
      <w:pPr>
        <w:rPr>
          <w:lang w:val="en"/>
        </w:rPr>
      </w:pPr>
    </w:p>
    <w:p w14:paraId="672879E1" w14:textId="6460CA53" w:rsidR="00EF653D" w:rsidRPr="00D95D87" w:rsidRDefault="00EF653D" w:rsidP="00EF653D">
      <w:pPr>
        <w:pStyle w:val="Titre2"/>
        <w:spacing w:before="120" w:after="60"/>
        <w:rPr>
          <w:rFonts w:asciiTheme="minorHAnsi" w:hAnsiTheme="minorHAnsi" w:cstheme="minorHAnsi"/>
          <w:sz w:val="22"/>
          <w:szCs w:val="22"/>
          <w:lang w:val="en-GB"/>
        </w:rPr>
      </w:pPr>
      <w:r w:rsidRPr="00D95D87">
        <w:rPr>
          <w:rFonts w:asciiTheme="minorHAnsi" w:hAnsiTheme="minorHAnsi" w:cstheme="minorHAnsi"/>
          <w:sz w:val="22"/>
          <w:szCs w:val="22"/>
          <w:lang w:val="en"/>
        </w:rPr>
        <w:t>Expert in charge of the assignment</w:t>
      </w:r>
      <w:bookmarkEnd w:id="37"/>
      <w:bookmarkEnd w:id="38"/>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0" w:name="_Toc140836329"/>
      <w:r w:rsidRPr="00D95D87">
        <w:rPr>
          <w:rFonts w:asciiTheme="minorHAnsi" w:hAnsiTheme="minorHAnsi" w:cstheme="minorHAnsi"/>
          <w:sz w:val="22"/>
          <w:szCs w:val="22"/>
          <w:lang w:val="en"/>
        </w:rPr>
        <w:t>Place of execution</w:t>
      </w:r>
      <w:bookmarkEnd w:id="39"/>
      <w:bookmarkEnd w:id="40"/>
    </w:p>
    <w:p w14:paraId="2347A1C4" w14:textId="637BC339"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T</w:t>
      </w:r>
      <w:r w:rsidR="006A3A9B">
        <w:rPr>
          <w:rFonts w:asciiTheme="minorHAnsi" w:hAnsiTheme="minorHAnsi" w:cstheme="minorHAnsi"/>
          <w:szCs w:val="22"/>
          <w:lang w:val="en"/>
        </w:rPr>
        <w:t>he services will be performed remotely with mission in Uzbekistan.</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1"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1"/>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2" w:name="_Toc392669645"/>
      <w:bookmarkStart w:id="43" w:name="_Toc140836333"/>
      <w:r w:rsidRPr="0041061D">
        <w:rPr>
          <w:rFonts w:asciiTheme="minorHAnsi" w:hAnsiTheme="minorHAnsi"/>
          <w:sz w:val="22"/>
          <w:szCs w:val="22"/>
          <w:lang w:val="en"/>
        </w:rPr>
        <w:t xml:space="preserve">Commitments of the </w:t>
      </w:r>
      <w:bookmarkEnd w:id="42"/>
      <w:r w:rsidR="00567093">
        <w:rPr>
          <w:rFonts w:asciiTheme="minorHAnsi" w:hAnsiTheme="minorHAnsi" w:cstheme="minorHAnsi"/>
          <w:smallCaps/>
          <w:sz w:val="22"/>
          <w:lang w:val="en"/>
        </w:rPr>
        <w:t>Contractor</w:t>
      </w:r>
      <w:bookmarkEnd w:id="43"/>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B656E8">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B656E8">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B656E8">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B656E8">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w:t>
      </w:r>
      <w:r w:rsidRPr="0041061D">
        <w:rPr>
          <w:rFonts w:asciiTheme="minorHAnsi" w:hAnsiTheme="minorHAnsi" w:cs="Arial"/>
          <w:szCs w:val="22"/>
          <w:lang w:val="en"/>
        </w:rPr>
        <w:lastRenderedPageBreak/>
        <w:t xml:space="preserve">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B656E8">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B656E8">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B656E8">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B656E8">
      <w:pPr>
        <w:pStyle w:val="u"/>
        <w:widowControl w:val="0"/>
        <w:numPr>
          <w:ilvl w:val="0"/>
          <w:numId w:val="8"/>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B656E8">
      <w:pPr>
        <w:pStyle w:val="u"/>
        <w:widowControl w:val="0"/>
        <w:numPr>
          <w:ilvl w:val="0"/>
          <w:numId w:val="8"/>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B656E8">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4" w:name="_Toc392669646"/>
      <w:bookmarkStart w:id="45" w:name="_Toc140836334"/>
      <w:r w:rsidRPr="00567093">
        <w:rPr>
          <w:rFonts w:asciiTheme="minorHAnsi" w:hAnsiTheme="minorHAnsi"/>
          <w:sz w:val="22"/>
          <w:szCs w:val="22"/>
          <w:lang w:val="en"/>
        </w:rPr>
        <w:t>Confidentiality</w:t>
      </w:r>
      <w:bookmarkEnd w:id="44"/>
      <w:bookmarkEnd w:id="45"/>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B656E8">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B656E8">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B656E8">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B656E8">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B656E8">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B656E8">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6" w:name="_Toc392669648"/>
      <w:bookmarkStart w:id="47" w:name="_Toc140836335"/>
      <w:r w:rsidRPr="00567093">
        <w:rPr>
          <w:rFonts w:asciiTheme="minorHAnsi" w:hAnsiTheme="minorHAnsi"/>
          <w:sz w:val="22"/>
          <w:szCs w:val="22"/>
          <w:lang w:val="en"/>
        </w:rPr>
        <w:t>Provision of documents</w:t>
      </w:r>
      <w:bookmarkEnd w:id="46"/>
      <w:bookmarkEnd w:id="47"/>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7BABA058" w14:textId="5905CF16" w:rsidR="005C1231" w:rsidRPr="008F3A11" w:rsidRDefault="008F3A11" w:rsidP="00B656E8">
      <w:pPr>
        <w:pStyle w:val="u"/>
        <w:widowControl w:val="0"/>
        <w:numPr>
          <w:ilvl w:val="0"/>
          <w:numId w:val="9"/>
        </w:numPr>
        <w:rPr>
          <w:rFonts w:asciiTheme="minorHAnsi" w:hAnsiTheme="minorHAnsi" w:cs="Arial"/>
          <w:szCs w:val="22"/>
        </w:rPr>
      </w:pPr>
      <w:r w:rsidRPr="008F3A11">
        <w:rPr>
          <w:rFonts w:asciiTheme="minorHAnsi" w:hAnsiTheme="minorHAnsi" w:cs="Arial"/>
          <w:szCs w:val="22"/>
          <w:lang w:val="en"/>
        </w:rPr>
        <w:t>Terms of reference of the mission</w:t>
      </w:r>
    </w:p>
    <w:p w14:paraId="02333BDF" w14:textId="77777777" w:rsidR="00E25860" w:rsidRPr="008F3A11" w:rsidRDefault="00E25860" w:rsidP="00B656E8">
      <w:pPr>
        <w:pStyle w:val="u"/>
        <w:widowControl w:val="0"/>
        <w:numPr>
          <w:ilvl w:val="0"/>
          <w:numId w:val="9"/>
        </w:numPr>
        <w:rPr>
          <w:rFonts w:asciiTheme="minorHAnsi" w:hAnsiTheme="minorHAnsi" w:cs="Arial"/>
          <w:szCs w:val="22"/>
          <w:lang w:val="en-GB"/>
        </w:rPr>
      </w:pPr>
      <w:r w:rsidRPr="008F3A11">
        <w:rPr>
          <w:rFonts w:asciiTheme="minorHAnsi" w:hAnsiTheme="minorHAnsi" w:cs="Arial"/>
          <w:szCs w:val="22"/>
          <w:lang w:val="en"/>
        </w:rPr>
        <w:t xml:space="preserve">Technical offer of the </w:t>
      </w:r>
      <w:r w:rsidRPr="008F3A11">
        <w:rPr>
          <w:rFonts w:asciiTheme="minorHAnsi" w:hAnsiTheme="minorHAnsi" w:cs="Arial"/>
          <w:smallCaps/>
          <w:szCs w:val="22"/>
          <w:lang w:val="en"/>
        </w:rPr>
        <w:t>Main Contract</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48" w:name="_Toc392669649"/>
      <w:bookmarkStart w:id="49" w:name="_Toc140836336"/>
      <w:r w:rsidRPr="00567093">
        <w:rPr>
          <w:rFonts w:asciiTheme="minorHAnsi" w:hAnsiTheme="minorHAnsi"/>
          <w:sz w:val="22"/>
          <w:szCs w:val="22"/>
          <w:lang w:val="en"/>
        </w:rPr>
        <w:lastRenderedPageBreak/>
        <w:t>Insurance</w:t>
      </w:r>
      <w:bookmarkEnd w:id="48"/>
      <w:bookmarkEnd w:id="49"/>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0" w:name="_Toc525912441"/>
      <w:bookmarkStart w:id="51" w:name="_Ref464060009"/>
      <w:bookmarkStart w:id="52" w:name="_Toc140836337"/>
      <w:r w:rsidRPr="000D43C1">
        <w:rPr>
          <w:rFonts w:asciiTheme="minorHAnsi" w:hAnsiTheme="minorHAnsi"/>
          <w:sz w:val="22"/>
          <w:lang w:val="en"/>
        </w:rPr>
        <w:t>Contact person and communication</w:t>
      </w:r>
      <w:bookmarkEnd w:id="50"/>
      <w:bookmarkEnd w:id="51"/>
      <w:bookmarkEnd w:id="52"/>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00C136C2" w14:textId="7FCBEC99" w:rsidR="00A938F3" w:rsidRDefault="00D07897" w:rsidP="00DD2C2C">
      <w:pPr>
        <w:pStyle w:val="u"/>
        <w:widowControl w:val="0"/>
        <w:numPr>
          <w:ilvl w:val="12"/>
          <w:numId w:val="0"/>
        </w:numPr>
        <w:spacing w:after="120"/>
        <w:ind w:left="561"/>
        <w:rPr>
          <w:rFonts w:asciiTheme="minorHAnsi" w:hAnsiTheme="minorHAnsi" w:cs="Arial"/>
          <w:lang w:val="en"/>
        </w:rPr>
      </w:pPr>
      <w:r w:rsidRPr="000D43C1">
        <w:rPr>
          <w:rFonts w:asciiTheme="minorHAnsi" w:hAnsiTheme="minorHAnsi" w:cs="Arial"/>
          <w:lang w:val="en"/>
        </w:rPr>
        <w:t>All correspondence shall be forwarded, all carriage costs paid, to the following addresses:</w:t>
      </w:r>
    </w:p>
    <w:p w14:paraId="01F43626" w14:textId="77777777" w:rsidR="00A938F3" w:rsidRPr="000D43C1" w:rsidRDefault="00A938F3" w:rsidP="005E1520">
      <w:pPr>
        <w:pStyle w:val="u"/>
        <w:widowControl w:val="0"/>
        <w:numPr>
          <w:ilvl w:val="12"/>
          <w:numId w:val="0"/>
        </w:numPr>
        <w:spacing w:after="120"/>
        <w:ind w:left="561"/>
        <w:rPr>
          <w:rFonts w:asciiTheme="minorHAnsi" w:hAnsiTheme="minorHAnsi" w:cs="Arial"/>
          <w:lang w:val="en-GB"/>
        </w:rPr>
      </w:pP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2EC149B4" w14:textId="56F24D0C" w:rsidR="008F3A11" w:rsidRPr="008F3A11" w:rsidRDefault="008F3A11" w:rsidP="00B2733D">
            <w:pPr>
              <w:widowControl w:val="0"/>
              <w:numPr>
                <w:ilvl w:val="12"/>
                <w:numId w:val="0"/>
              </w:numPr>
              <w:spacing w:line="240" w:lineRule="auto"/>
              <w:jc w:val="both"/>
              <w:rPr>
                <w:rFonts w:asciiTheme="minorHAnsi" w:hAnsiTheme="minorHAnsi" w:cs="Arial"/>
                <w:sz w:val="22"/>
                <w:lang w:val="en"/>
              </w:rPr>
            </w:pPr>
            <w:r w:rsidRPr="008F3A11">
              <w:rPr>
                <w:rFonts w:asciiTheme="minorHAnsi" w:hAnsiTheme="minorHAnsi" w:cs="Arial"/>
                <w:sz w:val="22"/>
                <w:lang w:val="en"/>
              </w:rPr>
              <w:t>Hakim BEJAOUI, Project Manager</w:t>
            </w:r>
          </w:p>
          <w:p w14:paraId="2882A02D" w14:textId="437AA904" w:rsidR="008F3A11" w:rsidRPr="008F3A11" w:rsidRDefault="008F3A11" w:rsidP="00B2733D">
            <w:pPr>
              <w:widowControl w:val="0"/>
              <w:numPr>
                <w:ilvl w:val="12"/>
                <w:numId w:val="0"/>
              </w:numPr>
              <w:spacing w:line="240" w:lineRule="auto"/>
              <w:jc w:val="both"/>
              <w:rPr>
                <w:rFonts w:asciiTheme="minorHAnsi" w:hAnsiTheme="minorHAnsi" w:cs="Arial"/>
                <w:sz w:val="22"/>
                <w:lang w:val="en"/>
              </w:rPr>
            </w:pPr>
            <w:r w:rsidRPr="008F3A11">
              <w:rPr>
                <w:rFonts w:asciiTheme="minorHAnsi" w:hAnsiTheme="minorHAnsi" w:cs="Arial"/>
                <w:sz w:val="22"/>
                <w:lang w:val="en"/>
              </w:rPr>
              <w:t>Sustainable development department</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t>F-75005 PARIS</w:t>
            </w:r>
          </w:p>
        </w:tc>
      </w:tr>
      <w:tr w:rsidR="00D07897" w:rsidRPr="00A05B5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3" w:name="_Toc140836338"/>
      <w:r>
        <w:rPr>
          <w:rFonts w:asciiTheme="minorHAnsi" w:hAnsiTheme="minorHAnsi"/>
          <w:sz w:val="22"/>
          <w:lang w:val="en"/>
        </w:rPr>
        <w:t>Understaking against deforestation</w:t>
      </w:r>
      <w:bookmarkEnd w:id="53"/>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lastRenderedPageBreak/>
        <w:t>Textiles ;</w:t>
      </w:r>
    </w:p>
    <w:p w14:paraId="20DC2E07"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B656E8">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B656E8">
      <w:pPr>
        <w:pStyle w:val="Paragraphedeliste"/>
        <w:numPr>
          <w:ilvl w:val="0"/>
          <w:numId w:val="1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4" w:name="_Toc140836339"/>
      <w:r w:rsidRPr="000D43C1">
        <w:rPr>
          <w:rFonts w:asciiTheme="minorHAnsi" w:hAnsiTheme="minorHAnsi"/>
          <w:b/>
          <w:bCs/>
          <w:caps/>
          <w:sz w:val="24"/>
          <w:u w:val="single"/>
          <w:lang w:val="en"/>
        </w:rPr>
        <w:t>Re-examination clause</w:t>
      </w:r>
      <w:bookmarkEnd w:id="54"/>
    </w:p>
    <w:p w14:paraId="144671E2" w14:textId="00808D2E" w:rsidR="005A7397" w:rsidRDefault="005A7397" w:rsidP="005A7397">
      <w:pPr>
        <w:pStyle w:val="u"/>
        <w:widowControl w:val="0"/>
        <w:numPr>
          <w:ilvl w:val="12"/>
          <w:numId w:val="0"/>
        </w:numPr>
        <w:spacing w:before="120"/>
        <w:ind w:left="561"/>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lang w:val="en"/>
        </w:rPr>
        <w:t>Contract</w:t>
      </w:r>
      <w:r>
        <w:rPr>
          <w:rFonts w:asciiTheme="minorHAnsi" w:hAnsiTheme="minorHAnsi" w:cstheme="minorHAnsi"/>
          <w:szCs w:val="22"/>
          <w:lang w:val="en"/>
        </w:rPr>
        <w:t xml:space="preserve"> subject to the following conditions: </w:t>
      </w:r>
    </w:p>
    <w:p w14:paraId="2320E4FB" w14:textId="7873362E" w:rsidR="005A7397" w:rsidRPr="00A938F3" w:rsidRDefault="005A7397" w:rsidP="005A7397">
      <w:pPr>
        <w:pStyle w:val="u"/>
        <w:widowControl w:val="0"/>
        <w:numPr>
          <w:ilvl w:val="0"/>
          <w:numId w:val="49"/>
        </w:numPr>
        <w:spacing w:before="120"/>
        <w:textAlignment w:val="auto"/>
        <w:rPr>
          <w:rFonts w:asciiTheme="minorHAnsi" w:hAnsiTheme="minorHAnsi" w:cstheme="minorHAnsi"/>
          <w:szCs w:val="22"/>
          <w:lang w:val="en-GB"/>
        </w:rPr>
      </w:pPr>
      <w:r w:rsidRPr="00A938F3">
        <w:rPr>
          <w:rFonts w:asciiTheme="minorHAnsi" w:hAnsiTheme="minorHAnsi" w:cstheme="minorHAnsi"/>
          <w:szCs w:val="22"/>
          <w:lang w:val="en"/>
        </w:rPr>
        <w:t>Revision of technical elements (clarification of deliverables, producer technical definitions, equipment technical documents, updated instructions, etc.)].</w:t>
      </w:r>
    </w:p>
    <w:p w14:paraId="5FBADE68" w14:textId="7CD90403" w:rsidR="005A7397" w:rsidRPr="00A938F3" w:rsidRDefault="005A7397" w:rsidP="00A938F3">
      <w:pPr>
        <w:pStyle w:val="u"/>
        <w:widowControl w:val="0"/>
        <w:numPr>
          <w:ilvl w:val="12"/>
          <w:numId w:val="0"/>
        </w:numPr>
        <w:spacing w:before="120"/>
        <w:ind w:left="561"/>
        <w:rPr>
          <w:rFonts w:asciiTheme="minorHAnsi" w:hAnsiTheme="minorHAnsi" w:cstheme="minorHAnsi"/>
          <w:szCs w:val="22"/>
          <w:lang w:val="en"/>
        </w:rPr>
      </w:pPr>
      <w:r>
        <w:rPr>
          <w:rFonts w:asciiTheme="minorHAnsi" w:hAnsiTheme="minorHAnsi" w:cstheme="minorHAnsi"/>
          <w:szCs w:val="22"/>
          <w:lang w:val="en"/>
        </w:rPr>
        <w:t xml:space="preserve">Such modifications shall be notified to the Contractor by simple exchange of correspondence via any means defined by </w:t>
      </w:r>
      <w:r w:rsidRPr="00A938F3">
        <w:rPr>
          <w:rFonts w:asciiTheme="minorHAnsi" w:hAnsiTheme="minorHAnsi" w:cstheme="minorHAnsi"/>
          <w:szCs w:val="22"/>
          <w:lang w:val="en"/>
        </w:rPr>
        <w:t>Expertise France</w:t>
      </w:r>
      <w:r>
        <w:rPr>
          <w:rFonts w:asciiTheme="minorHAnsi" w:hAnsiTheme="minorHAnsi" w:cstheme="minorHAnsi"/>
          <w:szCs w:val="22"/>
          <w:lang w:val="en"/>
        </w:rPr>
        <w:t xml:space="preserve"> guaranteeing full traceability of exchanges</w:t>
      </w:r>
      <w:r w:rsidRPr="00A938F3">
        <w:rPr>
          <w:rFonts w:asciiTheme="minorHAnsi" w:hAnsiTheme="minorHAnsi" w:cstheme="minorHAnsi"/>
          <w:szCs w:val="22"/>
          <w:lang w:val="en"/>
        </w:rPr>
        <w:t>.</w:t>
      </w:r>
    </w:p>
    <w:p w14:paraId="1E86081C" w14:textId="77777777" w:rsidR="00C64382" w:rsidRPr="000D43C1" w:rsidRDefault="00C64382"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140836340"/>
      <w:r w:rsidRPr="000D43C1">
        <w:rPr>
          <w:rFonts w:asciiTheme="minorHAnsi" w:hAnsiTheme="minorHAnsi"/>
          <w:b/>
          <w:bCs/>
          <w:caps/>
          <w:sz w:val="24"/>
          <w:u w:val="single"/>
          <w:lang w:val="en"/>
        </w:rPr>
        <w:t>Similar services</w:t>
      </w:r>
      <w:bookmarkEnd w:id="55"/>
      <w:bookmarkEnd w:id="56"/>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140836341"/>
      <w:r w:rsidRPr="000F76A5">
        <w:rPr>
          <w:rFonts w:asciiTheme="minorHAnsi" w:hAnsiTheme="minorHAnsi"/>
          <w:b/>
          <w:bCs/>
          <w:caps/>
          <w:sz w:val="24"/>
          <w:u w:val="single"/>
          <w:lang w:val="en"/>
        </w:rPr>
        <w:t>penalties</w:t>
      </w:r>
      <w:bookmarkEnd w:id="57"/>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58" w:name="_Toc140836342"/>
      <w:r w:rsidRPr="000F76A5">
        <w:rPr>
          <w:rFonts w:asciiTheme="minorHAnsi" w:hAnsiTheme="minorHAnsi"/>
          <w:sz w:val="22"/>
          <w:szCs w:val="22"/>
          <w:lang w:val="en"/>
        </w:rPr>
        <w:t>Penalties for periodic documentary deliverables</w:t>
      </w:r>
      <w:bookmarkEnd w:id="58"/>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59" w:name="_Toc140836343"/>
      <w:r w:rsidRPr="000F76A5">
        <w:rPr>
          <w:rFonts w:asciiTheme="minorHAnsi" w:hAnsiTheme="minorHAnsi"/>
          <w:sz w:val="22"/>
          <w:szCs w:val="22"/>
          <w:lang w:val="en"/>
        </w:rPr>
        <w:t>Penalties applicable to submission of final deliverables</w:t>
      </w:r>
      <w:bookmarkEnd w:id="59"/>
    </w:p>
    <w:p w14:paraId="0F91277D" w14:textId="0FC1935F" w:rsidR="005A7397" w:rsidRPr="00A938F3" w:rsidRDefault="00197CF8" w:rsidP="00A938F3">
      <w:pPr>
        <w:pStyle w:val="u"/>
        <w:widowControl w:val="0"/>
        <w:numPr>
          <w:ilvl w:val="12"/>
          <w:numId w:val="0"/>
        </w:numPr>
        <w:ind w:left="562"/>
        <w:rPr>
          <w:rFonts w:asciiTheme="minorHAnsi" w:hAnsiTheme="minorHAnsi" w:cs="Arial"/>
          <w:szCs w:val="22"/>
          <w:lang w:val="en"/>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0" w:name="_Toc140836344"/>
      <w:r w:rsidRPr="000F76A5">
        <w:rPr>
          <w:rFonts w:asciiTheme="minorHAnsi" w:hAnsiTheme="minorHAnsi"/>
          <w:b/>
          <w:bCs/>
          <w:caps/>
          <w:sz w:val="24"/>
          <w:u w:val="single"/>
          <w:lang w:val="en"/>
        </w:rPr>
        <w:t>intellectual property</w:t>
      </w:r>
      <w:bookmarkEnd w:id="60"/>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1" w:name="_Toc140836345"/>
      <w:bookmarkStart w:id="62" w:name="_Toc392669651"/>
      <w:r w:rsidRPr="000F76A5">
        <w:rPr>
          <w:rFonts w:asciiTheme="minorHAnsi" w:hAnsiTheme="minorHAnsi"/>
          <w:sz w:val="22"/>
          <w:szCs w:val="22"/>
          <w:lang w:val="en"/>
        </w:rPr>
        <w:t>Definitions</w:t>
      </w:r>
      <w:bookmarkEnd w:id="61"/>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B656E8">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B656E8">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B656E8">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3" w:name="_Toc140836346"/>
      <w:r w:rsidRPr="000F76A5">
        <w:rPr>
          <w:rFonts w:asciiTheme="minorHAnsi" w:hAnsiTheme="minorHAnsi"/>
          <w:sz w:val="22"/>
          <w:szCs w:val="22"/>
          <w:lang w:val="en"/>
        </w:rPr>
        <w:t>Ownership of results</w:t>
      </w:r>
      <w:bookmarkEnd w:id="63"/>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4" w:name="_Toc140836347"/>
      <w:r w:rsidRPr="000F76A5">
        <w:rPr>
          <w:rFonts w:asciiTheme="minorHAnsi" w:hAnsiTheme="minorHAnsi"/>
          <w:sz w:val="22"/>
          <w:szCs w:val="22"/>
          <w:lang w:val="en"/>
        </w:rPr>
        <w:t>Exploitation of results</w:t>
      </w:r>
      <w:bookmarkEnd w:id="64"/>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B656E8">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B656E8">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B656E8">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B656E8">
      <w:pPr>
        <w:pStyle w:val="Paragraphedeliste"/>
        <w:numPr>
          <w:ilvl w:val="1"/>
          <w:numId w:val="1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B656E8">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B656E8">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B656E8">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B656E8">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B656E8">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B656E8">
      <w:pPr>
        <w:pStyle w:val="Paragraphedeliste"/>
        <w:numPr>
          <w:ilvl w:val="0"/>
          <w:numId w:val="11"/>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B656E8">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B656E8">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B656E8">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B656E8">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B656E8">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5" w:name="_Toc140836348"/>
      <w:r w:rsidRPr="000F76A5">
        <w:rPr>
          <w:rFonts w:asciiTheme="minorHAnsi" w:hAnsiTheme="minorHAnsi"/>
          <w:sz w:val="22"/>
          <w:szCs w:val="22"/>
          <w:lang w:val="en"/>
        </w:rPr>
        <w:t>Licensing of pre-existing rights</w:t>
      </w:r>
      <w:bookmarkEnd w:id="65"/>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w:t>
      </w:r>
      <w:r w:rsidRPr="000F76A5">
        <w:rPr>
          <w:rFonts w:asciiTheme="minorHAnsi" w:eastAsia="Times New Roman" w:hAnsiTheme="minorHAnsi" w:cs="Arial"/>
          <w:sz w:val="22"/>
          <w:szCs w:val="22"/>
          <w:lang w:val="en"/>
        </w:rPr>
        <w:lastRenderedPageBreak/>
        <w:t xml:space="preserve">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6" w:name="_Toc140836349"/>
      <w:r w:rsidRPr="000F76A5">
        <w:rPr>
          <w:rFonts w:asciiTheme="minorHAnsi" w:hAnsiTheme="minorHAnsi"/>
          <w:sz w:val="22"/>
          <w:szCs w:val="22"/>
          <w:lang w:val="en"/>
        </w:rPr>
        <w:t>Guarantees</w:t>
      </w:r>
      <w:bookmarkEnd w:id="66"/>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7" w:name="_Toc140836350"/>
      <w:r w:rsidRPr="000F76A5">
        <w:rPr>
          <w:rFonts w:asciiTheme="minorHAnsi" w:hAnsiTheme="minorHAnsi"/>
          <w:sz w:val="22"/>
          <w:szCs w:val="22"/>
          <w:lang w:val="en"/>
        </w:rPr>
        <w:t>Image rights</w:t>
      </w:r>
      <w:bookmarkEnd w:id="67"/>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8" w:name="_Toc140836351"/>
      <w:bookmarkEnd w:id="62"/>
      <w:r w:rsidRPr="0026644D">
        <w:rPr>
          <w:rFonts w:asciiTheme="minorHAnsi" w:hAnsiTheme="minorHAnsi"/>
          <w:b/>
          <w:bCs/>
          <w:caps/>
          <w:sz w:val="24"/>
          <w:u w:val="single"/>
          <w:lang w:val="en"/>
        </w:rPr>
        <w:t>Termination of the contract</w:t>
      </w:r>
      <w:bookmarkEnd w:id="68"/>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69" w:name="_Toc140836352"/>
      <w:r w:rsidRPr="0026644D">
        <w:rPr>
          <w:rFonts w:asciiTheme="minorHAnsi" w:hAnsiTheme="minorHAnsi" w:cstheme="minorHAnsi"/>
          <w:sz w:val="22"/>
          <w:szCs w:val="22"/>
          <w:lang w:val="en"/>
        </w:rPr>
        <w:t>General terms of performance</w:t>
      </w:r>
      <w:bookmarkEnd w:id="69"/>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442CACAA"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Pr="008F3A11">
        <w:rPr>
          <w:rFonts w:asciiTheme="minorHAnsi" w:hAnsiTheme="minorHAnsi" w:cstheme="minorHAnsi"/>
          <w:sz w:val="22"/>
          <w:szCs w:val="22"/>
          <w:lang w:val="en-US"/>
        </w:rPr>
        <w:t>Article [40 of the CCAG PI] [42 of the CCAG FCS] [52 of the CCAG TIC],</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0" w:name="_Toc140836353"/>
      <w:r w:rsidRPr="0026644D">
        <w:rPr>
          <w:rFonts w:asciiTheme="minorHAnsi" w:hAnsiTheme="minorHAnsi" w:cstheme="minorHAnsi"/>
          <w:sz w:val="22"/>
          <w:szCs w:val="22"/>
          <w:lang w:val="en"/>
        </w:rPr>
        <w:t>Termination of the Contract due to the non-availability of a designated expert</w:t>
      </w:r>
      <w:bookmarkEnd w:id="70"/>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38356850"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w:t>
      </w:r>
      <w:r w:rsidR="008F3A11">
        <w:rPr>
          <w:rFonts w:asciiTheme="minorHAnsi" w:hAnsiTheme="minorHAnsi" w:cstheme="minorHAnsi"/>
          <w:sz w:val="22"/>
          <w:szCs w:val="22"/>
          <w:lang w:val="en"/>
        </w:rPr>
        <w:t>3</w:t>
      </w:r>
      <w:r w:rsidRPr="0026644D">
        <w:rPr>
          <w:rFonts w:asciiTheme="minorHAnsi" w:hAnsiTheme="minorHAnsi" w:cstheme="minorHAnsi"/>
          <w:sz w:val="22"/>
          <w:szCs w:val="22"/>
          <w:lang w:val="en"/>
        </w:rPr>
        <w:t xml:space="preserve">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1" w:name="_Toc140836354"/>
      <w:r w:rsidRPr="0026644D">
        <w:rPr>
          <w:rFonts w:asciiTheme="minorHAnsi" w:hAnsiTheme="minorHAnsi" w:cstheme="minorHAnsi"/>
          <w:sz w:val="22"/>
          <w:szCs w:val="22"/>
          <w:lang w:val="en"/>
        </w:rPr>
        <w:t>Procedure</w:t>
      </w:r>
      <w:bookmarkEnd w:id="71"/>
    </w:p>
    <w:p w14:paraId="4761D05B" w14:textId="20AD9D44" w:rsidR="003D6B1E" w:rsidRDefault="005D2A80" w:rsidP="00CF443E">
      <w:pPr>
        <w:widowControl w:val="0"/>
        <w:tabs>
          <w:tab w:val="left" w:pos="567"/>
        </w:tabs>
        <w:spacing w:before="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t>
      </w:r>
      <w:r w:rsidRPr="0026644D">
        <w:rPr>
          <w:rFonts w:asciiTheme="minorHAnsi" w:hAnsiTheme="minorHAnsi" w:cstheme="minorHAnsi"/>
          <w:sz w:val="22"/>
          <w:szCs w:val="22"/>
          <w:lang w:val="en"/>
        </w:rPr>
        <w:lastRenderedPageBreak/>
        <w:t xml:space="preserve">with acknowledgement of receipt. It shall state the effective date of termination. </w:t>
      </w:r>
    </w:p>
    <w:p w14:paraId="0243853B" w14:textId="1C5723A3" w:rsidR="008F3A11" w:rsidRPr="008F3A11" w:rsidRDefault="008D2C3F"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2"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2"/>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3"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4" w:name="_Toc126923320"/>
      <w:bookmarkStart w:id="75" w:name="_Toc127876026"/>
      <w:bookmarkStart w:id="76" w:name="_Toc140836356"/>
      <w:bookmarkStart w:id="77" w:name="_Toc140836357"/>
      <w:bookmarkEnd w:id="73"/>
      <w:bookmarkEnd w:id="74"/>
      <w:bookmarkEnd w:id="75"/>
      <w:bookmarkEnd w:id="76"/>
      <w:r w:rsidRPr="0026644D">
        <w:rPr>
          <w:rFonts w:asciiTheme="minorHAnsi" w:hAnsiTheme="minorHAnsi"/>
          <w:b/>
          <w:bCs/>
          <w:caps/>
          <w:sz w:val="24"/>
          <w:u w:val="single"/>
          <w:lang w:val="en"/>
        </w:rPr>
        <w:t>ethics</w:t>
      </w:r>
      <w:bookmarkEnd w:id="77"/>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8" w:name="_Toc70411566"/>
      <w:bookmarkStart w:id="79" w:name="_Toc70411012"/>
      <w:bookmarkStart w:id="80" w:name="_Toc70410878"/>
      <w:bookmarkStart w:id="81" w:name="_Toc70411565"/>
      <w:bookmarkStart w:id="82" w:name="_Toc70411011"/>
      <w:bookmarkStart w:id="83" w:name="_Toc70410877"/>
      <w:bookmarkStart w:id="84" w:name="_Toc70411564"/>
      <w:bookmarkStart w:id="85" w:name="_Toc70411010"/>
      <w:bookmarkStart w:id="86" w:name="_Toc70410876"/>
      <w:bookmarkStart w:id="87" w:name="_Toc70411560"/>
      <w:bookmarkStart w:id="88" w:name="_Toc70411006"/>
      <w:bookmarkStart w:id="89" w:name="_Toc70410872"/>
      <w:bookmarkStart w:id="90" w:name="_Toc70411559"/>
      <w:bookmarkStart w:id="91" w:name="_Toc70411005"/>
      <w:bookmarkStart w:id="92" w:name="_Toc70410871"/>
      <w:bookmarkStart w:id="93" w:name="_Toc70411556"/>
      <w:bookmarkStart w:id="94" w:name="_Toc70411002"/>
      <w:bookmarkStart w:id="95" w:name="_Toc70410868"/>
      <w:bookmarkStart w:id="96" w:name="_Toc70411555"/>
      <w:bookmarkStart w:id="97" w:name="_Toc70411001"/>
      <w:bookmarkStart w:id="98" w:name="_Toc70410867"/>
      <w:bookmarkStart w:id="99" w:name="_Toc70411554"/>
      <w:bookmarkStart w:id="100" w:name="_Toc70411000"/>
      <w:bookmarkStart w:id="101" w:name="_Toc70410866"/>
      <w:bookmarkStart w:id="102" w:name="_Toc70411551"/>
      <w:bookmarkStart w:id="103" w:name="_Toc70410997"/>
      <w:bookmarkStart w:id="104" w:name="_Toc70410863"/>
      <w:bookmarkStart w:id="105" w:name="_Toc70411550"/>
      <w:bookmarkStart w:id="106" w:name="_Toc70410996"/>
      <w:bookmarkStart w:id="107" w:name="_Toc70410862"/>
      <w:bookmarkStart w:id="108" w:name="_Toc70411549"/>
      <w:bookmarkStart w:id="109" w:name="_Toc70410995"/>
      <w:bookmarkStart w:id="110" w:name="_Toc70410861"/>
      <w:bookmarkStart w:id="111" w:name="_Toc70411548"/>
      <w:bookmarkStart w:id="112" w:name="_Toc70410994"/>
      <w:bookmarkStart w:id="113" w:name="_Toc70410860"/>
      <w:bookmarkStart w:id="114" w:name="_Toc70411547"/>
      <w:bookmarkStart w:id="115" w:name="_Toc70410993"/>
      <w:bookmarkStart w:id="116" w:name="_Toc70410859"/>
      <w:bookmarkStart w:id="117" w:name="_Toc70411546"/>
      <w:bookmarkStart w:id="118" w:name="_Toc70410992"/>
      <w:bookmarkStart w:id="119" w:name="_Toc70410858"/>
      <w:bookmarkStart w:id="120" w:name="_Toc70411545"/>
      <w:bookmarkStart w:id="121" w:name="_Toc70410991"/>
      <w:bookmarkStart w:id="122" w:name="_Toc70410857"/>
      <w:bookmarkStart w:id="123" w:name="_Toc140836358"/>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80375E">
        <w:rPr>
          <w:rFonts w:asciiTheme="minorHAnsi" w:hAnsiTheme="minorHAnsi"/>
          <w:b/>
          <w:bCs/>
          <w:caps/>
          <w:sz w:val="24"/>
          <w:u w:val="single"/>
          <w:lang w:val="en"/>
        </w:rPr>
        <w:t>Administration of personal data</w:t>
      </w:r>
      <w:bookmarkEnd w:id="123"/>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B656E8">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B656E8">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B656E8">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B656E8">
      <w:pPr>
        <w:widowControl w:val="0"/>
        <w:numPr>
          <w:ilvl w:val="0"/>
          <w:numId w:val="15"/>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lastRenderedPageBreak/>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4" w:name="_Toc69226591"/>
      <w:r w:rsidRPr="0080375E">
        <w:rPr>
          <w:rFonts w:asciiTheme="minorHAnsi" w:eastAsia="Times New Roman" w:hAnsiTheme="minorHAnsi" w:cstheme="minorHAnsi"/>
          <w:sz w:val="22"/>
          <w:szCs w:val="22"/>
          <w:lang w:val="en"/>
        </w:rPr>
        <w:t>]</w:t>
      </w:r>
    </w:p>
    <w:p w14:paraId="6498F49D" w14:textId="77777777" w:rsidR="002A19B9" w:rsidRPr="00025DBE" w:rsidRDefault="002A19B9"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5" w:name="_Toc140836359"/>
      <w:bookmarkEnd w:id="124"/>
      <w:r w:rsidRPr="00025DBE">
        <w:rPr>
          <w:rFonts w:asciiTheme="minorHAnsi" w:hAnsiTheme="minorHAnsi"/>
          <w:b/>
          <w:bCs/>
          <w:caps/>
          <w:sz w:val="24"/>
          <w:u w:val="single"/>
          <w:lang w:val="en"/>
        </w:rPr>
        <w:t>Dispute resolution - applicable law</w:t>
      </w:r>
      <w:bookmarkEnd w:id="125"/>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6" w:name="_Toc126923324"/>
      <w:bookmarkStart w:id="127" w:name="_Toc127876030"/>
      <w:bookmarkStart w:id="128" w:name="_Toc140836360"/>
      <w:bookmarkStart w:id="129" w:name="_Toc140836361"/>
      <w:bookmarkEnd w:id="126"/>
      <w:bookmarkEnd w:id="127"/>
      <w:bookmarkEnd w:id="128"/>
      <w:r w:rsidRPr="00D31A4D">
        <w:rPr>
          <w:rFonts w:asciiTheme="minorHAnsi" w:hAnsiTheme="minorHAnsi"/>
          <w:b/>
          <w:bCs/>
          <w:caps/>
          <w:sz w:val="24"/>
          <w:u w:val="single"/>
          <w:lang w:val="en"/>
        </w:rPr>
        <w:t>Derogation from the CCAG</w:t>
      </w:r>
      <w:bookmarkEnd w:id="129"/>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B656E8">
      <w:pPr>
        <w:pStyle w:val="Paragraphedeliste"/>
        <w:widowControl w:val="0"/>
        <w:numPr>
          <w:ilvl w:val="0"/>
          <w:numId w:val="2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B656E8">
      <w:pPr>
        <w:pStyle w:val="Paragraphedeliste"/>
        <w:widowControl w:val="0"/>
        <w:numPr>
          <w:ilvl w:val="0"/>
          <w:numId w:val="2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0" w:name="_Toc140836362"/>
      <w:r w:rsidRPr="00F13E6E">
        <w:rPr>
          <w:rFonts w:asciiTheme="minorHAnsi" w:hAnsiTheme="minorHAnsi"/>
          <w:b/>
          <w:bCs/>
          <w:caps/>
          <w:sz w:val="24"/>
          <w:u w:val="single"/>
          <w:lang w:val="en"/>
        </w:rPr>
        <w:t>AUDIT</w:t>
      </w:r>
      <w:bookmarkEnd w:id="130"/>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1"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B656E8">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B656E8">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B656E8">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B656E8">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lastRenderedPageBreak/>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B656E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1"/>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2" w:name="_Toc392669654"/>
      <w:bookmarkStart w:id="133" w:name="_Toc140836364"/>
      <w:r w:rsidRPr="00D31A4D">
        <w:rPr>
          <w:rFonts w:asciiTheme="minorHAnsi" w:hAnsiTheme="minorHAnsi"/>
          <w:sz w:val="22"/>
          <w:szCs w:val="22"/>
          <w:lang w:val="en"/>
        </w:rPr>
        <w:t>Declaration</w:t>
      </w:r>
      <w:bookmarkEnd w:id="132"/>
      <w:bookmarkEnd w:id="133"/>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B656E8">
      <w:pPr>
        <w:pStyle w:val="Paragraphedeliste"/>
        <w:numPr>
          <w:ilvl w:val="0"/>
          <w:numId w:val="16"/>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B656E8">
      <w:pPr>
        <w:pStyle w:val="Paragraphedeliste"/>
        <w:numPr>
          <w:ilvl w:val="0"/>
          <w:numId w:val="16"/>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B656E8">
      <w:pPr>
        <w:pStyle w:val="Paragraphedeliste"/>
        <w:numPr>
          <w:ilvl w:val="0"/>
          <w:numId w:val="16"/>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B656E8">
      <w:pPr>
        <w:pStyle w:val="Paragraphedeliste"/>
        <w:numPr>
          <w:ilvl w:val="0"/>
          <w:numId w:val="16"/>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B656E8">
      <w:pPr>
        <w:pStyle w:val="Paragraphedeliste"/>
        <w:numPr>
          <w:ilvl w:val="0"/>
          <w:numId w:val="16"/>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B656E8">
      <w:pPr>
        <w:pStyle w:val="En-tte"/>
        <w:numPr>
          <w:ilvl w:val="0"/>
          <w:numId w:val="17"/>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B656E8">
      <w:pPr>
        <w:pStyle w:val="En-tte"/>
        <w:numPr>
          <w:ilvl w:val="0"/>
          <w:numId w:val="17"/>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B656E8">
      <w:pPr>
        <w:pStyle w:val="En-tte"/>
        <w:numPr>
          <w:ilvl w:val="0"/>
          <w:numId w:val="18"/>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B656E8">
      <w:pPr>
        <w:pStyle w:val="En-tte"/>
        <w:numPr>
          <w:ilvl w:val="0"/>
          <w:numId w:val="18"/>
        </w:numPr>
        <w:jc w:val="both"/>
        <w:rPr>
          <w:rFonts w:ascii="Calibri" w:hAnsi="Calibri"/>
          <w:sz w:val="22"/>
          <w:lang w:val="en-GB"/>
        </w:rPr>
      </w:pPr>
      <w:r>
        <w:rPr>
          <w:rFonts w:ascii="Calibri" w:hAnsi="Calibri"/>
          <w:sz w:val="22"/>
          <w:lang w:val="en-GB"/>
        </w:rPr>
        <w:lastRenderedPageBreak/>
        <w:t xml:space="preserve">for the European Union, the lists can be consulted at the following address: </w:t>
      </w:r>
      <w:hyperlink r:id="rId23"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B656E8">
      <w:pPr>
        <w:pStyle w:val="En-tte"/>
        <w:numPr>
          <w:ilvl w:val="0"/>
          <w:numId w:val="18"/>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B656E8">
      <w:pPr>
        <w:pStyle w:val="En-tte"/>
        <w:numPr>
          <w:ilvl w:val="0"/>
          <w:numId w:val="18"/>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B656E8">
      <w:pPr>
        <w:pStyle w:val="En-tte"/>
        <w:numPr>
          <w:ilvl w:val="0"/>
          <w:numId w:val="17"/>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DD2C2C" w:rsidP="00273C7F">
      <w:pPr>
        <w:pStyle w:val="En-tte"/>
        <w:ind w:left="851"/>
        <w:jc w:val="both"/>
        <w:rPr>
          <w:rFonts w:ascii="Calibri" w:hAnsi="Calibri"/>
          <w:sz w:val="22"/>
          <w:lang w:val="en-GB"/>
        </w:rPr>
      </w:pPr>
      <w:hyperlink r:id="rId26"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6992158B" w14:textId="00007292" w:rsidR="0050492A" w:rsidRDefault="00645FEE" w:rsidP="00DD2C2C">
      <w:pPr>
        <w:pStyle w:val="v"/>
        <w:widowControl w:val="0"/>
        <w:spacing w:before="600" w:after="240"/>
        <w:ind w:left="357" w:firstLine="0"/>
        <w:jc w:val="left"/>
        <w:outlineLvl w:val="0"/>
        <w:rPr>
          <w:rFonts w:asciiTheme="minorHAnsi" w:hAnsiTheme="minorHAnsi"/>
          <w:b/>
          <w:bCs/>
          <w:caps/>
          <w:sz w:val="24"/>
          <w:lang w:val="en"/>
        </w:rPr>
      </w:pPr>
      <w:bookmarkStart w:id="134" w:name="_Toc140836365"/>
      <w:r>
        <w:rPr>
          <w:rFonts w:asciiTheme="minorHAnsi" w:hAnsiTheme="minorHAnsi"/>
          <w:b/>
          <w:bCs/>
          <w:caps/>
          <w:sz w:val="24"/>
          <w:lang w:val="en"/>
        </w:rPr>
        <w:lastRenderedPageBreak/>
        <w:t>A</w:t>
      </w:r>
      <w:r w:rsidR="00E551F2">
        <w:rPr>
          <w:rFonts w:asciiTheme="minorHAnsi" w:hAnsiTheme="minorHAnsi"/>
          <w:b/>
          <w:bCs/>
          <w:caps/>
          <w:sz w:val="24"/>
          <w:lang w:val="en"/>
        </w:rPr>
        <w:t>nnex 1: Specifications</w:t>
      </w:r>
      <w:bookmarkEnd w:id="134"/>
    </w:p>
    <w:p w14:paraId="102E62D8" w14:textId="77777777" w:rsidR="00DD2C2C" w:rsidRPr="009E6842" w:rsidRDefault="00DD2C2C" w:rsidP="00DD2C2C">
      <w:pPr>
        <w:pBdr>
          <w:top w:val="single" w:sz="4" w:space="0" w:color="000000"/>
          <w:left w:val="single" w:sz="4" w:space="4" w:color="000000"/>
          <w:bottom w:val="single" w:sz="4" w:space="13" w:color="000000"/>
          <w:right w:val="single" w:sz="4" w:space="4" w:color="000000"/>
        </w:pBdr>
        <w:spacing w:before="100" w:beforeAutospacing="1" w:after="100" w:afterAutospacing="1"/>
        <w:jc w:val="center"/>
        <w:outlineLvl w:val="2"/>
        <w:rPr>
          <w:rFonts w:cs="Arial"/>
          <w:b/>
          <w:bCs/>
          <w:sz w:val="32"/>
          <w:szCs w:val="27"/>
          <w:lang w:val="en-US"/>
        </w:rPr>
      </w:pPr>
      <w:bookmarkStart w:id="135" w:name="_Toc322967809"/>
      <w:bookmarkStart w:id="136" w:name="_Toc54022773"/>
      <w:r w:rsidRPr="009E6842">
        <w:rPr>
          <w:rFonts w:cs="Arial"/>
          <w:b/>
          <w:bCs/>
          <w:sz w:val="32"/>
          <w:szCs w:val="27"/>
          <w:lang w:val="en-US"/>
        </w:rPr>
        <w:t xml:space="preserve">Terms of Reference </w:t>
      </w:r>
    </w:p>
    <w:p w14:paraId="5E92AA85" w14:textId="77777777" w:rsidR="00DD2C2C" w:rsidRDefault="00DD2C2C" w:rsidP="00DD2C2C">
      <w:pPr>
        <w:pBdr>
          <w:top w:val="single" w:sz="4" w:space="0" w:color="000000"/>
          <w:left w:val="single" w:sz="4" w:space="4" w:color="000000"/>
          <w:bottom w:val="single" w:sz="4" w:space="13" w:color="000000"/>
          <w:right w:val="single" w:sz="4" w:space="4" w:color="000000"/>
        </w:pBdr>
        <w:spacing w:before="100" w:beforeAutospacing="1" w:after="100" w:afterAutospacing="1"/>
        <w:jc w:val="center"/>
        <w:outlineLvl w:val="2"/>
        <w:rPr>
          <w:rFonts w:cs="Arial"/>
          <w:b/>
          <w:bCs/>
          <w:sz w:val="32"/>
          <w:szCs w:val="27"/>
          <w:lang w:val="en-US"/>
        </w:rPr>
      </w:pPr>
      <w:r w:rsidRPr="009E6842">
        <w:rPr>
          <w:rFonts w:cs="Arial"/>
          <w:b/>
          <w:bCs/>
          <w:sz w:val="32"/>
          <w:szCs w:val="27"/>
          <w:lang w:val="en-US"/>
        </w:rPr>
        <w:t>Energy Policy Based Loan Monitoring</w:t>
      </w:r>
    </w:p>
    <w:tbl>
      <w:tblPr>
        <w:tblW w:w="941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012"/>
        <w:gridCol w:w="6400"/>
      </w:tblGrid>
      <w:tr w:rsidR="00DD2C2C" w:rsidRPr="00D230BD" w14:paraId="02911143" w14:textId="77777777" w:rsidTr="00DD2C2C">
        <w:trPr>
          <w:trHeight w:val="986"/>
        </w:trPr>
        <w:tc>
          <w:tcPr>
            <w:tcW w:w="3012" w:type="dxa"/>
            <w:tcBorders>
              <w:top w:val="single" w:sz="4" w:space="0" w:color="auto"/>
              <w:bottom w:val="single" w:sz="4" w:space="0" w:color="auto"/>
              <w:right w:val="single" w:sz="2" w:space="0" w:color="000000"/>
            </w:tcBorders>
            <w:shd w:val="clear" w:color="auto" w:fill="E6E6E6"/>
            <w:vAlign w:val="center"/>
          </w:tcPr>
          <w:p w14:paraId="3BA4970B" w14:textId="77777777" w:rsidR="00DD2C2C" w:rsidRPr="00D230BD" w:rsidRDefault="00DD2C2C" w:rsidP="00DD2C2C">
            <w:pPr>
              <w:rPr>
                <w:rFonts w:cstheme="minorHAnsi"/>
              </w:rPr>
            </w:pPr>
            <w:r w:rsidRPr="00D230BD">
              <w:rPr>
                <w:rFonts w:cstheme="minorHAnsi"/>
              </w:rPr>
              <w:t>Project name</w:t>
            </w:r>
          </w:p>
        </w:tc>
        <w:tc>
          <w:tcPr>
            <w:tcW w:w="6400" w:type="dxa"/>
            <w:tcBorders>
              <w:top w:val="single" w:sz="4" w:space="0" w:color="auto"/>
              <w:left w:val="single" w:sz="2" w:space="0" w:color="000000"/>
              <w:bottom w:val="single" w:sz="4" w:space="0" w:color="auto"/>
            </w:tcBorders>
            <w:vAlign w:val="center"/>
          </w:tcPr>
          <w:p w14:paraId="34435BF6" w14:textId="77777777" w:rsidR="00DD2C2C" w:rsidRPr="00D230BD" w:rsidRDefault="00DD2C2C" w:rsidP="00DD2C2C">
            <w:pPr>
              <w:jc w:val="center"/>
              <w:rPr>
                <w:rFonts w:cstheme="minorHAnsi"/>
              </w:rPr>
            </w:pPr>
            <w:r w:rsidRPr="00D230BD">
              <w:rPr>
                <w:rFonts w:cstheme="minorHAnsi"/>
              </w:rPr>
              <w:t>Uzbekistan Energy sector technical assistance program</w:t>
            </w:r>
          </w:p>
          <w:p w14:paraId="172BB37A" w14:textId="77777777" w:rsidR="00DD2C2C" w:rsidRPr="00D230BD" w:rsidRDefault="00DD2C2C" w:rsidP="00DD2C2C">
            <w:pPr>
              <w:jc w:val="center"/>
              <w:rPr>
                <w:rFonts w:cstheme="minorHAnsi"/>
              </w:rPr>
            </w:pPr>
            <w:r w:rsidRPr="00D230BD">
              <w:rPr>
                <w:rFonts w:cstheme="minorHAnsi"/>
              </w:rPr>
              <w:t>23DDU0C027</w:t>
            </w:r>
          </w:p>
        </w:tc>
      </w:tr>
      <w:tr w:rsidR="00DD2C2C" w:rsidRPr="00D230BD" w14:paraId="07DE37BA" w14:textId="77777777" w:rsidTr="00DD2C2C">
        <w:trPr>
          <w:trHeight w:val="986"/>
        </w:trPr>
        <w:tc>
          <w:tcPr>
            <w:tcW w:w="3012" w:type="dxa"/>
            <w:tcBorders>
              <w:top w:val="single" w:sz="4" w:space="0" w:color="auto"/>
              <w:bottom w:val="single" w:sz="4" w:space="0" w:color="auto"/>
              <w:right w:val="single" w:sz="2" w:space="0" w:color="000000"/>
            </w:tcBorders>
            <w:shd w:val="clear" w:color="auto" w:fill="E6E6E6"/>
            <w:vAlign w:val="center"/>
          </w:tcPr>
          <w:p w14:paraId="124FE4D3" w14:textId="77777777" w:rsidR="00DD2C2C" w:rsidRPr="00D230BD" w:rsidRDefault="00DD2C2C" w:rsidP="00DD2C2C">
            <w:pPr>
              <w:rPr>
                <w:rFonts w:cstheme="minorHAnsi"/>
              </w:rPr>
            </w:pPr>
            <w:r w:rsidRPr="00D230BD">
              <w:rPr>
                <w:rFonts w:cstheme="minorHAnsi"/>
              </w:rPr>
              <w:t>Assignment name</w:t>
            </w:r>
          </w:p>
        </w:tc>
        <w:tc>
          <w:tcPr>
            <w:tcW w:w="6400" w:type="dxa"/>
            <w:tcBorders>
              <w:top w:val="single" w:sz="4" w:space="0" w:color="auto"/>
              <w:left w:val="single" w:sz="2" w:space="0" w:color="000000"/>
              <w:bottom w:val="single" w:sz="4" w:space="0" w:color="auto"/>
            </w:tcBorders>
            <w:vAlign w:val="center"/>
          </w:tcPr>
          <w:p w14:paraId="1E0A2FF3" w14:textId="77777777" w:rsidR="00DD2C2C" w:rsidRPr="00D230BD" w:rsidRDefault="00DD2C2C" w:rsidP="00DD2C2C">
            <w:pPr>
              <w:jc w:val="center"/>
              <w:rPr>
                <w:rFonts w:cstheme="minorHAnsi"/>
              </w:rPr>
            </w:pPr>
            <w:r w:rsidRPr="00D230BD">
              <w:rPr>
                <w:rFonts w:cstheme="minorHAnsi"/>
              </w:rPr>
              <w:t xml:space="preserve">Consultancy for </w:t>
            </w:r>
            <w:r>
              <w:rPr>
                <w:rFonts w:cstheme="minorHAnsi"/>
              </w:rPr>
              <w:t>the Energy Policy Based Loan Monitoring</w:t>
            </w:r>
          </w:p>
        </w:tc>
      </w:tr>
      <w:tr w:rsidR="00DD2C2C" w:rsidRPr="00D230BD" w14:paraId="6B6BC052" w14:textId="77777777" w:rsidTr="00DD2C2C">
        <w:trPr>
          <w:trHeight w:val="476"/>
        </w:trPr>
        <w:tc>
          <w:tcPr>
            <w:tcW w:w="3012" w:type="dxa"/>
            <w:tcBorders>
              <w:top w:val="single" w:sz="4" w:space="0" w:color="auto"/>
              <w:bottom w:val="single" w:sz="4" w:space="0" w:color="auto"/>
              <w:right w:val="single" w:sz="2" w:space="0" w:color="000000"/>
            </w:tcBorders>
            <w:shd w:val="clear" w:color="auto" w:fill="E6E6E6"/>
            <w:vAlign w:val="center"/>
          </w:tcPr>
          <w:p w14:paraId="730C81C1" w14:textId="77777777" w:rsidR="00DD2C2C" w:rsidRPr="00D230BD" w:rsidRDefault="00DD2C2C" w:rsidP="00DD2C2C">
            <w:pPr>
              <w:spacing w:before="60"/>
              <w:outlineLvl w:val="0"/>
              <w:rPr>
                <w:rFonts w:cstheme="minorHAnsi"/>
              </w:rPr>
            </w:pPr>
            <w:r w:rsidRPr="00D230BD">
              <w:rPr>
                <w:rFonts w:cstheme="minorHAnsi"/>
                <w:lang w:val="en"/>
              </w:rPr>
              <w:t>Beneficiary</w:t>
            </w:r>
          </w:p>
        </w:tc>
        <w:tc>
          <w:tcPr>
            <w:tcW w:w="6400" w:type="dxa"/>
            <w:tcBorders>
              <w:top w:val="single" w:sz="4" w:space="0" w:color="auto"/>
              <w:left w:val="single" w:sz="2" w:space="0" w:color="000000"/>
              <w:bottom w:val="single" w:sz="4" w:space="0" w:color="auto"/>
            </w:tcBorders>
            <w:shd w:val="clear" w:color="auto" w:fill="auto"/>
          </w:tcPr>
          <w:p w14:paraId="41DAC93E" w14:textId="77777777" w:rsidR="00DD2C2C" w:rsidRPr="00D230BD" w:rsidRDefault="00DD2C2C" w:rsidP="00DD2C2C">
            <w:pPr>
              <w:spacing w:before="60"/>
              <w:jc w:val="center"/>
              <w:outlineLvl w:val="0"/>
              <w:rPr>
                <w:rFonts w:cstheme="minorHAnsi"/>
                <w:lang w:val="es-CR"/>
              </w:rPr>
            </w:pPr>
            <w:r w:rsidRPr="00D230BD">
              <w:rPr>
                <w:rFonts w:cstheme="minorHAnsi"/>
                <w:lang w:val="es-CR"/>
              </w:rPr>
              <w:t>Ministry of Energy of Uzbekistan</w:t>
            </w:r>
          </w:p>
          <w:p w14:paraId="01671A62" w14:textId="77777777" w:rsidR="00DD2C2C" w:rsidRPr="00D230BD" w:rsidRDefault="00DD2C2C" w:rsidP="00DD2C2C">
            <w:pPr>
              <w:spacing w:before="60"/>
              <w:jc w:val="center"/>
              <w:outlineLvl w:val="0"/>
              <w:rPr>
                <w:rFonts w:cstheme="minorHAnsi"/>
              </w:rPr>
            </w:pPr>
            <w:r w:rsidRPr="00D230BD">
              <w:rPr>
                <w:rFonts w:cstheme="minorHAnsi"/>
              </w:rPr>
              <w:t>Ministry of</w:t>
            </w:r>
            <w:r>
              <w:rPr>
                <w:rFonts w:cstheme="minorHAnsi"/>
              </w:rPr>
              <w:t xml:space="preserve"> Economy and Finance of Uzbekistan</w:t>
            </w:r>
          </w:p>
        </w:tc>
      </w:tr>
      <w:tr w:rsidR="00DD2C2C" w:rsidRPr="00D230BD" w14:paraId="2D66C8C8" w14:textId="77777777" w:rsidTr="00DD2C2C">
        <w:trPr>
          <w:trHeight w:val="499"/>
        </w:trPr>
        <w:tc>
          <w:tcPr>
            <w:tcW w:w="3012" w:type="dxa"/>
            <w:tcBorders>
              <w:top w:val="single" w:sz="4" w:space="0" w:color="auto"/>
              <w:bottom w:val="single" w:sz="4" w:space="0" w:color="auto"/>
              <w:right w:val="single" w:sz="2" w:space="0" w:color="000000"/>
            </w:tcBorders>
            <w:shd w:val="clear" w:color="auto" w:fill="E6E6E6"/>
            <w:vAlign w:val="center"/>
          </w:tcPr>
          <w:p w14:paraId="1FBDF5C4" w14:textId="77777777" w:rsidR="00DD2C2C" w:rsidRPr="00D230BD" w:rsidRDefault="00DD2C2C" w:rsidP="00DD2C2C">
            <w:pPr>
              <w:spacing w:before="60"/>
              <w:outlineLvl w:val="0"/>
              <w:rPr>
                <w:rFonts w:cstheme="minorHAnsi"/>
              </w:rPr>
            </w:pPr>
            <w:r w:rsidRPr="00D230BD">
              <w:rPr>
                <w:rFonts w:cstheme="minorHAnsi"/>
                <w:lang w:val="en"/>
              </w:rPr>
              <w:t>Country</w:t>
            </w:r>
          </w:p>
        </w:tc>
        <w:tc>
          <w:tcPr>
            <w:tcW w:w="6400" w:type="dxa"/>
            <w:tcBorders>
              <w:top w:val="single" w:sz="4" w:space="0" w:color="auto"/>
              <w:left w:val="single" w:sz="2" w:space="0" w:color="000000"/>
              <w:bottom w:val="single" w:sz="4" w:space="0" w:color="auto"/>
            </w:tcBorders>
            <w:shd w:val="clear" w:color="auto" w:fill="auto"/>
            <w:vAlign w:val="center"/>
          </w:tcPr>
          <w:p w14:paraId="558A157A" w14:textId="77777777" w:rsidR="00DD2C2C" w:rsidRPr="00D230BD" w:rsidRDefault="00DD2C2C" w:rsidP="00DD2C2C">
            <w:pPr>
              <w:jc w:val="center"/>
              <w:rPr>
                <w:rFonts w:cstheme="minorHAnsi"/>
              </w:rPr>
            </w:pPr>
            <w:r w:rsidRPr="00D230BD">
              <w:rPr>
                <w:rFonts w:cstheme="minorHAnsi"/>
              </w:rPr>
              <w:t>Uzbekistan</w:t>
            </w:r>
          </w:p>
        </w:tc>
      </w:tr>
      <w:tr w:rsidR="00DD2C2C" w:rsidRPr="00D230BD" w14:paraId="3FCD929C" w14:textId="77777777" w:rsidTr="00DD2C2C">
        <w:trPr>
          <w:trHeight w:val="499"/>
        </w:trPr>
        <w:tc>
          <w:tcPr>
            <w:tcW w:w="3012" w:type="dxa"/>
            <w:tcBorders>
              <w:top w:val="single" w:sz="4" w:space="0" w:color="auto"/>
              <w:bottom w:val="single" w:sz="4" w:space="0" w:color="auto"/>
              <w:right w:val="single" w:sz="2" w:space="0" w:color="000000"/>
            </w:tcBorders>
            <w:shd w:val="clear" w:color="auto" w:fill="E6E6E6"/>
            <w:vAlign w:val="center"/>
          </w:tcPr>
          <w:p w14:paraId="5B3163DE" w14:textId="77777777" w:rsidR="00DD2C2C" w:rsidRPr="00D230BD" w:rsidRDefault="00DD2C2C" w:rsidP="00DD2C2C">
            <w:pPr>
              <w:spacing w:before="60"/>
              <w:outlineLvl w:val="0"/>
              <w:rPr>
                <w:rFonts w:cstheme="minorHAnsi"/>
                <w:lang w:val="en"/>
              </w:rPr>
            </w:pPr>
            <w:r>
              <w:rPr>
                <w:rFonts w:cstheme="minorHAnsi"/>
                <w:lang w:val="en"/>
              </w:rPr>
              <w:t xml:space="preserve">Indicative </w:t>
            </w:r>
            <w:r w:rsidRPr="00D230BD">
              <w:rPr>
                <w:rFonts w:cstheme="minorHAnsi"/>
                <w:lang w:val="en"/>
              </w:rPr>
              <w:t>Duration</w:t>
            </w:r>
          </w:p>
        </w:tc>
        <w:tc>
          <w:tcPr>
            <w:tcW w:w="6400" w:type="dxa"/>
            <w:tcBorders>
              <w:top w:val="single" w:sz="4" w:space="0" w:color="auto"/>
              <w:left w:val="single" w:sz="2" w:space="0" w:color="000000"/>
              <w:bottom w:val="single" w:sz="4" w:space="0" w:color="auto"/>
            </w:tcBorders>
            <w:vAlign w:val="center"/>
          </w:tcPr>
          <w:p w14:paraId="10D112DE" w14:textId="77777777" w:rsidR="00DD2C2C" w:rsidRPr="00D230BD" w:rsidRDefault="00DD2C2C" w:rsidP="00DD2C2C">
            <w:pPr>
              <w:spacing w:before="60"/>
              <w:jc w:val="center"/>
              <w:outlineLvl w:val="0"/>
              <w:rPr>
                <w:rFonts w:cstheme="minorHAnsi"/>
                <w:lang w:val="en-US"/>
              </w:rPr>
            </w:pPr>
            <w:r>
              <w:rPr>
                <w:rFonts w:cstheme="minorHAnsi"/>
                <w:lang w:val="en-US"/>
              </w:rPr>
              <w:t>16</w:t>
            </w:r>
            <w:r w:rsidRPr="00D230BD">
              <w:rPr>
                <w:rFonts w:cstheme="minorHAnsi"/>
                <w:lang w:val="en-US"/>
              </w:rPr>
              <w:t xml:space="preserve"> months</w:t>
            </w:r>
          </w:p>
        </w:tc>
      </w:tr>
    </w:tbl>
    <w:p w14:paraId="4C7E3AD8" w14:textId="77777777" w:rsidR="00DD2C2C" w:rsidRDefault="00DD2C2C" w:rsidP="00DD2C2C">
      <w:pPr>
        <w:pStyle w:val="Titre1"/>
        <w:numPr>
          <w:ilvl w:val="0"/>
          <w:numId w:val="30"/>
        </w:numPr>
        <w:shd w:val="clear" w:color="auto" w:fill="8DB3E2" w:themeFill="text2" w:themeFillTint="66"/>
        <w:spacing w:before="240" w:after="60" w:line="240" w:lineRule="auto"/>
      </w:pPr>
      <w:r>
        <w:t>Context</w:t>
      </w:r>
      <w:bookmarkEnd w:id="135"/>
      <w:bookmarkEnd w:id="136"/>
    </w:p>
    <w:p w14:paraId="21A457F2" w14:textId="77777777" w:rsidR="00DD2C2C" w:rsidRDefault="00DD2C2C" w:rsidP="00DD2C2C">
      <w:pPr>
        <w:jc w:val="both"/>
      </w:pPr>
      <w:bookmarkStart w:id="137" w:name="_Toc322957279"/>
      <w:bookmarkStart w:id="138" w:name="_Toc322967810"/>
    </w:p>
    <w:p w14:paraId="38CEB2D6" w14:textId="77777777" w:rsidR="00DD2C2C" w:rsidRDefault="00DD2C2C" w:rsidP="00DD2C2C">
      <w:pPr>
        <w:jc w:val="both"/>
      </w:pPr>
      <w:r>
        <w:t xml:space="preserve">In August 2020, the Republic of Uzbekistan signed an Energy Climate Policy Based Loan (PBL) Phase 1 with AFD in co-financing with the Asian Development Bank (ADB). The aim of the PBL was to implement reforms in the energy sector to ensure low-carbon development. </w:t>
      </w:r>
    </w:p>
    <w:p w14:paraId="6CAF8000" w14:textId="77777777" w:rsidR="00DD2C2C" w:rsidRDefault="00DD2C2C" w:rsidP="00DD2C2C">
      <w:pPr>
        <w:jc w:val="both"/>
      </w:pPr>
    </w:p>
    <w:p w14:paraId="23CE6C0C" w14:textId="77777777" w:rsidR="00DD2C2C" w:rsidRDefault="00DD2C2C" w:rsidP="00DD2C2C">
      <w:pPr>
        <w:jc w:val="both"/>
      </w:pPr>
      <w:r>
        <w:t>In addition to this, AFD provided the 1st Technical Assistance (TA) amounting to 400 000 EUR to perform some activities in different areas such as energy regulation, electricity tariff, bioenergy, energy sector modelling, gender support and screening of future transmission projects.</w:t>
      </w:r>
    </w:p>
    <w:p w14:paraId="4113DF80" w14:textId="77777777" w:rsidR="00DD2C2C" w:rsidRDefault="00DD2C2C" w:rsidP="00DD2C2C">
      <w:pPr>
        <w:jc w:val="both"/>
      </w:pPr>
    </w:p>
    <w:p w14:paraId="327214DB" w14:textId="77777777" w:rsidR="00DD2C2C" w:rsidRDefault="00DD2C2C" w:rsidP="00DD2C2C">
      <w:pPr>
        <w:jc w:val="both"/>
      </w:pPr>
      <w:r>
        <w:t>More than 3 years after the signing of the PBL Phase 1, Uzbek authorities renew an action plan backed by a coherent budgetary and fiscal strategy aimed at tackling power sector restructuring, strengthening of the regulatory environment, improvement of financial stability, power sector decarbonisation, and energy efficiency.</w:t>
      </w:r>
    </w:p>
    <w:p w14:paraId="5D96E9DA" w14:textId="77777777" w:rsidR="00DD2C2C" w:rsidRDefault="00DD2C2C" w:rsidP="00DD2C2C">
      <w:pPr>
        <w:jc w:val="both"/>
      </w:pPr>
    </w:p>
    <w:p w14:paraId="0196374D" w14:textId="77777777" w:rsidR="00DD2C2C" w:rsidRDefault="00DD2C2C" w:rsidP="00DD2C2C">
      <w:pPr>
        <w:jc w:val="both"/>
      </w:pPr>
      <w:r>
        <w:t>Within the framework of this political commitment, the Ministry of Energy (MoE) and the Ministry of Economy &amp; Finance (MoEF) confirmed their interest for an Energy Climate Policy Based Loan (PBL) Phase 2 in 2024 with a co-financing from AFD and ADB.</w:t>
      </w:r>
    </w:p>
    <w:p w14:paraId="7AD4360C" w14:textId="77777777" w:rsidR="00DD2C2C" w:rsidRDefault="00DD2C2C" w:rsidP="00DD2C2C">
      <w:pPr>
        <w:jc w:val="both"/>
      </w:pPr>
    </w:p>
    <w:p w14:paraId="3A2A6997" w14:textId="77777777" w:rsidR="00DD2C2C" w:rsidRDefault="00DD2C2C" w:rsidP="00DD2C2C">
      <w:pPr>
        <w:jc w:val="both"/>
      </w:pPr>
      <w:r>
        <w:t xml:space="preserve">As with PBL Phase 1, AFD provide a TA of 1.5 M€ related to the PBL Phase 2 to support the authorities’ efforts in line with the previous TA described above. </w:t>
      </w:r>
    </w:p>
    <w:p w14:paraId="08219535" w14:textId="77777777" w:rsidR="00DD2C2C" w:rsidRDefault="00DD2C2C" w:rsidP="00DD2C2C">
      <w:pPr>
        <w:jc w:val="both"/>
      </w:pPr>
    </w:p>
    <w:p w14:paraId="0B65D372" w14:textId="77777777" w:rsidR="00DD2C2C" w:rsidRDefault="00DD2C2C" w:rsidP="00DD2C2C">
      <w:pPr>
        <w:jc w:val="both"/>
      </w:pPr>
      <w:r>
        <w:t>Expertise France (EF) is implementing this TA to the benefit of the Uzbek government (notably MoEF and MoE) for a period of 3 years (2023-2026).</w:t>
      </w:r>
    </w:p>
    <w:bookmarkEnd w:id="137"/>
    <w:bookmarkEnd w:id="138"/>
    <w:p w14:paraId="5C6D70F0" w14:textId="77777777" w:rsidR="00DD2C2C" w:rsidRDefault="00DD2C2C" w:rsidP="00DD2C2C">
      <w:pPr>
        <w:jc w:val="both"/>
      </w:pPr>
    </w:p>
    <w:p w14:paraId="6D928DB0" w14:textId="77777777" w:rsidR="00DD2C2C" w:rsidRDefault="00DD2C2C" w:rsidP="00DD2C2C">
      <w:pPr>
        <w:jc w:val="both"/>
      </w:pPr>
      <w:r>
        <w:t>In this context, a Matrix of public policy actions (Annex I) was built and constitutes key objectives for the Government of Uzbekistan for implementation. This policy Matrix was designed in dialogue between AFD, ADB and representatives from the Government of Uzbekistan (GoU), mainly the MoEF and the MoE. This Matrix is composed of four areas:</w:t>
      </w:r>
    </w:p>
    <w:p w14:paraId="2A52855C" w14:textId="77777777" w:rsidR="00DD2C2C" w:rsidRDefault="00DD2C2C" w:rsidP="00DD2C2C">
      <w:pPr>
        <w:jc w:val="both"/>
      </w:pPr>
    </w:p>
    <w:p w14:paraId="3AD2EDF8" w14:textId="77777777" w:rsidR="00DD2C2C" w:rsidRDefault="00DD2C2C" w:rsidP="00DD2C2C">
      <w:pPr>
        <w:pStyle w:val="Paragraphedeliste"/>
        <w:numPr>
          <w:ilvl w:val="0"/>
          <w:numId w:val="28"/>
        </w:numPr>
        <w:spacing w:after="60" w:line="276" w:lineRule="auto"/>
        <w:jc w:val="both"/>
        <w:rPr>
          <w:sz w:val="24"/>
          <w:szCs w:val="24"/>
        </w:rPr>
      </w:pPr>
      <w:r>
        <w:rPr>
          <w:sz w:val="24"/>
          <w:szCs w:val="24"/>
        </w:rPr>
        <w:t>Area 1 - Power Sector Restructured and Regulations Adopted (5 policy actions);</w:t>
      </w:r>
    </w:p>
    <w:p w14:paraId="49000AE0" w14:textId="77777777" w:rsidR="00DD2C2C" w:rsidRDefault="00DD2C2C" w:rsidP="00DD2C2C">
      <w:pPr>
        <w:pStyle w:val="Paragraphedeliste"/>
        <w:numPr>
          <w:ilvl w:val="0"/>
          <w:numId w:val="28"/>
        </w:numPr>
        <w:spacing w:after="60" w:line="276" w:lineRule="auto"/>
        <w:jc w:val="both"/>
        <w:rPr>
          <w:sz w:val="24"/>
          <w:szCs w:val="24"/>
        </w:rPr>
      </w:pPr>
      <w:r>
        <w:rPr>
          <w:sz w:val="24"/>
          <w:szCs w:val="24"/>
        </w:rPr>
        <w:t>Area 2 - Sector financial sustainability improved (5 policy actions);</w:t>
      </w:r>
    </w:p>
    <w:p w14:paraId="21AE0DAA" w14:textId="77777777" w:rsidR="00DD2C2C" w:rsidRDefault="00DD2C2C" w:rsidP="00DD2C2C">
      <w:pPr>
        <w:pStyle w:val="Paragraphedeliste"/>
        <w:numPr>
          <w:ilvl w:val="0"/>
          <w:numId w:val="28"/>
        </w:numPr>
        <w:spacing w:after="60" w:line="276" w:lineRule="auto"/>
        <w:jc w:val="both"/>
        <w:rPr>
          <w:sz w:val="24"/>
          <w:szCs w:val="24"/>
        </w:rPr>
      </w:pPr>
      <w:r>
        <w:rPr>
          <w:sz w:val="24"/>
          <w:szCs w:val="24"/>
        </w:rPr>
        <w:t>Area 3 - Power sector carbon intensity reduced (3 policy actions);</w:t>
      </w:r>
    </w:p>
    <w:p w14:paraId="2D4F07E1" w14:textId="77777777" w:rsidR="00DD2C2C" w:rsidRDefault="00DD2C2C" w:rsidP="00DD2C2C">
      <w:pPr>
        <w:pStyle w:val="Paragraphedeliste"/>
        <w:numPr>
          <w:ilvl w:val="0"/>
          <w:numId w:val="28"/>
        </w:numPr>
        <w:spacing w:after="60" w:line="276" w:lineRule="auto"/>
        <w:jc w:val="both"/>
        <w:rPr>
          <w:sz w:val="24"/>
          <w:szCs w:val="24"/>
        </w:rPr>
      </w:pPr>
      <w:r>
        <w:rPr>
          <w:sz w:val="24"/>
          <w:szCs w:val="24"/>
        </w:rPr>
        <w:t>Area 4 - Demand Side Energy Efficiency Increased (1 policy action).</w:t>
      </w:r>
    </w:p>
    <w:p w14:paraId="4BEE0367" w14:textId="77777777" w:rsidR="00DD2C2C" w:rsidRDefault="00DD2C2C" w:rsidP="00DD2C2C">
      <w:pPr>
        <w:jc w:val="both"/>
      </w:pPr>
    </w:p>
    <w:p w14:paraId="050556E5" w14:textId="77777777" w:rsidR="00DD2C2C" w:rsidRDefault="00DD2C2C" w:rsidP="00DD2C2C">
      <w:pPr>
        <w:jc w:val="both"/>
      </w:pPr>
      <w:r>
        <w:t>The Matrix includes several follow-up points (third column in the Matrix; “Follow-up points”) per public policy actions package. They describe the expected impacts (mainly technical, organisational, legal and social) after the fulfilment of the policy actions of the PBL Phase 2. Please note that these follow-up points are not binding for the government of Uzbekistan but will be used as a basis of discussion between MoEF/MoE and AFD for a multi-year dialogue.</w:t>
      </w:r>
    </w:p>
    <w:p w14:paraId="38E345D1" w14:textId="77777777" w:rsidR="00DD2C2C" w:rsidRDefault="00DD2C2C" w:rsidP="00DD2C2C">
      <w:pPr>
        <w:jc w:val="both"/>
      </w:pPr>
    </w:p>
    <w:p w14:paraId="01FA265E" w14:textId="77777777" w:rsidR="00DD2C2C" w:rsidRDefault="00DD2C2C" w:rsidP="00DD2C2C">
      <w:pPr>
        <w:jc w:val="both"/>
      </w:pPr>
      <w:r>
        <w:t>As part of this ongoing public policy dialogue, AFD also plans to monitor the policy actions completed and to be completed in the future by GoU in order to consider the possibility of an Energy Climate PBL (Phase 3).</w:t>
      </w:r>
    </w:p>
    <w:p w14:paraId="749E838A" w14:textId="77777777" w:rsidR="00DD2C2C" w:rsidRDefault="00DD2C2C" w:rsidP="00DD2C2C"/>
    <w:p w14:paraId="00294976" w14:textId="77777777" w:rsidR="00DD2C2C" w:rsidRDefault="00DD2C2C" w:rsidP="00DD2C2C">
      <w:pPr>
        <w:pStyle w:val="Titre1"/>
        <w:numPr>
          <w:ilvl w:val="0"/>
          <w:numId w:val="29"/>
        </w:numPr>
        <w:shd w:val="clear" w:color="auto" w:fill="8DB3E2" w:themeFill="text2" w:themeFillTint="66"/>
        <w:spacing w:before="240" w:after="60" w:line="240" w:lineRule="auto"/>
      </w:pPr>
      <w:bookmarkStart w:id="139" w:name="_Toc54022774"/>
      <w:r>
        <w:t>Executing entities</w:t>
      </w:r>
      <w:bookmarkEnd w:id="139"/>
      <w:r>
        <w:t xml:space="preserve"> &amp; Technical Assistance Steering Committee</w:t>
      </w:r>
    </w:p>
    <w:p w14:paraId="4AF3F5E1" w14:textId="77777777" w:rsidR="00DD2C2C" w:rsidRDefault="00DD2C2C" w:rsidP="00DD2C2C">
      <w:pPr>
        <w:jc w:val="both"/>
      </w:pPr>
    </w:p>
    <w:p w14:paraId="0C2C938E" w14:textId="77777777" w:rsidR="00DD2C2C" w:rsidRDefault="00DD2C2C" w:rsidP="00DD2C2C">
      <w:pPr>
        <w:jc w:val="both"/>
      </w:pPr>
      <w:r>
        <w:t>MoEF, MoE and the Energy Market Development and Regulatory Agency (EMDRA) are the Executing Entities for the Program (PBL and Matrix implementation). They have, among others, the following functions:</w:t>
      </w:r>
    </w:p>
    <w:p w14:paraId="25257625" w14:textId="77777777" w:rsidR="00DD2C2C" w:rsidRDefault="00DD2C2C" w:rsidP="00DD2C2C">
      <w:pPr>
        <w:jc w:val="both"/>
      </w:pPr>
    </w:p>
    <w:p w14:paraId="29322ED4" w14:textId="77777777" w:rsidR="00DD2C2C" w:rsidRDefault="00DD2C2C" w:rsidP="00DD2C2C">
      <w:pPr>
        <w:pStyle w:val="Paragraphedeliste"/>
        <w:numPr>
          <w:ilvl w:val="0"/>
          <w:numId w:val="28"/>
        </w:numPr>
        <w:spacing w:after="60" w:line="276" w:lineRule="auto"/>
        <w:jc w:val="both"/>
        <w:rPr>
          <w:sz w:val="24"/>
          <w:szCs w:val="24"/>
        </w:rPr>
      </w:pPr>
      <w:r>
        <w:rPr>
          <w:sz w:val="24"/>
          <w:szCs w:val="24"/>
        </w:rPr>
        <w:t>Collaborate with the other institutions/stakeholders to fulfill the objectives of the Matrix;</w:t>
      </w:r>
    </w:p>
    <w:p w14:paraId="053B3623" w14:textId="77777777" w:rsidR="00DD2C2C" w:rsidRDefault="00DD2C2C" w:rsidP="00DD2C2C">
      <w:pPr>
        <w:pStyle w:val="Paragraphedeliste"/>
        <w:numPr>
          <w:ilvl w:val="0"/>
          <w:numId w:val="28"/>
        </w:numPr>
        <w:spacing w:after="60" w:line="276" w:lineRule="auto"/>
        <w:jc w:val="both"/>
        <w:rPr>
          <w:sz w:val="24"/>
          <w:szCs w:val="24"/>
        </w:rPr>
      </w:pPr>
      <w:r>
        <w:rPr>
          <w:sz w:val="24"/>
          <w:szCs w:val="24"/>
        </w:rPr>
        <w:t>Organize regular meetings of the TA Steering Committee with EF;</w:t>
      </w:r>
    </w:p>
    <w:p w14:paraId="4B989C41" w14:textId="77777777" w:rsidR="00DD2C2C" w:rsidRDefault="00DD2C2C" w:rsidP="00DD2C2C">
      <w:pPr>
        <w:pStyle w:val="Paragraphedeliste"/>
        <w:numPr>
          <w:ilvl w:val="0"/>
          <w:numId w:val="28"/>
        </w:numPr>
        <w:spacing w:after="60" w:line="276" w:lineRule="auto"/>
        <w:jc w:val="both"/>
        <w:rPr>
          <w:sz w:val="24"/>
          <w:szCs w:val="24"/>
        </w:rPr>
      </w:pPr>
      <w:r>
        <w:rPr>
          <w:sz w:val="24"/>
          <w:szCs w:val="24"/>
        </w:rPr>
        <w:t>Name a focal point within each Executing Entity to facilitate the implementation of the Matrix;</w:t>
      </w:r>
    </w:p>
    <w:p w14:paraId="38AF44A7" w14:textId="77777777" w:rsidR="00DD2C2C" w:rsidRDefault="00DD2C2C" w:rsidP="00DD2C2C">
      <w:pPr>
        <w:pStyle w:val="Paragraphedeliste"/>
        <w:numPr>
          <w:ilvl w:val="0"/>
          <w:numId w:val="28"/>
        </w:numPr>
        <w:spacing w:after="60" w:line="276" w:lineRule="auto"/>
        <w:jc w:val="both"/>
        <w:rPr>
          <w:sz w:val="24"/>
          <w:szCs w:val="24"/>
        </w:rPr>
      </w:pPr>
      <w:r>
        <w:rPr>
          <w:sz w:val="24"/>
          <w:szCs w:val="24"/>
        </w:rPr>
        <w:t xml:space="preserve">Review and provide no objection to the terms of reference for TA activities undertaken in relation with the PBL and Matrix.  </w:t>
      </w:r>
    </w:p>
    <w:p w14:paraId="36E988BE" w14:textId="77777777" w:rsidR="00DD2C2C" w:rsidRDefault="00DD2C2C" w:rsidP="00DD2C2C">
      <w:pPr>
        <w:rPr>
          <w:lang w:val="en-US"/>
        </w:rPr>
      </w:pPr>
      <w:r>
        <w:rPr>
          <w:lang w:val="en-US"/>
        </w:rPr>
        <w:t>Technical Assistance Steering Committee (TASC) consist of representatives from the Ministry of Energy (Deputy Minister), Ministry of Economy and Finance (Deputy Minister), AFD deputy representative and Expertise France (team leader).</w:t>
      </w:r>
    </w:p>
    <w:p w14:paraId="382FC534" w14:textId="77777777" w:rsidR="00DD2C2C" w:rsidRDefault="00DD2C2C" w:rsidP="00DD2C2C">
      <w:pPr>
        <w:spacing w:line="240" w:lineRule="exact"/>
        <w:rPr>
          <w:lang w:val="en-US"/>
        </w:rPr>
      </w:pPr>
    </w:p>
    <w:p w14:paraId="1BAD301D" w14:textId="77777777" w:rsidR="00DD2C2C" w:rsidRDefault="00DD2C2C" w:rsidP="00DD2C2C">
      <w:pPr>
        <w:jc w:val="both"/>
        <w:rPr>
          <w:lang w:val="en-US"/>
        </w:rPr>
      </w:pPr>
      <w:r>
        <w:rPr>
          <w:lang w:val="en-US"/>
        </w:rPr>
        <w:t>TASC have annual meetings (in total three meeting throughout duration of TA) and can be consulted in an informal session during the entire implementation of the TA.</w:t>
      </w:r>
    </w:p>
    <w:p w14:paraId="5E1B824E" w14:textId="77777777" w:rsidR="00DD2C2C" w:rsidRDefault="00DD2C2C" w:rsidP="00DD2C2C">
      <w:pPr>
        <w:jc w:val="both"/>
        <w:rPr>
          <w:lang w:val="en-US"/>
        </w:rPr>
      </w:pPr>
    </w:p>
    <w:p w14:paraId="6062C5E6" w14:textId="77777777" w:rsidR="00DD2C2C" w:rsidRDefault="00DD2C2C" w:rsidP="00DD2C2C">
      <w:pPr>
        <w:jc w:val="both"/>
        <w:rPr>
          <w:lang w:val="en-US"/>
        </w:rPr>
      </w:pPr>
      <w:r>
        <w:rPr>
          <w:lang w:val="en-US"/>
        </w:rPr>
        <w:t xml:space="preserve">As indicated in section </w:t>
      </w:r>
      <w:r>
        <w:rPr>
          <w:i/>
          <w:lang w:val="en-US"/>
        </w:rPr>
        <w:t>4.Provisional schedule &amp; Deliverables</w:t>
      </w:r>
      <w:r>
        <w:rPr>
          <w:lang w:val="en-US"/>
        </w:rPr>
        <w:t xml:space="preserve">, the </w:t>
      </w:r>
      <w:r>
        <w:t xml:space="preserve">Providor </w:t>
      </w:r>
      <w:r>
        <w:rPr>
          <w:lang w:val="en-US"/>
        </w:rPr>
        <w:t>or team of consultants may be invited to take part in the TASC to present the deliverables produced (Activities 1 to 3).</w:t>
      </w:r>
    </w:p>
    <w:p w14:paraId="484EE10B" w14:textId="77777777" w:rsidR="00DD2C2C" w:rsidRDefault="00DD2C2C" w:rsidP="00DD2C2C">
      <w:pPr>
        <w:jc w:val="both"/>
        <w:rPr>
          <w:lang w:val="en-US"/>
        </w:rPr>
      </w:pPr>
    </w:p>
    <w:p w14:paraId="151C50B2" w14:textId="77777777" w:rsidR="00DD2C2C" w:rsidRDefault="00DD2C2C" w:rsidP="00DD2C2C">
      <w:pPr>
        <w:jc w:val="both"/>
        <w:rPr>
          <w:lang w:val="en-US"/>
        </w:rPr>
      </w:pPr>
      <w:r>
        <w:rPr>
          <w:lang w:val="en-US"/>
        </w:rPr>
        <w:t>The preparation of the intervention during the TASC and the execution of the Activities will be under the responsibility of the EF Team Leader.</w:t>
      </w:r>
    </w:p>
    <w:p w14:paraId="7A506D24" w14:textId="77777777" w:rsidR="00DD2C2C" w:rsidRDefault="00DD2C2C" w:rsidP="00DD2C2C">
      <w:pPr>
        <w:rPr>
          <w:lang w:val="en-US"/>
        </w:rPr>
      </w:pPr>
    </w:p>
    <w:p w14:paraId="7A77EBEB" w14:textId="77777777" w:rsidR="00DD2C2C" w:rsidRDefault="00DD2C2C" w:rsidP="00DD2C2C">
      <w:pPr>
        <w:pStyle w:val="Titre1"/>
        <w:numPr>
          <w:ilvl w:val="0"/>
          <w:numId w:val="29"/>
        </w:numPr>
        <w:shd w:val="clear" w:color="auto" w:fill="8DB3E2" w:themeFill="text2" w:themeFillTint="66"/>
        <w:spacing w:before="240" w:after="60" w:line="240" w:lineRule="auto"/>
      </w:pPr>
      <w:r>
        <w:lastRenderedPageBreak/>
        <w:t>Objectives &amp; Scope of Work</w:t>
      </w:r>
    </w:p>
    <w:p w14:paraId="65A2A1A9" w14:textId="77777777" w:rsidR="00DD2C2C" w:rsidRDefault="00DD2C2C" w:rsidP="00DD2C2C">
      <w:pPr>
        <w:jc w:val="both"/>
      </w:pPr>
    </w:p>
    <w:p w14:paraId="2B20C403" w14:textId="77777777" w:rsidR="00DD2C2C" w:rsidRDefault="00DD2C2C" w:rsidP="00DD2C2C">
      <w:pPr>
        <w:jc w:val="both"/>
      </w:pPr>
      <w:r>
        <w:t>The purpose of these Terms of reference is to hire an independent and international Providor or team of consultants (“the Providor”) to perform the following activities over the next 2 years:</w:t>
      </w:r>
    </w:p>
    <w:p w14:paraId="230C64FC" w14:textId="77777777" w:rsidR="00DD2C2C" w:rsidRDefault="00DD2C2C" w:rsidP="00DD2C2C">
      <w:pPr>
        <w:pStyle w:val="Paragraphedeliste"/>
        <w:numPr>
          <w:ilvl w:val="0"/>
          <w:numId w:val="36"/>
        </w:numPr>
        <w:spacing w:before="240" w:after="60" w:line="276" w:lineRule="auto"/>
        <w:jc w:val="both"/>
        <w:rPr>
          <w:sz w:val="24"/>
        </w:rPr>
      </w:pPr>
      <w:r>
        <w:rPr>
          <w:b/>
          <w:sz w:val="24"/>
        </w:rPr>
        <w:t>PBL Phase 2 Monitoring Reports</w:t>
      </w:r>
      <w:r>
        <w:rPr>
          <w:sz w:val="24"/>
        </w:rPr>
        <w:t xml:space="preserve"> before each TASC </w:t>
      </w:r>
      <w:r>
        <w:rPr>
          <w:sz w:val="24"/>
          <w:u w:val="single"/>
        </w:rPr>
        <w:t>(summaries, presentations and reports in English and Russian)</w:t>
      </w:r>
      <w:r>
        <w:rPr>
          <w:sz w:val="24"/>
        </w:rPr>
        <w:t>:</w:t>
      </w:r>
    </w:p>
    <w:p w14:paraId="2D8ACC5F" w14:textId="77777777" w:rsidR="00DD2C2C" w:rsidRDefault="00DD2C2C" w:rsidP="00DD2C2C">
      <w:pPr>
        <w:pStyle w:val="Paragraphedeliste"/>
        <w:numPr>
          <w:ilvl w:val="1"/>
          <w:numId w:val="36"/>
        </w:numPr>
        <w:spacing w:after="60" w:line="276" w:lineRule="auto"/>
        <w:jc w:val="both"/>
        <w:rPr>
          <w:sz w:val="24"/>
        </w:rPr>
      </w:pPr>
      <w:r>
        <w:rPr>
          <w:sz w:val="24"/>
        </w:rPr>
        <w:t>1</w:t>
      </w:r>
      <w:r>
        <w:rPr>
          <w:sz w:val="24"/>
          <w:vertAlign w:val="superscript"/>
        </w:rPr>
        <w:t>st</w:t>
      </w:r>
      <w:r>
        <w:rPr>
          <w:sz w:val="24"/>
        </w:rPr>
        <w:t xml:space="preserve"> report due in June </w:t>
      </w:r>
      <w:r>
        <w:rPr>
          <w:sz w:val="24"/>
          <w:u w:val="single"/>
        </w:rPr>
        <w:t>2025;</w:t>
      </w:r>
    </w:p>
    <w:p w14:paraId="40CF3486" w14:textId="77777777" w:rsidR="00DD2C2C" w:rsidRDefault="00DD2C2C" w:rsidP="00DD2C2C">
      <w:pPr>
        <w:pStyle w:val="Paragraphedeliste"/>
        <w:numPr>
          <w:ilvl w:val="1"/>
          <w:numId w:val="36"/>
        </w:numPr>
        <w:spacing w:after="60" w:line="276" w:lineRule="auto"/>
        <w:jc w:val="both"/>
        <w:rPr>
          <w:sz w:val="24"/>
        </w:rPr>
      </w:pPr>
      <w:r>
        <w:rPr>
          <w:sz w:val="24"/>
        </w:rPr>
        <w:t>2</w:t>
      </w:r>
      <w:r>
        <w:rPr>
          <w:sz w:val="24"/>
          <w:vertAlign w:val="superscript"/>
        </w:rPr>
        <w:t>nd</w:t>
      </w:r>
      <w:r>
        <w:rPr>
          <w:sz w:val="24"/>
        </w:rPr>
        <w:t xml:space="preserve"> report due in June </w:t>
      </w:r>
      <w:r>
        <w:rPr>
          <w:sz w:val="24"/>
          <w:u w:val="single"/>
        </w:rPr>
        <w:t>2026.</w:t>
      </w:r>
    </w:p>
    <w:p w14:paraId="681ED49D" w14:textId="77777777" w:rsidR="00DD2C2C" w:rsidRDefault="00DD2C2C" w:rsidP="00DD2C2C">
      <w:pPr>
        <w:pStyle w:val="Paragraphedeliste"/>
        <w:numPr>
          <w:ilvl w:val="0"/>
          <w:numId w:val="36"/>
        </w:numPr>
        <w:spacing w:after="60" w:line="276" w:lineRule="auto"/>
        <w:jc w:val="both"/>
        <w:rPr>
          <w:sz w:val="24"/>
        </w:rPr>
      </w:pPr>
      <w:r>
        <w:rPr>
          <w:b/>
          <w:sz w:val="24"/>
        </w:rPr>
        <w:t>PBL Strategic environmental and social assessment (SESA)</w:t>
      </w:r>
      <w:r>
        <w:rPr>
          <w:sz w:val="24"/>
        </w:rPr>
        <w:t xml:space="preserve"> to evaluate the anticipated and/or observed E&amp;S impacts following the implementation of PBL Phase 1 &amp; 2 policy actions </w:t>
      </w:r>
      <w:r>
        <w:rPr>
          <w:sz w:val="24"/>
          <w:u w:val="single"/>
        </w:rPr>
        <w:t>(summaries, presentations and reports in English and Russian).</w:t>
      </w:r>
    </w:p>
    <w:p w14:paraId="01CF865F" w14:textId="77777777" w:rsidR="00DD2C2C" w:rsidRDefault="00DD2C2C" w:rsidP="00DD2C2C">
      <w:pPr>
        <w:pStyle w:val="Paragraphedeliste"/>
        <w:numPr>
          <w:ilvl w:val="0"/>
          <w:numId w:val="36"/>
        </w:numPr>
        <w:spacing w:after="60" w:line="276" w:lineRule="auto"/>
        <w:jc w:val="both"/>
        <w:rPr>
          <w:sz w:val="24"/>
        </w:rPr>
      </w:pPr>
      <w:r>
        <w:rPr>
          <w:b/>
          <w:sz w:val="24"/>
        </w:rPr>
        <w:t>Evaluation report of the PBL Phase 2</w:t>
      </w:r>
      <w:r>
        <w:rPr>
          <w:sz w:val="24"/>
        </w:rPr>
        <w:t xml:space="preserve"> in order to assess the project's performance and propose recommendations for a possible PBL Phase 3 </w:t>
      </w:r>
      <w:r>
        <w:rPr>
          <w:sz w:val="24"/>
          <w:u w:val="single"/>
        </w:rPr>
        <w:t>(summaries, presentations and reports in English and Russian)</w:t>
      </w:r>
      <w:r>
        <w:rPr>
          <w:sz w:val="24"/>
        </w:rPr>
        <w:t>:</w:t>
      </w:r>
    </w:p>
    <w:p w14:paraId="11629D3E" w14:textId="77777777" w:rsidR="00DD2C2C" w:rsidRDefault="00DD2C2C" w:rsidP="00DD2C2C">
      <w:pPr>
        <w:pStyle w:val="Paragraphedeliste"/>
        <w:numPr>
          <w:ilvl w:val="1"/>
          <w:numId w:val="36"/>
        </w:numPr>
        <w:spacing w:after="60" w:line="276" w:lineRule="auto"/>
        <w:jc w:val="both"/>
        <w:rPr>
          <w:sz w:val="24"/>
        </w:rPr>
      </w:pPr>
      <w:r>
        <w:rPr>
          <w:sz w:val="24"/>
        </w:rPr>
        <w:t xml:space="preserve">Inception report (detailing the evaluation design, work plan, and methodology) due in April </w:t>
      </w:r>
      <w:r>
        <w:rPr>
          <w:sz w:val="24"/>
          <w:u w:val="single"/>
        </w:rPr>
        <w:t>2026;</w:t>
      </w:r>
    </w:p>
    <w:p w14:paraId="0F3705E2" w14:textId="77777777" w:rsidR="00DD2C2C" w:rsidRDefault="00DD2C2C" w:rsidP="00DD2C2C">
      <w:pPr>
        <w:pStyle w:val="Paragraphedeliste"/>
        <w:numPr>
          <w:ilvl w:val="1"/>
          <w:numId w:val="36"/>
        </w:numPr>
        <w:spacing w:after="60" w:line="276" w:lineRule="auto"/>
        <w:jc w:val="both"/>
        <w:rPr>
          <w:sz w:val="24"/>
        </w:rPr>
      </w:pPr>
      <w:r>
        <w:rPr>
          <w:sz w:val="24"/>
        </w:rPr>
        <w:t xml:space="preserve">Final Report due in June </w:t>
      </w:r>
      <w:r>
        <w:rPr>
          <w:sz w:val="24"/>
          <w:u w:val="single"/>
        </w:rPr>
        <w:t>2026.</w:t>
      </w:r>
    </w:p>
    <w:p w14:paraId="4CE9559D" w14:textId="77777777" w:rsidR="00DD2C2C" w:rsidRDefault="00DD2C2C" w:rsidP="00DD2C2C">
      <w:pPr>
        <w:pStyle w:val="Titre2"/>
        <w:ind w:left="1440"/>
      </w:pPr>
      <w:r>
        <w:t>Kick off meeting</w:t>
      </w:r>
    </w:p>
    <w:p w14:paraId="2E864FD0" w14:textId="77777777" w:rsidR="00DD2C2C" w:rsidRDefault="00DD2C2C" w:rsidP="00DD2C2C"/>
    <w:p w14:paraId="71B0A7FD" w14:textId="77777777" w:rsidR="00DD2C2C" w:rsidRDefault="00DD2C2C" w:rsidP="00DD2C2C">
      <w:pPr>
        <w:jc w:val="both"/>
      </w:pPr>
      <w:r>
        <w:t xml:space="preserve">Latest 15 working days after commencement of the activities, a kick-off meeting shall be arranged by the Providor involving all Executing Entities, and on the donors’ side: EF/AFD and ADB (to be confirmed). </w:t>
      </w:r>
    </w:p>
    <w:p w14:paraId="2129956A" w14:textId="77777777" w:rsidR="00DD2C2C" w:rsidRDefault="00DD2C2C" w:rsidP="00DD2C2C"/>
    <w:p w14:paraId="5355CAC4" w14:textId="77777777" w:rsidR="00DD2C2C" w:rsidRDefault="00DD2C2C" w:rsidP="00DD2C2C">
      <w:r>
        <w:t xml:space="preserve">The objective of this kick-off meeting shall be to: </w:t>
      </w:r>
    </w:p>
    <w:p w14:paraId="1D509114" w14:textId="77777777" w:rsidR="00DD2C2C" w:rsidRDefault="00DD2C2C" w:rsidP="00DD2C2C">
      <w:pPr>
        <w:numPr>
          <w:ilvl w:val="0"/>
          <w:numId w:val="41"/>
        </w:numPr>
        <w:spacing w:line="240" w:lineRule="auto"/>
      </w:pPr>
      <w:r>
        <w:t>Introduce the teams;</w:t>
      </w:r>
    </w:p>
    <w:p w14:paraId="36DA77DF" w14:textId="77777777" w:rsidR="00DD2C2C" w:rsidRDefault="00DD2C2C" w:rsidP="00DD2C2C">
      <w:pPr>
        <w:numPr>
          <w:ilvl w:val="0"/>
          <w:numId w:val="41"/>
        </w:numPr>
        <w:spacing w:line="240" w:lineRule="auto"/>
      </w:pPr>
      <w:r>
        <w:t>Confirm communication channels;</w:t>
      </w:r>
    </w:p>
    <w:p w14:paraId="7635640D" w14:textId="77777777" w:rsidR="00DD2C2C" w:rsidRDefault="00DD2C2C" w:rsidP="00DD2C2C">
      <w:pPr>
        <w:numPr>
          <w:ilvl w:val="0"/>
          <w:numId w:val="41"/>
        </w:numPr>
        <w:spacing w:line="240" w:lineRule="auto"/>
      </w:pPr>
      <w:r>
        <w:t>Present the envisaged Providor’s workplan;</w:t>
      </w:r>
    </w:p>
    <w:p w14:paraId="794C2FD8" w14:textId="77777777" w:rsidR="00DD2C2C" w:rsidRDefault="00DD2C2C" w:rsidP="00DD2C2C">
      <w:pPr>
        <w:numPr>
          <w:ilvl w:val="0"/>
          <w:numId w:val="41"/>
        </w:numPr>
        <w:spacing w:line="240" w:lineRule="auto"/>
      </w:pPr>
      <w:r>
        <w:t xml:space="preserve">Exchange information, data, documentation, document request list; and </w:t>
      </w:r>
    </w:p>
    <w:p w14:paraId="7AD46BAC" w14:textId="77777777" w:rsidR="00DD2C2C" w:rsidRDefault="00DD2C2C" w:rsidP="00DD2C2C">
      <w:pPr>
        <w:numPr>
          <w:ilvl w:val="0"/>
          <w:numId w:val="41"/>
        </w:numPr>
        <w:spacing w:line="240" w:lineRule="auto"/>
      </w:pPr>
      <w:r>
        <w:t xml:space="preserve">Plan for stakeholder meetings. </w:t>
      </w:r>
    </w:p>
    <w:p w14:paraId="4233AF94" w14:textId="77777777" w:rsidR="00DD2C2C" w:rsidRDefault="00DD2C2C" w:rsidP="00DD2C2C"/>
    <w:p w14:paraId="53E3919D" w14:textId="77777777" w:rsidR="00DD2C2C" w:rsidRDefault="00DD2C2C" w:rsidP="00DD2C2C">
      <w:r>
        <w:t xml:space="preserve">The Providor will prepare minutes of meeting including a workplan and distribute to participants. </w:t>
      </w:r>
    </w:p>
    <w:p w14:paraId="5C560D80" w14:textId="77777777" w:rsidR="00DD2C2C" w:rsidRDefault="00DD2C2C" w:rsidP="00DD2C2C"/>
    <w:p w14:paraId="6C50BCB1" w14:textId="77777777" w:rsidR="00DD2C2C" w:rsidRDefault="00DD2C2C" w:rsidP="00DD2C2C">
      <w:r>
        <w:t>The Providor shall proactively arrange for calls/meetings with the stakeholders throughout the whole assignment in order to obtain data, documents, reports, feedbacks and comments, inform about findings and agree on on-site activities.</w:t>
      </w:r>
    </w:p>
    <w:p w14:paraId="7063C04B" w14:textId="77777777" w:rsidR="00DD2C2C" w:rsidRDefault="00DD2C2C" w:rsidP="00DD2C2C"/>
    <w:p w14:paraId="3DD4EFF6" w14:textId="77777777" w:rsidR="00DD2C2C" w:rsidRDefault="00DD2C2C" w:rsidP="00DD2C2C">
      <w:pPr>
        <w:pStyle w:val="Titre2"/>
        <w:ind w:left="1440"/>
      </w:pPr>
      <w:bookmarkStart w:id="140" w:name="_Toc322967814"/>
      <w:bookmarkStart w:id="141" w:name="_Toc54022776"/>
      <w:r>
        <w:t>Activity n°1 - PBL Phase 2 Monitoring Reports</w:t>
      </w:r>
      <w:bookmarkEnd w:id="140"/>
      <w:bookmarkEnd w:id="141"/>
    </w:p>
    <w:p w14:paraId="2D068DCE" w14:textId="77777777" w:rsidR="00DD2C2C" w:rsidRDefault="00DD2C2C" w:rsidP="00DD2C2C">
      <w:pPr>
        <w:spacing w:before="240" w:after="160" w:line="259" w:lineRule="auto"/>
        <w:rPr>
          <w:iCs/>
          <w:lang w:val="en-US"/>
        </w:rPr>
      </w:pPr>
      <w:r>
        <w:rPr>
          <w:iCs/>
          <w:lang w:val="en-US"/>
        </w:rPr>
        <w:t>Each annual report (mid-2025 and mid-2026) will consist of the following parts:</w:t>
      </w:r>
    </w:p>
    <w:p w14:paraId="6F7ADEB7" w14:textId="77777777" w:rsidR="00DD2C2C" w:rsidRDefault="00DD2C2C" w:rsidP="00DD2C2C">
      <w:pPr>
        <w:pStyle w:val="Paragraphedeliste"/>
        <w:numPr>
          <w:ilvl w:val="0"/>
          <w:numId w:val="37"/>
        </w:numPr>
        <w:spacing w:before="240" w:after="160" w:line="360" w:lineRule="auto"/>
        <w:jc w:val="both"/>
        <w:rPr>
          <w:iCs/>
          <w:sz w:val="24"/>
          <w:lang w:val="en-US"/>
        </w:rPr>
      </w:pPr>
      <w:r>
        <w:rPr>
          <w:iCs/>
          <w:sz w:val="24"/>
          <w:lang w:val="en-US"/>
        </w:rPr>
        <w:t xml:space="preserve">Overview of </w:t>
      </w:r>
      <w:r>
        <w:rPr>
          <w:iCs/>
          <w:sz w:val="24"/>
        </w:rPr>
        <w:t xml:space="preserve">electrical </w:t>
      </w:r>
      <w:r>
        <w:rPr>
          <w:iCs/>
          <w:sz w:val="24"/>
          <w:lang w:val="en-US"/>
        </w:rPr>
        <w:t>energy sector highlights in the country over the last year (max. 3 pages).</w:t>
      </w:r>
    </w:p>
    <w:p w14:paraId="57BF0C3D" w14:textId="77777777" w:rsidR="00DD2C2C" w:rsidRDefault="00DD2C2C" w:rsidP="00DD2C2C">
      <w:pPr>
        <w:pStyle w:val="Paragraphedeliste"/>
        <w:numPr>
          <w:ilvl w:val="0"/>
          <w:numId w:val="37"/>
        </w:numPr>
        <w:spacing w:before="240" w:after="160" w:line="360" w:lineRule="auto"/>
        <w:jc w:val="both"/>
        <w:rPr>
          <w:iCs/>
          <w:sz w:val="24"/>
          <w:lang w:val="en-US"/>
        </w:rPr>
      </w:pPr>
      <w:r>
        <w:rPr>
          <w:iCs/>
          <w:sz w:val="24"/>
          <w:lang w:val="en-US"/>
        </w:rPr>
        <w:t>Detailed list of all the legal texts related to the electrical energy sector approved over the last year, with a technical analysis for each one (max. 5 pages).</w:t>
      </w:r>
    </w:p>
    <w:p w14:paraId="57456071" w14:textId="77777777" w:rsidR="00DD2C2C" w:rsidRDefault="00DD2C2C" w:rsidP="00DD2C2C">
      <w:pPr>
        <w:pStyle w:val="Paragraphedeliste"/>
        <w:numPr>
          <w:ilvl w:val="0"/>
          <w:numId w:val="37"/>
        </w:numPr>
        <w:spacing w:before="240" w:after="160" w:line="360" w:lineRule="auto"/>
        <w:jc w:val="both"/>
        <w:rPr>
          <w:iCs/>
          <w:sz w:val="24"/>
          <w:lang w:val="en-US"/>
        </w:rPr>
      </w:pPr>
      <w:r>
        <w:rPr>
          <w:iCs/>
          <w:sz w:val="24"/>
          <w:lang w:val="en-US"/>
        </w:rPr>
        <w:lastRenderedPageBreak/>
        <w:t>For each area in the matrix, a dedicated section for each of the following subjects (max. 5 pages per area) :</w:t>
      </w:r>
    </w:p>
    <w:p w14:paraId="1B91B88D" w14:textId="77777777" w:rsidR="00DD2C2C" w:rsidRDefault="00DD2C2C" w:rsidP="00DD2C2C">
      <w:pPr>
        <w:pStyle w:val="Paragraphedeliste"/>
        <w:numPr>
          <w:ilvl w:val="1"/>
          <w:numId w:val="37"/>
        </w:numPr>
        <w:spacing w:after="160" w:line="259" w:lineRule="auto"/>
        <w:jc w:val="both"/>
        <w:rPr>
          <w:iCs/>
          <w:sz w:val="24"/>
          <w:lang w:val="en-US"/>
        </w:rPr>
      </w:pPr>
      <w:r>
        <w:rPr>
          <w:iCs/>
          <w:sz w:val="24"/>
          <w:lang w:val="en-US"/>
        </w:rPr>
        <w:t xml:space="preserve">Progress made in the </w:t>
      </w:r>
      <w:r>
        <w:rPr>
          <w:b/>
          <w:iCs/>
          <w:sz w:val="24"/>
          <w:lang w:val="en-US"/>
        </w:rPr>
        <w:t>follow-up points</w:t>
      </w:r>
      <w:r>
        <w:rPr>
          <w:iCs/>
          <w:sz w:val="24"/>
          <w:lang w:val="en-US"/>
        </w:rPr>
        <w:t xml:space="preserve"> as listed in the Matrix;</w:t>
      </w:r>
    </w:p>
    <w:p w14:paraId="4061C979" w14:textId="77777777" w:rsidR="00DD2C2C" w:rsidRDefault="00DD2C2C" w:rsidP="00DD2C2C">
      <w:pPr>
        <w:pStyle w:val="Paragraphedeliste"/>
        <w:numPr>
          <w:ilvl w:val="1"/>
          <w:numId w:val="37"/>
        </w:numPr>
        <w:spacing w:after="160" w:line="259" w:lineRule="auto"/>
        <w:jc w:val="both"/>
        <w:rPr>
          <w:iCs/>
          <w:sz w:val="24"/>
          <w:lang w:val="en-US"/>
        </w:rPr>
      </w:pPr>
      <w:r>
        <w:rPr>
          <w:iCs/>
          <w:sz w:val="24"/>
          <w:lang w:val="en-US"/>
        </w:rPr>
        <w:t xml:space="preserve">Progress made towards achievement of </w:t>
      </w:r>
      <w:r>
        <w:rPr>
          <w:b/>
          <w:iCs/>
          <w:sz w:val="24"/>
          <w:lang w:val="en-US"/>
        </w:rPr>
        <w:t>the four mid-term objectives</w:t>
      </w:r>
      <w:r>
        <w:rPr>
          <w:iCs/>
          <w:sz w:val="24"/>
          <w:lang w:val="en-US"/>
        </w:rPr>
        <w:t xml:space="preserve"> listed in the Matrix (“Outcome Indicators”);</w:t>
      </w:r>
    </w:p>
    <w:p w14:paraId="027AEF0B" w14:textId="77777777" w:rsidR="00DD2C2C" w:rsidRDefault="00DD2C2C" w:rsidP="00DD2C2C">
      <w:pPr>
        <w:pStyle w:val="Paragraphedeliste"/>
        <w:numPr>
          <w:ilvl w:val="1"/>
          <w:numId w:val="37"/>
        </w:numPr>
        <w:spacing w:after="160" w:line="259" w:lineRule="auto"/>
        <w:jc w:val="both"/>
        <w:rPr>
          <w:iCs/>
          <w:sz w:val="24"/>
          <w:lang w:val="en-US"/>
        </w:rPr>
      </w:pPr>
      <w:r>
        <w:rPr>
          <w:iCs/>
          <w:sz w:val="24"/>
          <w:lang w:val="en-US"/>
        </w:rPr>
        <w:t>Based on</w:t>
      </w:r>
      <w:r>
        <w:rPr>
          <w:iCs/>
          <w:sz w:val="24"/>
          <w:szCs w:val="24"/>
          <w:lang w:val="en-US"/>
        </w:rPr>
        <w:t xml:space="preserve"> (i) the progress made and (ii) the impacts (technical, legal, environmental, social and </w:t>
      </w:r>
      <w:r>
        <w:rPr>
          <w:sz w:val="24"/>
          <w:szCs w:val="24"/>
        </w:rPr>
        <w:t>organisational)</w:t>
      </w:r>
      <w:r>
        <w:rPr>
          <w:iCs/>
          <w:sz w:val="24"/>
          <w:szCs w:val="24"/>
          <w:lang w:val="en-US"/>
        </w:rPr>
        <w:t xml:space="preserve"> assessed</w:t>
      </w:r>
      <w:r>
        <w:rPr>
          <w:iCs/>
          <w:sz w:val="24"/>
          <w:lang w:val="en-US"/>
        </w:rPr>
        <w:t xml:space="preserve">, </w:t>
      </w:r>
      <w:r>
        <w:rPr>
          <w:b/>
          <w:iCs/>
          <w:sz w:val="24"/>
          <w:lang w:val="en-US"/>
        </w:rPr>
        <w:t>proposals for</w:t>
      </w:r>
      <w:r>
        <w:rPr>
          <w:iCs/>
          <w:sz w:val="24"/>
          <w:lang w:val="en-US"/>
        </w:rPr>
        <w:t xml:space="preserve"> </w:t>
      </w:r>
      <w:r>
        <w:rPr>
          <w:b/>
          <w:iCs/>
          <w:sz w:val="24"/>
          <w:lang w:val="en-US"/>
        </w:rPr>
        <w:t>policy actions &amp; technical assistance</w:t>
      </w:r>
      <w:r>
        <w:rPr>
          <w:iCs/>
          <w:sz w:val="24"/>
          <w:lang w:val="en-US"/>
        </w:rPr>
        <w:t xml:space="preserve"> </w:t>
      </w:r>
      <w:r>
        <w:rPr>
          <w:b/>
          <w:iCs/>
          <w:sz w:val="24"/>
          <w:lang w:val="en-US"/>
        </w:rPr>
        <w:t>activities</w:t>
      </w:r>
      <w:r>
        <w:rPr>
          <w:iCs/>
          <w:sz w:val="24"/>
          <w:lang w:val="en-US"/>
        </w:rPr>
        <w:t xml:space="preserve"> to be implemented by the Government in the future.</w:t>
      </w:r>
    </w:p>
    <w:p w14:paraId="4131226F" w14:textId="77777777" w:rsidR="00DD2C2C" w:rsidRDefault="00DD2C2C" w:rsidP="00DD2C2C">
      <w:pPr>
        <w:pStyle w:val="Paragraphedeliste"/>
        <w:numPr>
          <w:ilvl w:val="0"/>
          <w:numId w:val="37"/>
        </w:numPr>
        <w:spacing w:after="160" w:line="276" w:lineRule="auto"/>
        <w:jc w:val="both"/>
        <w:rPr>
          <w:iCs/>
          <w:sz w:val="24"/>
          <w:lang w:val="en-US"/>
        </w:rPr>
      </w:pPr>
      <w:r>
        <w:rPr>
          <w:iCs/>
          <w:sz w:val="24"/>
          <w:lang w:val="en-US"/>
        </w:rPr>
        <w:t>Conclusion and general recommendations (beyond the 4 areas) on the energy sector in Uzbekistan (max. 2 pages).</w:t>
      </w:r>
    </w:p>
    <w:p w14:paraId="1502C0F7" w14:textId="77777777" w:rsidR="00DD2C2C" w:rsidRDefault="00DD2C2C" w:rsidP="00DD2C2C">
      <w:pPr>
        <w:pStyle w:val="Titre2"/>
        <w:ind w:left="1440"/>
      </w:pPr>
      <w:r>
        <w:t>Activity n°2 - Strategic environmental and social assessment</w:t>
      </w:r>
    </w:p>
    <w:p w14:paraId="25B17689" w14:textId="77777777" w:rsidR="00DD2C2C" w:rsidRDefault="00DD2C2C" w:rsidP="00DD2C2C"/>
    <w:p w14:paraId="241D1F17" w14:textId="77777777" w:rsidR="00DD2C2C" w:rsidRDefault="00DD2C2C" w:rsidP="00DD2C2C">
      <w:pPr>
        <w:spacing w:after="160"/>
        <w:jc w:val="both"/>
        <w:rPr>
          <w:iCs/>
          <w:lang w:val="en-US"/>
        </w:rPr>
      </w:pPr>
      <w:r>
        <w:rPr>
          <w:iCs/>
          <w:lang w:val="en-US"/>
        </w:rPr>
        <w:t xml:space="preserve">The overall objective of the PBL Strategic environmental and social assessment (SESA) is to ensure that the PBL’s actions and activities are designed and implemented in a manner that maximizes potential environmental and social benefits while avoiding, minimizing or otherwise mitigating environmental and social harm. </w:t>
      </w:r>
    </w:p>
    <w:p w14:paraId="0C3E8D7A" w14:textId="77777777" w:rsidR="00DD2C2C" w:rsidRDefault="00DD2C2C" w:rsidP="00DD2C2C">
      <w:pPr>
        <w:spacing w:after="160"/>
        <w:jc w:val="both"/>
        <w:rPr>
          <w:iCs/>
          <w:lang w:val="en-US"/>
        </w:rPr>
      </w:pPr>
      <w:r>
        <w:rPr>
          <w:iCs/>
          <w:lang w:val="en-US"/>
        </w:rPr>
        <w:t>Findings of the assessment will be used for discussing the definition, formulation and implementation of measures or technical assistance to improve environmental and social performance/management outcomes of the PBL and to avoid any negative environmental and social effects, specifically harm to vulnerable groups.</w:t>
      </w:r>
    </w:p>
    <w:p w14:paraId="56C625CF" w14:textId="77777777" w:rsidR="00DD2C2C" w:rsidRDefault="00DD2C2C" w:rsidP="00DD2C2C">
      <w:pPr>
        <w:jc w:val="both"/>
      </w:pPr>
      <w:r>
        <w:t xml:space="preserve">The PBL SESA shall include the following activities: </w:t>
      </w:r>
    </w:p>
    <w:p w14:paraId="0AA561A6" w14:textId="77777777" w:rsidR="00DD2C2C" w:rsidRDefault="00DD2C2C" w:rsidP="00DD2C2C">
      <w:pPr>
        <w:jc w:val="both"/>
        <w:rPr>
          <w:b/>
        </w:rPr>
      </w:pPr>
    </w:p>
    <w:p w14:paraId="059FE2EB" w14:textId="77777777" w:rsidR="00DD2C2C" w:rsidRDefault="00DD2C2C" w:rsidP="00DD2C2C">
      <w:pPr>
        <w:pStyle w:val="Paragraphedeliste"/>
        <w:numPr>
          <w:ilvl w:val="0"/>
          <w:numId w:val="40"/>
        </w:numPr>
        <w:spacing w:after="60" w:line="276" w:lineRule="auto"/>
        <w:jc w:val="both"/>
        <w:rPr>
          <w:b/>
          <w:sz w:val="24"/>
        </w:rPr>
      </w:pPr>
      <w:r>
        <w:rPr>
          <w:b/>
          <w:sz w:val="24"/>
        </w:rPr>
        <w:t>E&amp;S legal framework in Uzbekistan and gap analysis</w:t>
      </w:r>
    </w:p>
    <w:p w14:paraId="61D0FB08" w14:textId="77777777" w:rsidR="00DD2C2C" w:rsidRDefault="00DD2C2C" w:rsidP="00DD2C2C">
      <w:pPr>
        <w:pStyle w:val="Paragraphedeliste"/>
        <w:numPr>
          <w:ilvl w:val="0"/>
          <w:numId w:val="39"/>
        </w:numPr>
        <w:spacing w:after="60" w:line="276" w:lineRule="auto"/>
        <w:jc w:val="both"/>
        <w:rPr>
          <w:rFonts w:eastAsia="Times New Roman"/>
          <w:sz w:val="24"/>
          <w:szCs w:val="24"/>
        </w:rPr>
      </w:pPr>
      <w:r>
        <w:rPr>
          <w:rFonts w:eastAsia="Times New Roman"/>
          <w:sz w:val="24"/>
          <w:szCs w:val="24"/>
        </w:rPr>
        <w:t>Identify relevant national stakeholders.</w:t>
      </w:r>
    </w:p>
    <w:p w14:paraId="293B3B73" w14:textId="77777777" w:rsidR="00DD2C2C" w:rsidRDefault="00DD2C2C" w:rsidP="00DD2C2C">
      <w:pPr>
        <w:pStyle w:val="Paragraphedeliste"/>
        <w:numPr>
          <w:ilvl w:val="0"/>
          <w:numId w:val="39"/>
        </w:numPr>
        <w:spacing w:after="60" w:line="276" w:lineRule="auto"/>
        <w:jc w:val="both"/>
        <w:rPr>
          <w:rFonts w:eastAsia="Times New Roman"/>
          <w:sz w:val="24"/>
          <w:szCs w:val="24"/>
        </w:rPr>
      </w:pPr>
      <w:r>
        <w:rPr>
          <w:rFonts w:eastAsia="Times New Roman"/>
          <w:sz w:val="24"/>
          <w:szCs w:val="24"/>
        </w:rPr>
        <w:t>Collect existing E&amp;S Policies and national regulatory framework.</w:t>
      </w:r>
    </w:p>
    <w:p w14:paraId="60646093" w14:textId="77777777" w:rsidR="00DD2C2C" w:rsidRDefault="00DD2C2C" w:rsidP="00DD2C2C">
      <w:pPr>
        <w:pStyle w:val="Paragraphedeliste"/>
        <w:numPr>
          <w:ilvl w:val="0"/>
          <w:numId w:val="39"/>
        </w:numPr>
        <w:spacing w:after="60" w:line="276" w:lineRule="auto"/>
        <w:jc w:val="both"/>
        <w:rPr>
          <w:rFonts w:eastAsia="Times New Roman"/>
          <w:sz w:val="24"/>
          <w:szCs w:val="24"/>
        </w:rPr>
      </w:pPr>
      <w:r>
        <w:rPr>
          <w:rFonts w:eastAsia="Times New Roman"/>
          <w:sz w:val="24"/>
          <w:szCs w:val="24"/>
        </w:rPr>
        <w:t>Collect the results of similar activities conducted by other IFI.</w:t>
      </w:r>
    </w:p>
    <w:p w14:paraId="05D9D148" w14:textId="77777777" w:rsidR="00DD2C2C" w:rsidRDefault="00DD2C2C" w:rsidP="00DD2C2C">
      <w:pPr>
        <w:pStyle w:val="Paragraphedeliste"/>
        <w:numPr>
          <w:ilvl w:val="0"/>
          <w:numId w:val="39"/>
        </w:numPr>
        <w:spacing w:after="60" w:line="276" w:lineRule="auto"/>
        <w:jc w:val="both"/>
        <w:rPr>
          <w:rFonts w:eastAsia="Times New Roman"/>
          <w:sz w:val="24"/>
          <w:szCs w:val="24"/>
        </w:rPr>
      </w:pPr>
      <w:r>
        <w:rPr>
          <w:rFonts w:eastAsia="Times New Roman"/>
          <w:sz w:val="24"/>
          <w:szCs w:val="24"/>
        </w:rPr>
        <w:t>Analyse how current practices align with selected international standards for E&amp;S, identifying key areas of non-compliance or partial compliance.</w:t>
      </w:r>
    </w:p>
    <w:p w14:paraId="103E5D86" w14:textId="77777777" w:rsidR="00DD2C2C" w:rsidRDefault="00DD2C2C" w:rsidP="00DD2C2C">
      <w:pPr>
        <w:pStyle w:val="Paragraphedeliste"/>
        <w:numPr>
          <w:ilvl w:val="0"/>
          <w:numId w:val="39"/>
        </w:numPr>
        <w:spacing w:after="60" w:line="276" w:lineRule="auto"/>
        <w:jc w:val="both"/>
        <w:rPr>
          <w:rFonts w:eastAsia="Times New Roman"/>
          <w:sz w:val="24"/>
          <w:szCs w:val="24"/>
        </w:rPr>
      </w:pPr>
      <w:r>
        <w:rPr>
          <w:rFonts w:eastAsia="Times New Roman"/>
          <w:sz w:val="24"/>
          <w:szCs w:val="24"/>
        </w:rPr>
        <w:t>Assess national stakeholder’s institutional capacity/responsibility to effectively anticipate, define and manage the expected E&amp;S risks/impacts (see 2. Below) as well as to plan, monitor and report on E&amp;S mitigation measures.</w:t>
      </w:r>
    </w:p>
    <w:p w14:paraId="43969128" w14:textId="77777777" w:rsidR="00DD2C2C" w:rsidRDefault="00DD2C2C" w:rsidP="00DD2C2C">
      <w:pPr>
        <w:pStyle w:val="Paragraphedeliste"/>
        <w:ind w:left="360"/>
        <w:rPr>
          <w:b/>
          <w:sz w:val="24"/>
        </w:rPr>
      </w:pPr>
    </w:p>
    <w:p w14:paraId="024B7D35" w14:textId="77777777" w:rsidR="00DD2C2C" w:rsidRDefault="00DD2C2C" w:rsidP="00DD2C2C">
      <w:pPr>
        <w:pStyle w:val="Paragraphedeliste"/>
        <w:numPr>
          <w:ilvl w:val="0"/>
          <w:numId w:val="40"/>
        </w:numPr>
        <w:spacing w:after="60" w:line="276" w:lineRule="auto"/>
        <w:jc w:val="both"/>
        <w:rPr>
          <w:b/>
          <w:sz w:val="24"/>
        </w:rPr>
      </w:pPr>
      <w:r>
        <w:rPr>
          <w:b/>
          <w:sz w:val="24"/>
        </w:rPr>
        <w:t>Assessment of E&amp;S impacts/risks related to the specific public policy actions of PBL Phase 1 and 2</w:t>
      </w:r>
    </w:p>
    <w:p w14:paraId="250F0D48" w14:textId="77777777" w:rsidR="00DD2C2C" w:rsidRDefault="00DD2C2C" w:rsidP="00DD2C2C">
      <w:pPr>
        <w:pStyle w:val="Paragraphedeliste"/>
        <w:numPr>
          <w:ilvl w:val="0"/>
          <w:numId w:val="39"/>
        </w:numPr>
        <w:spacing w:after="60" w:line="276" w:lineRule="auto"/>
        <w:jc w:val="both"/>
        <w:rPr>
          <w:rFonts w:eastAsia="Times New Roman"/>
          <w:sz w:val="24"/>
          <w:szCs w:val="24"/>
        </w:rPr>
      </w:pPr>
      <w:r>
        <w:rPr>
          <w:rFonts w:eastAsia="Times New Roman"/>
          <w:sz w:val="24"/>
          <w:szCs w:val="24"/>
        </w:rPr>
        <w:t>Analyse and comment the screening conducted by AFD on the potential future E&amp;S impacts (negative and positive) of each public policy action in phase 2.</w:t>
      </w:r>
    </w:p>
    <w:p w14:paraId="4D7D5162" w14:textId="77777777" w:rsidR="00DD2C2C" w:rsidRDefault="00DD2C2C" w:rsidP="00DD2C2C">
      <w:pPr>
        <w:pStyle w:val="Paragraphedeliste"/>
        <w:numPr>
          <w:ilvl w:val="0"/>
          <w:numId w:val="39"/>
        </w:numPr>
        <w:spacing w:after="60" w:line="276" w:lineRule="auto"/>
        <w:jc w:val="both"/>
        <w:rPr>
          <w:rFonts w:eastAsia="Times New Roman"/>
          <w:sz w:val="24"/>
          <w:szCs w:val="24"/>
        </w:rPr>
      </w:pPr>
      <w:r>
        <w:rPr>
          <w:rFonts w:eastAsia="Times New Roman"/>
          <w:sz w:val="24"/>
          <w:szCs w:val="24"/>
        </w:rPr>
        <w:t xml:space="preserve">Review the following PBL’s policy actions by identifying and assessing the direct and indirect E&amp;S risks and potential future positive impacts: </w:t>
      </w:r>
    </w:p>
    <w:p w14:paraId="5BA7FF5B" w14:textId="77777777" w:rsidR="00DD2C2C" w:rsidRDefault="00DD2C2C" w:rsidP="00DD2C2C">
      <w:pPr>
        <w:pStyle w:val="Paragraphedeliste"/>
        <w:numPr>
          <w:ilvl w:val="1"/>
          <w:numId w:val="39"/>
        </w:numPr>
        <w:spacing w:after="60" w:line="276" w:lineRule="auto"/>
        <w:jc w:val="both"/>
        <w:rPr>
          <w:rFonts w:eastAsia="Times New Roman"/>
          <w:sz w:val="24"/>
          <w:szCs w:val="24"/>
        </w:rPr>
      </w:pPr>
      <w:r>
        <w:rPr>
          <w:rFonts w:eastAsia="Times New Roman"/>
          <w:sz w:val="24"/>
          <w:szCs w:val="24"/>
        </w:rPr>
        <w:t>2.7</w:t>
      </w:r>
    </w:p>
    <w:p w14:paraId="56FC2F55" w14:textId="77777777" w:rsidR="00DD2C2C" w:rsidRDefault="00DD2C2C" w:rsidP="00DD2C2C">
      <w:pPr>
        <w:pStyle w:val="Paragraphedeliste"/>
        <w:numPr>
          <w:ilvl w:val="2"/>
          <w:numId w:val="39"/>
        </w:numPr>
        <w:spacing w:after="60" w:line="276" w:lineRule="auto"/>
        <w:jc w:val="both"/>
        <w:rPr>
          <w:rFonts w:eastAsia="Times New Roman"/>
          <w:sz w:val="24"/>
          <w:szCs w:val="24"/>
        </w:rPr>
      </w:pPr>
      <w:r>
        <w:rPr>
          <w:rFonts w:eastAsia="Times New Roman"/>
          <w:sz w:val="24"/>
          <w:szCs w:val="24"/>
        </w:rPr>
        <w:t>Look in particular the redistributive effects of the electricity tariff change</w:t>
      </w:r>
      <w:r>
        <w:t xml:space="preserve"> </w:t>
      </w:r>
      <w:r>
        <w:rPr>
          <w:rFonts w:eastAsia="Times New Roman"/>
          <w:sz w:val="24"/>
          <w:szCs w:val="24"/>
        </w:rPr>
        <w:t>and the potential positive impact on society of reducing energy subsidies.</w:t>
      </w:r>
    </w:p>
    <w:p w14:paraId="23B0B196" w14:textId="77777777" w:rsidR="00DD2C2C" w:rsidRDefault="00DD2C2C" w:rsidP="00DD2C2C">
      <w:pPr>
        <w:pStyle w:val="Paragraphedeliste"/>
        <w:numPr>
          <w:ilvl w:val="2"/>
          <w:numId w:val="39"/>
        </w:numPr>
        <w:spacing w:after="60" w:line="276" w:lineRule="auto"/>
        <w:jc w:val="both"/>
        <w:rPr>
          <w:rFonts w:eastAsia="Times New Roman"/>
          <w:sz w:val="24"/>
          <w:szCs w:val="24"/>
        </w:rPr>
      </w:pPr>
      <w:r>
        <w:rPr>
          <w:rFonts w:eastAsia="Times New Roman"/>
          <w:sz w:val="24"/>
          <w:szCs w:val="24"/>
        </w:rPr>
        <w:t>Propose monitoring indicators to track the impact of this policy action</w:t>
      </w:r>
    </w:p>
    <w:p w14:paraId="4C999BF0" w14:textId="77777777" w:rsidR="00DD2C2C" w:rsidRDefault="00DD2C2C" w:rsidP="00DD2C2C">
      <w:pPr>
        <w:pStyle w:val="Paragraphedeliste"/>
        <w:numPr>
          <w:ilvl w:val="1"/>
          <w:numId w:val="39"/>
        </w:numPr>
        <w:spacing w:after="60" w:line="276" w:lineRule="auto"/>
        <w:jc w:val="both"/>
        <w:rPr>
          <w:rFonts w:eastAsia="Times New Roman"/>
          <w:sz w:val="24"/>
          <w:szCs w:val="24"/>
        </w:rPr>
      </w:pPr>
      <w:r>
        <w:rPr>
          <w:rFonts w:eastAsia="Times New Roman"/>
          <w:sz w:val="24"/>
          <w:szCs w:val="24"/>
        </w:rPr>
        <w:t>2.14</w:t>
      </w:r>
    </w:p>
    <w:p w14:paraId="3C0014DD" w14:textId="77777777" w:rsidR="00DD2C2C" w:rsidRDefault="00DD2C2C" w:rsidP="00DD2C2C">
      <w:pPr>
        <w:pStyle w:val="Paragraphedeliste"/>
        <w:numPr>
          <w:ilvl w:val="2"/>
          <w:numId w:val="39"/>
        </w:numPr>
        <w:spacing w:after="60" w:line="276" w:lineRule="auto"/>
        <w:jc w:val="both"/>
        <w:rPr>
          <w:rFonts w:eastAsia="Times New Roman"/>
          <w:sz w:val="24"/>
          <w:szCs w:val="24"/>
        </w:rPr>
      </w:pPr>
      <w:r>
        <w:rPr>
          <w:rFonts w:eastAsia="Times New Roman"/>
          <w:sz w:val="24"/>
          <w:szCs w:val="24"/>
        </w:rPr>
        <w:lastRenderedPageBreak/>
        <w:t>In particular, analyse the involvement of civil society in the development of this long-term, structuring strategy</w:t>
      </w:r>
    </w:p>
    <w:p w14:paraId="6A2D317B" w14:textId="77777777" w:rsidR="00DD2C2C" w:rsidRDefault="00DD2C2C" w:rsidP="00DD2C2C">
      <w:pPr>
        <w:pStyle w:val="Paragraphedeliste"/>
        <w:numPr>
          <w:ilvl w:val="0"/>
          <w:numId w:val="39"/>
        </w:numPr>
        <w:spacing w:after="60" w:line="276" w:lineRule="auto"/>
        <w:jc w:val="both"/>
        <w:rPr>
          <w:rFonts w:eastAsia="Times New Roman"/>
          <w:sz w:val="24"/>
          <w:szCs w:val="24"/>
        </w:rPr>
      </w:pPr>
      <w:r>
        <w:rPr>
          <w:rFonts w:eastAsia="Times New Roman"/>
          <w:sz w:val="24"/>
          <w:szCs w:val="24"/>
        </w:rPr>
        <w:t xml:space="preserve">Identify the existing safeguards linked to the identified direct and indirect risks and impacts. This will be done through: </w:t>
      </w:r>
    </w:p>
    <w:p w14:paraId="62D03BA9" w14:textId="77777777" w:rsidR="00DD2C2C" w:rsidRDefault="00DD2C2C" w:rsidP="00DD2C2C">
      <w:pPr>
        <w:pStyle w:val="Paragraphedeliste"/>
        <w:numPr>
          <w:ilvl w:val="1"/>
          <w:numId w:val="39"/>
        </w:numPr>
        <w:spacing w:after="60" w:line="276" w:lineRule="auto"/>
        <w:ind w:left="1276" w:hanging="229"/>
        <w:jc w:val="both"/>
        <w:rPr>
          <w:rFonts w:eastAsia="Times New Roman"/>
          <w:sz w:val="24"/>
          <w:szCs w:val="24"/>
        </w:rPr>
      </w:pPr>
      <w:r>
        <w:rPr>
          <w:rFonts w:eastAsia="Times New Roman"/>
          <w:sz w:val="24"/>
          <w:szCs w:val="24"/>
        </w:rPr>
        <w:t>An analysis/a mapping of regulatory and legal E&amp;S framework in Uzbekistan (e.g., laws, regulation, procedures, standards etc.);</w:t>
      </w:r>
    </w:p>
    <w:p w14:paraId="698DA586" w14:textId="77777777" w:rsidR="00DD2C2C" w:rsidRDefault="00DD2C2C" w:rsidP="00DD2C2C">
      <w:pPr>
        <w:pStyle w:val="Paragraphedeliste"/>
        <w:numPr>
          <w:ilvl w:val="1"/>
          <w:numId w:val="39"/>
        </w:numPr>
        <w:spacing w:after="60" w:line="276" w:lineRule="auto"/>
        <w:ind w:left="1276" w:hanging="229"/>
        <w:jc w:val="both"/>
        <w:rPr>
          <w:rFonts w:eastAsia="Times New Roman"/>
          <w:sz w:val="24"/>
          <w:szCs w:val="24"/>
        </w:rPr>
      </w:pPr>
      <w:r>
        <w:rPr>
          <w:rFonts w:eastAsia="Times New Roman"/>
          <w:sz w:val="24"/>
          <w:szCs w:val="24"/>
        </w:rPr>
        <w:t>An analysis of existing institutional practices, institutional policies and management procedures in the context of E&amp;S management;</w:t>
      </w:r>
    </w:p>
    <w:p w14:paraId="7A13EB6E" w14:textId="77777777" w:rsidR="00DD2C2C" w:rsidRDefault="00DD2C2C" w:rsidP="00DD2C2C"/>
    <w:p w14:paraId="693BCE6C" w14:textId="77777777" w:rsidR="00DD2C2C" w:rsidRDefault="00DD2C2C" w:rsidP="00DD2C2C">
      <w:pPr>
        <w:pStyle w:val="Paragraphedeliste"/>
        <w:numPr>
          <w:ilvl w:val="0"/>
          <w:numId w:val="40"/>
        </w:numPr>
        <w:spacing w:after="60" w:line="276" w:lineRule="auto"/>
        <w:jc w:val="both"/>
        <w:rPr>
          <w:rFonts w:eastAsia="Times New Roman"/>
          <w:b/>
          <w:sz w:val="24"/>
          <w:szCs w:val="24"/>
        </w:rPr>
      </w:pPr>
      <w:r>
        <w:rPr>
          <w:rFonts w:eastAsia="Times New Roman"/>
          <w:b/>
          <w:sz w:val="24"/>
          <w:szCs w:val="24"/>
        </w:rPr>
        <w:t xml:space="preserve">Recommendations </w:t>
      </w:r>
    </w:p>
    <w:p w14:paraId="366B01FE" w14:textId="77777777" w:rsidR="00DD2C2C" w:rsidRDefault="00DD2C2C" w:rsidP="00DD2C2C">
      <w:pPr>
        <w:pStyle w:val="Paragraphedeliste"/>
        <w:numPr>
          <w:ilvl w:val="0"/>
          <w:numId w:val="39"/>
        </w:numPr>
        <w:spacing w:after="60" w:line="276" w:lineRule="auto"/>
        <w:jc w:val="both"/>
        <w:rPr>
          <w:rFonts w:eastAsia="Times New Roman"/>
          <w:sz w:val="24"/>
          <w:szCs w:val="24"/>
        </w:rPr>
      </w:pPr>
      <w:r>
        <w:rPr>
          <w:rFonts w:eastAsia="Times New Roman"/>
          <w:sz w:val="24"/>
          <w:szCs w:val="24"/>
        </w:rPr>
        <w:t xml:space="preserve">Propose actions (as part of a possible technical assistance) to strengthen the institutions for a better management of the E&amp;S framework. </w:t>
      </w:r>
    </w:p>
    <w:p w14:paraId="4238314F" w14:textId="77777777" w:rsidR="00DD2C2C" w:rsidRDefault="00DD2C2C" w:rsidP="00DD2C2C">
      <w:pPr>
        <w:pStyle w:val="Paragraphedeliste"/>
        <w:numPr>
          <w:ilvl w:val="0"/>
          <w:numId w:val="39"/>
        </w:numPr>
        <w:spacing w:after="60" w:line="276" w:lineRule="auto"/>
        <w:jc w:val="both"/>
        <w:rPr>
          <w:rFonts w:eastAsia="Times New Roman"/>
          <w:sz w:val="24"/>
          <w:szCs w:val="24"/>
        </w:rPr>
      </w:pPr>
      <w:r>
        <w:rPr>
          <w:rFonts w:eastAsia="Times New Roman"/>
          <w:sz w:val="24"/>
          <w:szCs w:val="24"/>
        </w:rPr>
        <w:t>Formulate concrete mitigation measures for direct and indirect E&amp;S significant risks for policy actions 2.7 &amp; 2.14, in the form of new policy actions, to be included into the policy matrix of the next phase of the PBL. The formulation of these measures should be done by paying a particular attention to their relevance, their acceptability towards all parties as well as the PBL’s overall design and approach;</w:t>
      </w:r>
    </w:p>
    <w:p w14:paraId="00C87AD8" w14:textId="77777777" w:rsidR="00DD2C2C" w:rsidRDefault="00DD2C2C" w:rsidP="00DD2C2C">
      <w:pPr>
        <w:pStyle w:val="Sansinterligne"/>
      </w:pPr>
    </w:p>
    <w:p w14:paraId="261D6D76" w14:textId="77777777" w:rsidR="00DD2C2C" w:rsidRDefault="00DD2C2C" w:rsidP="00DD2C2C">
      <w:pPr>
        <w:jc w:val="both"/>
      </w:pPr>
      <w:r>
        <w:t xml:space="preserve">The PBL SESA will be based on publically available information as well as documents provided by AFD and the relevant stakeholders. </w:t>
      </w:r>
    </w:p>
    <w:p w14:paraId="51FD1C29" w14:textId="77777777" w:rsidR="00DD2C2C" w:rsidRDefault="00DD2C2C" w:rsidP="00DD2C2C"/>
    <w:p w14:paraId="762E437F" w14:textId="77777777" w:rsidR="00DD2C2C" w:rsidRDefault="00DD2C2C" w:rsidP="00DD2C2C">
      <w:r>
        <w:t>Documents may include:</w:t>
      </w:r>
    </w:p>
    <w:p w14:paraId="67E04530" w14:textId="77777777" w:rsidR="00DD2C2C" w:rsidRDefault="00DD2C2C" w:rsidP="00DD2C2C">
      <w:pPr>
        <w:numPr>
          <w:ilvl w:val="0"/>
          <w:numId w:val="42"/>
        </w:numPr>
        <w:spacing w:line="240" w:lineRule="auto"/>
      </w:pPr>
      <w:r>
        <w:t>Information about investments and/or other interventions to be enhanced by the policy reforms under the PBL;</w:t>
      </w:r>
    </w:p>
    <w:p w14:paraId="21CB2B90" w14:textId="77777777" w:rsidR="00DD2C2C" w:rsidRDefault="00DD2C2C" w:rsidP="00DD2C2C">
      <w:pPr>
        <w:numPr>
          <w:ilvl w:val="0"/>
          <w:numId w:val="42"/>
        </w:numPr>
        <w:spacing w:line="240" w:lineRule="auto"/>
      </w:pPr>
      <w:r>
        <w:t>Documentation on relevant national legislation ;</w:t>
      </w:r>
    </w:p>
    <w:p w14:paraId="0A530716" w14:textId="77777777" w:rsidR="00DD2C2C" w:rsidRDefault="00DD2C2C" w:rsidP="00DD2C2C">
      <w:pPr>
        <w:numPr>
          <w:ilvl w:val="0"/>
          <w:numId w:val="42"/>
        </w:numPr>
        <w:spacing w:line="240" w:lineRule="auto"/>
      </w:pPr>
      <w:r>
        <w:t>Documentation on the various sectors’ stakeholder’s E&amp;S management system and practice;</w:t>
      </w:r>
    </w:p>
    <w:p w14:paraId="2E438D51" w14:textId="77777777" w:rsidR="00DD2C2C" w:rsidRDefault="00DD2C2C" w:rsidP="00DD2C2C">
      <w:pPr>
        <w:numPr>
          <w:ilvl w:val="0"/>
          <w:numId w:val="42"/>
        </w:numPr>
        <w:spacing w:line="240" w:lineRule="auto"/>
      </w:pPr>
      <w:r>
        <w:t>Assessment of the various sectors, including strategic E&amp;S Assessments; and</w:t>
      </w:r>
    </w:p>
    <w:p w14:paraId="70912A59" w14:textId="77777777" w:rsidR="00DD2C2C" w:rsidRDefault="00DD2C2C" w:rsidP="00DD2C2C">
      <w:pPr>
        <w:numPr>
          <w:ilvl w:val="0"/>
          <w:numId w:val="42"/>
        </w:numPr>
        <w:spacing w:line="240" w:lineRule="auto"/>
      </w:pPr>
      <w:r>
        <w:t>Other relevant documentation.</w:t>
      </w:r>
    </w:p>
    <w:p w14:paraId="0C1294F1" w14:textId="77777777" w:rsidR="00DD2C2C" w:rsidRDefault="00DD2C2C" w:rsidP="00DD2C2C"/>
    <w:p w14:paraId="3FE897B9" w14:textId="77777777" w:rsidR="00DD2C2C" w:rsidRDefault="00DD2C2C" w:rsidP="00DD2C2C">
      <w:pPr>
        <w:jc w:val="both"/>
        <w:rPr>
          <w:b/>
        </w:rPr>
      </w:pPr>
      <w:r>
        <w:rPr>
          <w:b/>
        </w:rPr>
        <w:t>The PBL SESA will be performed in line with the following standards (non-exhaustive list):</w:t>
      </w:r>
    </w:p>
    <w:p w14:paraId="59117A8F" w14:textId="77777777" w:rsidR="00DD2C2C" w:rsidRDefault="00DD2C2C" w:rsidP="00DD2C2C">
      <w:pPr>
        <w:numPr>
          <w:ilvl w:val="0"/>
          <w:numId w:val="42"/>
        </w:numPr>
        <w:spacing w:line="240" w:lineRule="auto"/>
      </w:pPr>
      <w:r>
        <w:t>World Bank Development Policy Financing, July 2017;</w:t>
      </w:r>
    </w:p>
    <w:p w14:paraId="0E979E70" w14:textId="77777777" w:rsidR="00DD2C2C" w:rsidRDefault="00DD2C2C" w:rsidP="00DD2C2C">
      <w:pPr>
        <w:numPr>
          <w:ilvl w:val="0"/>
          <w:numId w:val="42"/>
        </w:numPr>
        <w:spacing w:line="240" w:lineRule="auto"/>
      </w:pPr>
      <w:r>
        <w:t xml:space="preserve">World Bank Policy (July 2015): </w:t>
      </w:r>
      <w:hyperlink r:id="rId28" w:tooltip="https://thedocs.worldbank.org/en/doc/687061437494014317-0290022015/original/ProgramforResultsFinancingPforRPolicyJuly2015.pdf" w:history="1">
        <w:r>
          <w:rPr>
            <w:rStyle w:val="Lienhypertexte"/>
          </w:rPr>
          <w:t>Program-for-Results Financing</w:t>
        </w:r>
      </w:hyperlink>
      <w:r>
        <w:t>, Catalogue Number: OPCS5.04-POL.01, OPCS;</w:t>
      </w:r>
    </w:p>
    <w:p w14:paraId="69A5E409" w14:textId="77777777" w:rsidR="00DD2C2C" w:rsidRDefault="00DD2C2C" w:rsidP="00DD2C2C">
      <w:pPr>
        <w:numPr>
          <w:ilvl w:val="0"/>
          <w:numId w:val="42"/>
        </w:numPr>
        <w:spacing w:line="240" w:lineRule="auto"/>
      </w:pPr>
      <w:r>
        <w:t xml:space="preserve">World Bank Directive (July 2015): </w:t>
      </w:r>
      <w:hyperlink r:id="rId29" w:tooltip="https://thedocs.worldbank.org/en/doc/593381437494441178-0290022015/render/ProgramforResultsPforRDirectiveJuly2015.pdf" w:history="1">
        <w:r>
          <w:rPr>
            <w:rStyle w:val="Lienhypertexte"/>
          </w:rPr>
          <w:t>Program-for-Results Financing</w:t>
        </w:r>
      </w:hyperlink>
      <w:r>
        <w:t>, Catalogue Number: OPCS5.04-DIR.01, OPCS;</w:t>
      </w:r>
    </w:p>
    <w:p w14:paraId="1C2A13B3" w14:textId="77777777" w:rsidR="00DD2C2C" w:rsidRDefault="00DD2C2C" w:rsidP="00DD2C2C">
      <w:pPr>
        <w:numPr>
          <w:ilvl w:val="0"/>
          <w:numId w:val="42"/>
        </w:numPr>
        <w:spacing w:line="240" w:lineRule="auto"/>
      </w:pPr>
      <w:r>
        <w:t xml:space="preserve">WB </w:t>
      </w:r>
      <w:hyperlink r:id="rId30" w:tooltip="https://www.worldbank.org/en/projects-operations/environmental-and-social-framework/brief/environmental-and-social-standards" w:history="1">
        <w:r>
          <w:rPr>
            <w:rStyle w:val="Lienhypertexte"/>
          </w:rPr>
          <w:t>E&amp;S Safeguard Standards</w:t>
        </w:r>
      </w:hyperlink>
      <w:r>
        <w:t>;</w:t>
      </w:r>
    </w:p>
    <w:p w14:paraId="1542791F" w14:textId="77777777" w:rsidR="00DD2C2C" w:rsidRDefault="00DD2C2C" w:rsidP="00DD2C2C">
      <w:pPr>
        <w:pStyle w:val="Paragraphedeliste"/>
        <w:numPr>
          <w:ilvl w:val="0"/>
          <w:numId w:val="42"/>
        </w:numPr>
        <w:spacing w:after="60" w:line="276" w:lineRule="auto"/>
        <w:jc w:val="both"/>
      </w:pPr>
      <w:r>
        <w:rPr>
          <w:rFonts w:eastAsia="Times New Roman"/>
          <w:sz w:val="24"/>
          <w:szCs w:val="24"/>
        </w:rPr>
        <w:t>For aspects related to labor, International Labor Organization (ILO) core labor standards.</w:t>
      </w:r>
    </w:p>
    <w:p w14:paraId="322D4B7E" w14:textId="77777777" w:rsidR="00DD2C2C" w:rsidRDefault="00DD2C2C" w:rsidP="00DD2C2C">
      <w:pPr>
        <w:jc w:val="both"/>
        <w:rPr>
          <w:b/>
        </w:rPr>
      </w:pPr>
    </w:p>
    <w:p w14:paraId="0EB5E137" w14:textId="77777777" w:rsidR="00DD2C2C" w:rsidRDefault="00DD2C2C" w:rsidP="00DD2C2C">
      <w:r>
        <w:t>The PBL SESA Report will be concise, focusing on tables and flow-charts and include the following main content (not necessarily in this order and outline):</w:t>
      </w:r>
    </w:p>
    <w:p w14:paraId="728DB68C" w14:textId="77777777" w:rsidR="00DD2C2C" w:rsidRDefault="00DD2C2C" w:rsidP="00DD2C2C">
      <w:pPr>
        <w:pStyle w:val="Paragraphedeliste"/>
        <w:numPr>
          <w:ilvl w:val="0"/>
          <w:numId w:val="43"/>
        </w:numPr>
        <w:spacing w:before="240" w:after="160" w:line="259" w:lineRule="auto"/>
        <w:jc w:val="both"/>
        <w:rPr>
          <w:iCs/>
          <w:lang w:val="en-US"/>
        </w:rPr>
      </w:pPr>
      <w:r>
        <w:rPr>
          <w:iCs/>
          <w:sz w:val="24"/>
          <w:lang w:val="en-US"/>
        </w:rPr>
        <w:t>Executive Summary (max. 3 pages);</w:t>
      </w:r>
    </w:p>
    <w:p w14:paraId="41A10235" w14:textId="77777777" w:rsidR="00DD2C2C" w:rsidRDefault="00DD2C2C" w:rsidP="00DD2C2C">
      <w:pPr>
        <w:pStyle w:val="Paragraphedeliste"/>
        <w:numPr>
          <w:ilvl w:val="0"/>
          <w:numId w:val="43"/>
        </w:numPr>
        <w:spacing w:before="240" w:after="160" w:line="259" w:lineRule="auto"/>
        <w:jc w:val="both"/>
        <w:rPr>
          <w:iCs/>
          <w:lang w:val="en-US"/>
        </w:rPr>
      </w:pPr>
      <w:r>
        <w:rPr>
          <w:iCs/>
          <w:sz w:val="24"/>
          <w:lang w:val="en-US"/>
        </w:rPr>
        <w:t>Objective &amp; methodological approach with short summary of key activities conducted during the assignment (max. 2 pages);</w:t>
      </w:r>
    </w:p>
    <w:p w14:paraId="58DE9414" w14:textId="77777777" w:rsidR="00DD2C2C" w:rsidRDefault="00DD2C2C" w:rsidP="00DD2C2C">
      <w:pPr>
        <w:pStyle w:val="Paragraphedeliste"/>
        <w:numPr>
          <w:ilvl w:val="0"/>
          <w:numId w:val="43"/>
        </w:numPr>
        <w:spacing w:after="60" w:line="276" w:lineRule="auto"/>
        <w:jc w:val="both"/>
        <w:rPr>
          <w:iCs/>
          <w:sz w:val="24"/>
          <w:lang w:val="en-US"/>
        </w:rPr>
      </w:pPr>
      <w:r>
        <w:rPr>
          <w:iCs/>
          <w:sz w:val="24"/>
          <w:lang w:val="en-US"/>
        </w:rPr>
        <w:t>E&amp;S legal framework in Uzbekistan (max. 3 pages);</w:t>
      </w:r>
    </w:p>
    <w:p w14:paraId="6DE3A186" w14:textId="77777777" w:rsidR="00DD2C2C" w:rsidRDefault="00DD2C2C" w:rsidP="00DD2C2C">
      <w:pPr>
        <w:pStyle w:val="Paragraphedeliste"/>
        <w:numPr>
          <w:ilvl w:val="0"/>
          <w:numId w:val="43"/>
        </w:numPr>
        <w:spacing w:before="240" w:after="160" w:line="259" w:lineRule="auto"/>
        <w:jc w:val="both"/>
        <w:rPr>
          <w:iCs/>
          <w:sz w:val="24"/>
          <w:lang w:val="en-US"/>
        </w:rPr>
      </w:pPr>
      <w:r>
        <w:rPr>
          <w:iCs/>
          <w:sz w:val="24"/>
          <w:lang w:val="en-US"/>
        </w:rPr>
        <w:lastRenderedPageBreak/>
        <w:t>Gap analysis of the E&amp;S practices of electrical energy sector stakeholders in Uzbekistan in relation to available international standards (max. 2 pages);</w:t>
      </w:r>
    </w:p>
    <w:p w14:paraId="50B87ED9" w14:textId="77777777" w:rsidR="00DD2C2C" w:rsidRDefault="00DD2C2C" w:rsidP="00DD2C2C">
      <w:pPr>
        <w:pStyle w:val="Paragraphedeliste"/>
        <w:numPr>
          <w:ilvl w:val="0"/>
          <w:numId w:val="43"/>
        </w:numPr>
        <w:spacing w:before="240" w:after="160" w:line="259" w:lineRule="auto"/>
        <w:jc w:val="both"/>
        <w:rPr>
          <w:iCs/>
          <w:lang w:val="en-US"/>
        </w:rPr>
      </w:pPr>
      <w:r>
        <w:rPr>
          <w:iCs/>
          <w:sz w:val="24"/>
          <w:lang w:val="en-US"/>
        </w:rPr>
        <w:t>Assessment of impacts/risks related to the specific public policy actions (max. 2 pages per policy action);</w:t>
      </w:r>
    </w:p>
    <w:p w14:paraId="50E73DB2" w14:textId="77777777" w:rsidR="00DD2C2C" w:rsidRDefault="00DD2C2C" w:rsidP="00DD2C2C">
      <w:pPr>
        <w:pStyle w:val="Paragraphedeliste"/>
        <w:numPr>
          <w:ilvl w:val="0"/>
          <w:numId w:val="43"/>
        </w:numPr>
        <w:spacing w:before="240" w:after="160" w:line="259" w:lineRule="auto"/>
        <w:jc w:val="both"/>
        <w:rPr>
          <w:iCs/>
          <w:lang w:val="en-US"/>
        </w:rPr>
      </w:pPr>
      <w:r>
        <w:rPr>
          <w:iCs/>
          <w:sz w:val="24"/>
          <w:lang w:val="en-US"/>
        </w:rPr>
        <w:t>Recommendations Table (policy actions and TA) (max. 3 pages);</w:t>
      </w:r>
    </w:p>
    <w:p w14:paraId="5236C0F6" w14:textId="77777777" w:rsidR="00DD2C2C" w:rsidRDefault="00DD2C2C" w:rsidP="00DD2C2C">
      <w:pPr>
        <w:pStyle w:val="Paragraphedeliste"/>
        <w:numPr>
          <w:ilvl w:val="0"/>
          <w:numId w:val="43"/>
        </w:numPr>
        <w:spacing w:before="240" w:after="160" w:line="259" w:lineRule="auto"/>
        <w:jc w:val="both"/>
        <w:rPr>
          <w:iCs/>
          <w:sz w:val="24"/>
          <w:lang w:val="en-US"/>
        </w:rPr>
      </w:pPr>
      <w:r>
        <w:rPr>
          <w:iCs/>
          <w:sz w:val="24"/>
          <w:lang w:val="en-US"/>
        </w:rPr>
        <w:t>Conclusion (max. 1 page).</w:t>
      </w:r>
    </w:p>
    <w:p w14:paraId="19957B68" w14:textId="77777777" w:rsidR="00DD2C2C" w:rsidRDefault="00DD2C2C" w:rsidP="00DD2C2C">
      <w:pPr>
        <w:pStyle w:val="Titre2"/>
        <w:ind w:left="1440"/>
        <w:jc w:val="both"/>
      </w:pPr>
      <w:bookmarkStart w:id="142" w:name="_Toc54022777"/>
      <w:r>
        <w:t xml:space="preserve">Activity n°3 - Evaluation report of the PBL Phase 2 </w:t>
      </w:r>
      <w:bookmarkEnd w:id="142"/>
    </w:p>
    <w:p w14:paraId="16ABF6B0" w14:textId="77777777" w:rsidR="00DD2C2C" w:rsidRDefault="00DD2C2C" w:rsidP="00DD2C2C">
      <w:pPr>
        <w:spacing w:before="240"/>
        <w:jc w:val="both"/>
      </w:pPr>
      <w:r>
        <w:t xml:space="preserve">The evaluation is designed to assess the extent to which the inputs provided by AFD/EF in the framework of public policy budget financing (funds, public policy dialogue, and technical assistance) have had an impact on the formulation and/or implementation of public policy in the energy sector and on the public institutions supported. </w:t>
      </w:r>
    </w:p>
    <w:p w14:paraId="5E23705D" w14:textId="77777777" w:rsidR="00DD2C2C" w:rsidRDefault="00DD2C2C" w:rsidP="00DD2C2C">
      <w:pPr>
        <w:spacing w:before="240"/>
        <w:jc w:val="both"/>
      </w:pPr>
      <w:r>
        <w:t>The evaluation therefore covers not only financial support but also all technical assistance activities, whatever their source of funding. The nature, scope and modalities of the dialogue on the public policies concerned also fall within the scope of the support provided and will have to be the subject of specific attention during the evaluation process.</w:t>
      </w:r>
    </w:p>
    <w:p w14:paraId="109A82FE" w14:textId="77777777" w:rsidR="00DD2C2C" w:rsidRDefault="00DD2C2C" w:rsidP="00DD2C2C">
      <w:pPr>
        <w:spacing w:before="240"/>
        <w:jc w:val="both"/>
      </w:pPr>
      <w:r>
        <w:t xml:space="preserve">Given the nature of the operation (notably budget financing), AFD's contribution can only be evaluated taking into account the financing and technical assistance provided by other donors and the Government of Uzbekistan. </w:t>
      </w:r>
    </w:p>
    <w:p w14:paraId="12A010A2" w14:textId="77777777" w:rsidR="00DD2C2C" w:rsidRDefault="00DD2C2C" w:rsidP="00DD2C2C">
      <w:pPr>
        <w:spacing w:before="240"/>
        <w:jc w:val="both"/>
      </w:pPr>
      <w:r>
        <w:t>The evaluation covers the period between 2023 and 2026. The period covered is not limited to the disbursement period and corresponds to the period of dialogue, implementation of technical assistance and monitoring of results.</w:t>
      </w:r>
    </w:p>
    <w:p w14:paraId="21AADFD5" w14:textId="77777777" w:rsidR="00DD2C2C" w:rsidRDefault="00DD2C2C" w:rsidP="00DD2C2C">
      <w:pPr>
        <w:spacing w:before="240"/>
        <w:jc w:val="both"/>
        <w:rPr>
          <w:b/>
        </w:rPr>
      </w:pPr>
      <w:r>
        <w:rPr>
          <w:b/>
        </w:rPr>
        <w:t xml:space="preserve">As these terms of reference are drafted several months before the activity n°3 is due to be performed, it is understood that it will be possible to modify/detail the focus of the evaluation when it starts. This will be done in agreement with the </w:t>
      </w:r>
      <w:r w:rsidRPr="00D379E3">
        <w:rPr>
          <w:b/>
        </w:rPr>
        <w:t>Providor</w:t>
      </w:r>
      <w:r>
        <w:t xml:space="preserve"> </w:t>
      </w:r>
      <w:r>
        <w:rPr>
          <w:b/>
        </w:rPr>
        <w:t>and Expertise France (in discussion with AFD).</w:t>
      </w:r>
    </w:p>
    <w:p w14:paraId="3359C512" w14:textId="77777777" w:rsidR="00DD2C2C" w:rsidRDefault="00DD2C2C" w:rsidP="00DD2C2C">
      <w:pPr>
        <w:spacing w:before="240"/>
        <w:jc w:val="both"/>
        <w:rPr>
          <w:b/>
        </w:rPr>
      </w:pPr>
      <w:r>
        <w:rPr>
          <w:b/>
        </w:rPr>
        <w:t>The methodological framework is set out in the Annex 3.</w:t>
      </w:r>
    </w:p>
    <w:p w14:paraId="15EA2373" w14:textId="77777777" w:rsidR="00DD2C2C" w:rsidRDefault="00DD2C2C" w:rsidP="00DD2C2C">
      <w:pPr>
        <w:spacing w:before="240"/>
      </w:pPr>
      <w:r>
        <w:t>The evaluation report shall cover the following topics:</w:t>
      </w:r>
    </w:p>
    <w:p w14:paraId="525EB96F" w14:textId="77777777" w:rsidR="00DD2C2C" w:rsidRDefault="00DD2C2C" w:rsidP="00DD2C2C">
      <w:pPr>
        <w:pStyle w:val="Paragraphedeliste"/>
        <w:numPr>
          <w:ilvl w:val="0"/>
          <w:numId w:val="44"/>
        </w:numPr>
        <w:spacing w:after="60" w:line="276" w:lineRule="auto"/>
        <w:jc w:val="both"/>
        <w:rPr>
          <w:b/>
          <w:sz w:val="24"/>
        </w:rPr>
      </w:pPr>
      <w:r>
        <w:rPr>
          <w:b/>
          <w:sz w:val="24"/>
        </w:rPr>
        <w:t>Relevance of the choice of PBL tool and its consistency with the context</w:t>
      </w:r>
    </w:p>
    <w:p w14:paraId="16FCBC2E" w14:textId="77777777" w:rsidR="00DD2C2C" w:rsidRDefault="00DD2C2C" w:rsidP="00DD2C2C">
      <w:pPr>
        <w:jc w:val="both"/>
      </w:pPr>
      <w:r>
        <w:t xml:space="preserve">The Providor will assess the appropriateness of the action carried out with regard to the objectives, intentions and issues at the outset (relevance of the intervention at its origin). More specifically, the Providor will examine the relevance of the support method chosen for this intervention (PBL) compared with other support methods (project approach, programme approach). </w:t>
      </w:r>
    </w:p>
    <w:p w14:paraId="78CBF6EA" w14:textId="77777777" w:rsidR="00DD2C2C" w:rsidRDefault="00DD2C2C" w:rsidP="00DD2C2C">
      <w:pPr>
        <w:jc w:val="both"/>
      </w:pPr>
      <w:r>
        <w:t xml:space="preserve">Specifically, the Providor will have to check that the financial instrument used is appropriate to the borrower's financial situation. </w:t>
      </w:r>
    </w:p>
    <w:p w14:paraId="43CC76C7" w14:textId="77777777" w:rsidR="00DD2C2C" w:rsidRDefault="00DD2C2C" w:rsidP="00DD2C2C">
      <w:pPr>
        <w:jc w:val="both"/>
      </w:pPr>
    </w:p>
    <w:p w14:paraId="15F58F3B" w14:textId="77777777" w:rsidR="00DD2C2C" w:rsidRDefault="00DD2C2C" w:rsidP="00DD2C2C">
      <w:pPr>
        <w:pStyle w:val="Paragraphedeliste"/>
        <w:numPr>
          <w:ilvl w:val="0"/>
          <w:numId w:val="44"/>
        </w:numPr>
        <w:spacing w:after="60" w:line="276" w:lineRule="auto"/>
        <w:jc w:val="both"/>
        <w:rPr>
          <w:b/>
        </w:rPr>
      </w:pPr>
      <w:r>
        <w:rPr>
          <w:b/>
          <w:sz w:val="24"/>
        </w:rPr>
        <w:t>Relevance and quality of the project approach and its implementation</w:t>
      </w:r>
    </w:p>
    <w:p w14:paraId="0884833C" w14:textId="77777777" w:rsidR="00DD2C2C" w:rsidRDefault="00DD2C2C" w:rsidP="00DD2C2C">
      <w:pPr>
        <w:jc w:val="both"/>
      </w:pPr>
      <w:r>
        <w:t>The Providor will pay particular attention to the internal coherence of the intervention. This will involve assessing whether the three types of input (funds, technical assistance, dialogue on public policies) are consistent with each other in terms of achieving the objectives.</w:t>
      </w:r>
    </w:p>
    <w:p w14:paraId="5EAB3C22" w14:textId="77777777" w:rsidR="00DD2C2C" w:rsidRDefault="00DD2C2C" w:rsidP="00DD2C2C">
      <w:pPr>
        <w:jc w:val="both"/>
      </w:pPr>
      <w:r>
        <w:t>It will also assess the external coherence of the intervention (consistency with actions undertaken by other players, in particular bilateral and/or multilateral donors).</w:t>
      </w:r>
    </w:p>
    <w:p w14:paraId="6A2ECC0D" w14:textId="77777777" w:rsidR="00DD2C2C" w:rsidRDefault="00DD2C2C" w:rsidP="00DD2C2C">
      <w:pPr>
        <w:rPr>
          <w:b/>
          <w:highlight w:val="yellow"/>
        </w:rPr>
      </w:pPr>
    </w:p>
    <w:p w14:paraId="2056F78D" w14:textId="77777777" w:rsidR="00DD2C2C" w:rsidRDefault="00DD2C2C" w:rsidP="00DD2C2C">
      <w:pPr>
        <w:pStyle w:val="Paragraphedeliste"/>
        <w:numPr>
          <w:ilvl w:val="0"/>
          <w:numId w:val="44"/>
        </w:numPr>
        <w:spacing w:after="60" w:line="276" w:lineRule="auto"/>
        <w:jc w:val="both"/>
        <w:rPr>
          <w:b/>
        </w:rPr>
      </w:pPr>
      <w:r>
        <w:rPr>
          <w:b/>
          <w:sz w:val="24"/>
        </w:rPr>
        <w:t>AFD's contribution to the achievement of direct and indirect outputs and effects on institutions</w:t>
      </w:r>
    </w:p>
    <w:p w14:paraId="4363941F" w14:textId="77777777" w:rsidR="00DD2C2C" w:rsidRDefault="00DD2C2C" w:rsidP="00DD2C2C">
      <w:pPr>
        <w:jc w:val="both"/>
      </w:pPr>
      <w:r>
        <w:t xml:space="preserve">(i) The Providor will first assess the </w:t>
      </w:r>
      <w:r>
        <w:rPr>
          <w:b/>
        </w:rPr>
        <w:t>direct outputs</w:t>
      </w:r>
      <w:r>
        <w:t xml:space="preserve"> of the intervention:</w:t>
      </w:r>
    </w:p>
    <w:p w14:paraId="5E363011" w14:textId="77777777" w:rsidR="00DD2C2C" w:rsidRDefault="00DD2C2C" w:rsidP="00DD2C2C">
      <w:pPr>
        <w:jc w:val="both"/>
      </w:pPr>
      <w:r>
        <w:t>- Predictable availability of funds. In particular, the Providor may analyse whether the budget allocated to the energy sector has increased as a result of the PBL;</w:t>
      </w:r>
    </w:p>
    <w:p w14:paraId="5FDEEEF7" w14:textId="77777777" w:rsidR="00DD2C2C" w:rsidRDefault="00DD2C2C" w:rsidP="00DD2C2C">
      <w:pPr>
        <w:jc w:val="both"/>
      </w:pPr>
      <w:r>
        <w:t>- Better coordination of public policy dialogue and technical assistance: to what extent has the PBL contributed to the coordination of support for capacity development and to effective and efficient public policy dialogue between the main stakeholders (government, donors, civil society, private sector, etc.).</w:t>
      </w:r>
    </w:p>
    <w:p w14:paraId="06825E10" w14:textId="77777777" w:rsidR="00DD2C2C" w:rsidRDefault="00DD2C2C" w:rsidP="00DD2C2C">
      <w:pPr>
        <w:jc w:val="both"/>
      </w:pPr>
      <w:r>
        <w:t>- Better alignment with government strategies and national procedures.</w:t>
      </w:r>
    </w:p>
    <w:p w14:paraId="525F479B" w14:textId="77777777" w:rsidR="00DD2C2C" w:rsidRDefault="00DD2C2C" w:rsidP="00DD2C2C">
      <w:pPr>
        <w:jc w:val="both"/>
      </w:pPr>
    </w:p>
    <w:p w14:paraId="2C4ADD33" w14:textId="77777777" w:rsidR="00DD2C2C" w:rsidRDefault="00DD2C2C" w:rsidP="00DD2C2C">
      <w:pPr>
        <w:jc w:val="both"/>
      </w:pPr>
      <w:r>
        <w:t>(ii) The Providor will assess the indirect effects of the intervention: improved processes for formulating and implementing public policies, strengthening of public sector institutions, improvements in terms of governance, and increased quantity and quality of goods and services provided by the public sector.</w:t>
      </w:r>
    </w:p>
    <w:p w14:paraId="4F14C9D7" w14:textId="77777777" w:rsidR="00DD2C2C" w:rsidRDefault="00DD2C2C" w:rsidP="00DD2C2C">
      <w:pPr>
        <w:jc w:val="both"/>
      </w:pPr>
    </w:p>
    <w:p w14:paraId="6B900E8D" w14:textId="77777777" w:rsidR="00DD2C2C" w:rsidRDefault="00DD2C2C" w:rsidP="00DD2C2C">
      <w:pPr>
        <w:jc w:val="both"/>
      </w:pPr>
      <w:r>
        <w:t>Assessing the effects on the formulation and implementation of public policies will be based in particular on monitoring the public policy matrix (Activity n°2). This will involve: assessing the implementation of policy actions and their effect on the formulation and/or implementation of the public policies they target. The Providor will produce an overall assessment of the implementation of the policy actions and will deepen their analysis on the sectors/areas of concentration of AFD's support and will assess how the matrix was relevant and well positioned to achieve the expected results.</w:t>
      </w:r>
    </w:p>
    <w:p w14:paraId="108B2213" w14:textId="77777777" w:rsidR="00DD2C2C" w:rsidRDefault="00DD2C2C" w:rsidP="00DD2C2C">
      <w:pPr>
        <w:jc w:val="both"/>
      </w:pPr>
    </w:p>
    <w:p w14:paraId="44A6E747" w14:textId="77777777" w:rsidR="00DD2C2C" w:rsidRDefault="00DD2C2C" w:rsidP="00DD2C2C">
      <w:pPr>
        <w:jc w:val="both"/>
      </w:pPr>
      <w:r>
        <w:t>In addition to analysing the matrix and achieving the indicators, the Providor will have to assess and explain the extent to which the intervention, and more specifically the public policy dialogue and technical assistance activities, have contributed to changes in public policies and institutions. The relevance, effectiveness and effects of the dialogue and technical assistance will therefore be analysed.</w:t>
      </w:r>
    </w:p>
    <w:p w14:paraId="5203675C" w14:textId="77777777" w:rsidR="00DD2C2C" w:rsidRDefault="00DD2C2C" w:rsidP="00DD2C2C">
      <w:pPr>
        <w:rPr>
          <w:b/>
        </w:rPr>
      </w:pPr>
    </w:p>
    <w:p w14:paraId="67A102B8" w14:textId="77777777" w:rsidR="00DD2C2C" w:rsidRDefault="00DD2C2C" w:rsidP="00DD2C2C">
      <w:pPr>
        <w:pStyle w:val="Paragraphedeliste"/>
        <w:numPr>
          <w:ilvl w:val="0"/>
          <w:numId w:val="44"/>
        </w:numPr>
        <w:spacing w:after="60" w:line="276" w:lineRule="auto"/>
        <w:jc w:val="both"/>
        <w:rPr>
          <w:b/>
        </w:rPr>
      </w:pPr>
      <w:r>
        <w:rPr>
          <w:b/>
          <w:sz w:val="24"/>
        </w:rPr>
        <w:t>Efficiency of the operation</w:t>
      </w:r>
    </w:p>
    <w:p w14:paraId="26F245EE" w14:textId="77777777" w:rsidR="00DD2C2C" w:rsidRDefault="00DD2C2C" w:rsidP="00DD2C2C">
      <w:r>
        <w:t>The Providor will analyse the efficiency of the operation. This will involve:</w:t>
      </w:r>
    </w:p>
    <w:p w14:paraId="37718351" w14:textId="77777777" w:rsidR="00DD2C2C" w:rsidRDefault="00DD2C2C" w:rsidP="00DD2C2C">
      <w:r>
        <w:t>- Assess the amount of the AFD loan;</w:t>
      </w:r>
    </w:p>
    <w:p w14:paraId="18C79BAF" w14:textId="77777777" w:rsidR="00DD2C2C" w:rsidRDefault="00DD2C2C" w:rsidP="00DD2C2C">
      <w:r>
        <w:t>- Assessing the amount of the technical assistance.</w:t>
      </w:r>
    </w:p>
    <w:p w14:paraId="3CAC5992" w14:textId="77777777" w:rsidR="00DD2C2C" w:rsidRDefault="00DD2C2C" w:rsidP="00DD2C2C">
      <w:pPr>
        <w:rPr>
          <w:highlight w:val="yellow"/>
        </w:rPr>
      </w:pPr>
      <w:r>
        <w:t>To do this, the Providor will have to analyse the time spent by AFD in appraising and monitoring the implementation of the operation (a balance sheet to be provided by AFD) and account for the financial resources mobilised in the form of subsidies (subsidy for the TA).</w:t>
      </w:r>
    </w:p>
    <w:p w14:paraId="3AF51D71" w14:textId="77777777" w:rsidR="00DD2C2C" w:rsidRDefault="00DD2C2C" w:rsidP="00DD2C2C">
      <w:pPr>
        <w:rPr>
          <w:b/>
          <w:highlight w:val="yellow"/>
        </w:rPr>
      </w:pPr>
    </w:p>
    <w:p w14:paraId="68774500" w14:textId="77777777" w:rsidR="00DD2C2C" w:rsidRDefault="00DD2C2C" w:rsidP="00DD2C2C">
      <w:pPr>
        <w:pStyle w:val="Paragraphedeliste"/>
        <w:numPr>
          <w:ilvl w:val="0"/>
          <w:numId w:val="44"/>
        </w:numPr>
        <w:spacing w:after="60" w:line="276" w:lineRule="auto"/>
        <w:jc w:val="both"/>
        <w:rPr>
          <w:b/>
        </w:rPr>
      </w:pPr>
      <w:r>
        <w:rPr>
          <w:b/>
          <w:sz w:val="24"/>
        </w:rPr>
        <w:t>AFD's added value (including TA)</w:t>
      </w:r>
    </w:p>
    <w:p w14:paraId="429EFFBF" w14:textId="77777777" w:rsidR="00DD2C2C" w:rsidRDefault="00DD2C2C" w:rsidP="00DD2C2C">
      <w:pPr>
        <w:jc w:val="both"/>
      </w:pPr>
      <w:r>
        <w:t>In this section, the Providor will assess the specific contribution and added value of AFD's action in relation to other interventions or methods available to the Uzbek government. It will be necessary to make a critical judgement, which will highlight the strengths and weaknesses of AFD's action. This analysis may focus on the characteristics of the financial resources provided by AFD, the content of the dialogue and technical assistance or any other issue identified by the Providor.</w:t>
      </w:r>
    </w:p>
    <w:p w14:paraId="68C607B1" w14:textId="77777777" w:rsidR="00DD2C2C" w:rsidRDefault="00DD2C2C" w:rsidP="00DD2C2C">
      <w:pPr>
        <w:rPr>
          <w:b/>
          <w:highlight w:val="yellow"/>
        </w:rPr>
      </w:pPr>
    </w:p>
    <w:p w14:paraId="1022122E" w14:textId="77777777" w:rsidR="00DD2C2C" w:rsidRDefault="00DD2C2C" w:rsidP="00DD2C2C">
      <w:pPr>
        <w:pStyle w:val="Paragraphedeliste"/>
        <w:numPr>
          <w:ilvl w:val="0"/>
          <w:numId w:val="44"/>
        </w:numPr>
        <w:spacing w:after="60" w:line="276" w:lineRule="auto"/>
        <w:jc w:val="both"/>
        <w:rPr>
          <w:b/>
        </w:rPr>
      </w:pPr>
      <w:r>
        <w:rPr>
          <w:b/>
          <w:sz w:val="24"/>
        </w:rPr>
        <w:t>Evolution of energy sector results (between 2023 and 2026)</w:t>
      </w:r>
    </w:p>
    <w:p w14:paraId="06203260" w14:textId="77777777" w:rsidR="00DD2C2C" w:rsidRDefault="00DD2C2C" w:rsidP="00DD2C2C">
      <w:pPr>
        <w:jc w:val="both"/>
        <w:rPr>
          <w:highlight w:val="yellow"/>
        </w:rPr>
      </w:pPr>
      <w:r>
        <w:t xml:space="preserve">In this section, the Providor is expected to document the main sectoral developments, without seeking to link them to the public policy supported by the PBL. To do this, the Providor will retrieve existing and available </w:t>
      </w:r>
      <w:r>
        <w:lastRenderedPageBreak/>
        <w:t>secondary data linked to the results and impact indicators and analyse them in order to document the main sectoral developments.</w:t>
      </w:r>
    </w:p>
    <w:p w14:paraId="1C39412D" w14:textId="77777777" w:rsidR="00DD2C2C" w:rsidRDefault="00DD2C2C" w:rsidP="00DD2C2C">
      <w:pPr>
        <w:rPr>
          <w:b/>
          <w:highlight w:val="yellow"/>
        </w:rPr>
      </w:pPr>
    </w:p>
    <w:p w14:paraId="5B862CF1" w14:textId="77777777" w:rsidR="00DD2C2C" w:rsidRDefault="00DD2C2C" w:rsidP="00DD2C2C">
      <w:pPr>
        <w:pStyle w:val="Paragraphedeliste"/>
        <w:numPr>
          <w:ilvl w:val="0"/>
          <w:numId w:val="44"/>
        </w:numPr>
        <w:spacing w:after="60" w:line="276" w:lineRule="auto"/>
        <w:jc w:val="both"/>
        <w:rPr>
          <w:b/>
        </w:rPr>
      </w:pPr>
      <w:r>
        <w:rPr>
          <w:b/>
          <w:sz w:val="24"/>
        </w:rPr>
        <w:t>Impact of PBL on energy sector results</w:t>
      </w:r>
    </w:p>
    <w:p w14:paraId="45771256" w14:textId="77777777" w:rsidR="00DD2C2C" w:rsidRDefault="00DD2C2C" w:rsidP="00DD2C2C">
      <w:pPr>
        <w:jc w:val="both"/>
      </w:pPr>
      <w:r>
        <w:t>The Providor will identify how the PBL has contributed to the results identified.</w:t>
      </w:r>
    </w:p>
    <w:p w14:paraId="04073F98" w14:textId="77777777" w:rsidR="00DD2C2C" w:rsidRDefault="00DD2C2C" w:rsidP="00DD2C2C">
      <w:pPr>
        <w:jc w:val="both"/>
      </w:pPr>
    </w:p>
    <w:p w14:paraId="251F4F3C" w14:textId="77777777" w:rsidR="00DD2C2C" w:rsidRDefault="00DD2C2C" w:rsidP="00DD2C2C">
      <w:pPr>
        <w:jc w:val="both"/>
      </w:pPr>
    </w:p>
    <w:p w14:paraId="3D2F804C" w14:textId="77777777" w:rsidR="00DD2C2C" w:rsidRDefault="00DD2C2C" w:rsidP="00DD2C2C">
      <w:pPr>
        <w:rPr>
          <w:b/>
        </w:rPr>
      </w:pPr>
    </w:p>
    <w:p w14:paraId="6259B2BB" w14:textId="77777777" w:rsidR="00DD2C2C" w:rsidRDefault="00DD2C2C" w:rsidP="00DD2C2C">
      <w:pPr>
        <w:pStyle w:val="Paragraphedeliste"/>
        <w:numPr>
          <w:ilvl w:val="0"/>
          <w:numId w:val="44"/>
        </w:numPr>
        <w:spacing w:after="60" w:line="276" w:lineRule="auto"/>
        <w:jc w:val="both"/>
        <w:rPr>
          <w:b/>
        </w:rPr>
      </w:pPr>
      <w:r>
        <w:rPr>
          <w:b/>
          <w:sz w:val="24"/>
        </w:rPr>
        <w:t>French influence in the energy sector</w:t>
      </w:r>
    </w:p>
    <w:p w14:paraId="262AA8F2" w14:textId="77777777" w:rsidR="00DD2C2C" w:rsidRDefault="00DD2C2C" w:rsidP="00DD2C2C">
      <w:pPr>
        <w:jc w:val="both"/>
      </w:pPr>
      <w:r>
        <w:t>The Providor will analyse the effects of the PBL on AFD's positioning in the energy sector and the benefits of public policy actions and technical assistance activities for French companies in the energy sector.</w:t>
      </w:r>
    </w:p>
    <w:p w14:paraId="4DA00CCD" w14:textId="77777777" w:rsidR="00DD2C2C" w:rsidRDefault="00DD2C2C" w:rsidP="00DD2C2C">
      <w:pPr>
        <w:spacing w:before="240"/>
        <w:rPr>
          <w:iCs/>
          <w:lang w:val="en-US"/>
        </w:rPr>
      </w:pPr>
      <w:r>
        <w:t xml:space="preserve">The evaluation report will consist of the </w:t>
      </w:r>
      <w:r>
        <w:rPr>
          <w:iCs/>
          <w:lang w:val="en-US"/>
        </w:rPr>
        <w:t>following parts:</w:t>
      </w:r>
    </w:p>
    <w:p w14:paraId="1017F9DB" w14:textId="77777777" w:rsidR="00DD2C2C" w:rsidRDefault="00DD2C2C" w:rsidP="00DD2C2C">
      <w:pPr>
        <w:pStyle w:val="Paragraphedeliste"/>
        <w:numPr>
          <w:ilvl w:val="0"/>
          <w:numId w:val="47"/>
        </w:numPr>
        <w:spacing w:before="240" w:after="160" w:line="259" w:lineRule="auto"/>
        <w:jc w:val="both"/>
        <w:rPr>
          <w:iCs/>
          <w:sz w:val="24"/>
          <w:lang w:val="en-US"/>
        </w:rPr>
      </w:pPr>
      <w:r>
        <w:rPr>
          <w:iCs/>
          <w:sz w:val="24"/>
          <w:lang w:val="en-US"/>
        </w:rPr>
        <w:t>Executive Summary (max. 3 pages).</w:t>
      </w:r>
    </w:p>
    <w:p w14:paraId="02D8F0D2" w14:textId="77777777" w:rsidR="00DD2C2C" w:rsidRDefault="00DD2C2C" w:rsidP="00DD2C2C">
      <w:pPr>
        <w:pStyle w:val="Paragraphedeliste"/>
        <w:numPr>
          <w:ilvl w:val="0"/>
          <w:numId w:val="47"/>
        </w:numPr>
        <w:spacing w:before="240" w:after="160" w:line="259" w:lineRule="auto"/>
        <w:jc w:val="both"/>
        <w:rPr>
          <w:iCs/>
          <w:sz w:val="24"/>
          <w:lang w:val="en-US"/>
        </w:rPr>
      </w:pPr>
      <w:r>
        <w:rPr>
          <w:iCs/>
          <w:sz w:val="24"/>
          <w:lang w:val="en-US"/>
        </w:rPr>
        <w:t>Justification, objective and methodology of the evaluation (max. 1 page).</w:t>
      </w:r>
    </w:p>
    <w:p w14:paraId="579B6CD9" w14:textId="77777777" w:rsidR="00DD2C2C" w:rsidRDefault="00DD2C2C" w:rsidP="00DD2C2C">
      <w:pPr>
        <w:pStyle w:val="Paragraphedeliste"/>
        <w:numPr>
          <w:ilvl w:val="0"/>
          <w:numId w:val="47"/>
        </w:numPr>
        <w:spacing w:after="160" w:line="259" w:lineRule="auto"/>
        <w:jc w:val="both"/>
        <w:rPr>
          <w:iCs/>
          <w:sz w:val="24"/>
          <w:lang w:val="en-US"/>
        </w:rPr>
      </w:pPr>
      <w:r>
        <w:rPr>
          <w:iCs/>
          <w:sz w:val="24"/>
          <w:lang w:val="en-US"/>
        </w:rPr>
        <w:t>PBL Evaluation (max. 15 pages):</w:t>
      </w:r>
    </w:p>
    <w:p w14:paraId="00ABA265" w14:textId="77777777" w:rsidR="00DD2C2C" w:rsidRDefault="00DD2C2C" w:rsidP="00DD2C2C">
      <w:pPr>
        <w:pStyle w:val="Paragraphedeliste"/>
        <w:numPr>
          <w:ilvl w:val="1"/>
          <w:numId w:val="38"/>
        </w:numPr>
        <w:spacing w:after="60" w:line="276" w:lineRule="auto"/>
        <w:jc w:val="both"/>
        <w:rPr>
          <w:iCs/>
          <w:sz w:val="24"/>
          <w:lang w:val="en-US"/>
        </w:rPr>
      </w:pPr>
      <w:r>
        <w:rPr>
          <w:iCs/>
          <w:sz w:val="24"/>
          <w:lang w:val="en-US"/>
        </w:rPr>
        <w:t>Relevance of the choice of PBL tool and its consistency with the context;</w:t>
      </w:r>
    </w:p>
    <w:p w14:paraId="5381B3D6" w14:textId="77777777" w:rsidR="00DD2C2C" w:rsidRDefault="00DD2C2C" w:rsidP="00DD2C2C">
      <w:pPr>
        <w:pStyle w:val="Paragraphedeliste"/>
        <w:numPr>
          <w:ilvl w:val="1"/>
          <w:numId w:val="38"/>
        </w:numPr>
        <w:spacing w:after="60" w:line="276" w:lineRule="auto"/>
        <w:jc w:val="both"/>
        <w:rPr>
          <w:iCs/>
          <w:sz w:val="24"/>
          <w:lang w:val="en-US"/>
        </w:rPr>
      </w:pPr>
      <w:r>
        <w:rPr>
          <w:iCs/>
          <w:sz w:val="24"/>
          <w:lang w:val="en-US"/>
        </w:rPr>
        <w:t>Relevance and quality of the project approach and its implementation;</w:t>
      </w:r>
    </w:p>
    <w:p w14:paraId="31DD0CF5" w14:textId="77777777" w:rsidR="00DD2C2C" w:rsidRDefault="00DD2C2C" w:rsidP="00DD2C2C">
      <w:pPr>
        <w:pStyle w:val="Paragraphedeliste"/>
        <w:numPr>
          <w:ilvl w:val="1"/>
          <w:numId w:val="38"/>
        </w:numPr>
        <w:spacing w:after="160" w:line="259" w:lineRule="auto"/>
        <w:jc w:val="both"/>
        <w:rPr>
          <w:iCs/>
          <w:sz w:val="24"/>
          <w:lang w:val="en-US"/>
        </w:rPr>
      </w:pPr>
      <w:r>
        <w:rPr>
          <w:iCs/>
          <w:sz w:val="24"/>
          <w:lang w:val="en-US"/>
        </w:rPr>
        <w:t>Direct and indirect outputs;</w:t>
      </w:r>
    </w:p>
    <w:p w14:paraId="0846EDBF" w14:textId="77777777" w:rsidR="00DD2C2C" w:rsidRDefault="00DD2C2C" w:rsidP="00DD2C2C">
      <w:pPr>
        <w:pStyle w:val="Paragraphedeliste"/>
        <w:numPr>
          <w:ilvl w:val="1"/>
          <w:numId w:val="38"/>
        </w:numPr>
        <w:spacing w:after="60" w:line="276" w:lineRule="auto"/>
        <w:jc w:val="both"/>
        <w:rPr>
          <w:iCs/>
          <w:sz w:val="24"/>
          <w:lang w:val="en-US"/>
        </w:rPr>
      </w:pPr>
      <w:r>
        <w:rPr>
          <w:iCs/>
          <w:sz w:val="24"/>
          <w:lang w:val="en-US"/>
        </w:rPr>
        <w:t>Efficiency of the operation;</w:t>
      </w:r>
    </w:p>
    <w:p w14:paraId="241B6A97" w14:textId="77777777" w:rsidR="00DD2C2C" w:rsidRDefault="00DD2C2C" w:rsidP="00DD2C2C">
      <w:pPr>
        <w:pStyle w:val="Paragraphedeliste"/>
        <w:numPr>
          <w:ilvl w:val="1"/>
          <w:numId w:val="38"/>
        </w:numPr>
        <w:spacing w:after="160" w:line="259" w:lineRule="auto"/>
        <w:jc w:val="both"/>
        <w:rPr>
          <w:iCs/>
          <w:sz w:val="24"/>
          <w:lang w:val="en-US"/>
        </w:rPr>
      </w:pPr>
      <w:r>
        <w:rPr>
          <w:iCs/>
          <w:sz w:val="24"/>
          <w:lang w:val="en-US"/>
        </w:rPr>
        <w:t>AFD's added value;</w:t>
      </w:r>
    </w:p>
    <w:p w14:paraId="4AD4F128" w14:textId="77777777" w:rsidR="00DD2C2C" w:rsidRDefault="00DD2C2C" w:rsidP="00DD2C2C">
      <w:pPr>
        <w:pStyle w:val="Paragraphedeliste"/>
        <w:numPr>
          <w:ilvl w:val="1"/>
          <w:numId w:val="38"/>
        </w:numPr>
        <w:spacing w:after="160" w:line="259" w:lineRule="auto"/>
        <w:jc w:val="both"/>
        <w:rPr>
          <w:iCs/>
          <w:sz w:val="24"/>
          <w:lang w:val="en-US"/>
        </w:rPr>
      </w:pPr>
      <w:r>
        <w:rPr>
          <w:iCs/>
          <w:sz w:val="24"/>
          <w:lang w:val="en-US"/>
        </w:rPr>
        <w:t>Evolution of energy sector results;</w:t>
      </w:r>
    </w:p>
    <w:p w14:paraId="66345E40" w14:textId="77777777" w:rsidR="00DD2C2C" w:rsidRDefault="00DD2C2C" w:rsidP="00DD2C2C">
      <w:pPr>
        <w:pStyle w:val="Paragraphedeliste"/>
        <w:numPr>
          <w:ilvl w:val="1"/>
          <w:numId w:val="38"/>
        </w:numPr>
        <w:spacing w:after="60" w:line="276" w:lineRule="auto"/>
        <w:jc w:val="both"/>
        <w:rPr>
          <w:iCs/>
          <w:sz w:val="24"/>
          <w:lang w:val="en-US"/>
        </w:rPr>
      </w:pPr>
      <w:r>
        <w:rPr>
          <w:iCs/>
          <w:sz w:val="24"/>
          <w:lang w:val="en-US"/>
        </w:rPr>
        <w:t>Impact of PBL on energy sector results;</w:t>
      </w:r>
    </w:p>
    <w:p w14:paraId="0210AB79" w14:textId="77777777" w:rsidR="00DD2C2C" w:rsidRDefault="00DD2C2C" w:rsidP="00DD2C2C">
      <w:pPr>
        <w:pStyle w:val="Paragraphedeliste"/>
        <w:numPr>
          <w:ilvl w:val="1"/>
          <w:numId w:val="38"/>
        </w:numPr>
        <w:spacing w:after="60" w:line="276" w:lineRule="auto"/>
        <w:jc w:val="both"/>
        <w:rPr>
          <w:iCs/>
          <w:sz w:val="24"/>
          <w:lang w:val="en-US"/>
        </w:rPr>
      </w:pPr>
      <w:r>
        <w:rPr>
          <w:iCs/>
          <w:sz w:val="24"/>
          <w:lang w:val="en-US"/>
        </w:rPr>
        <w:t>French influence in the energy sector.</w:t>
      </w:r>
    </w:p>
    <w:p w14:paraId="548EFBDA" w14:textId="77777777" w:rsidR="00DD2C2C" w:rsidRDefault="00DD2C2C" w:rsidP="00DD2C2C">
      <w:pPr>
        <w:pStyle w:val="Paragraphedeliste"/>
        <w:numPr>
          <w:ilvl w:val="0"/>
          <w:numId w:val="47"/>
        </w:numPr>
        <w:spacing w:after="160" w:line="259" w:lineRule="auto"/>
        <w:jc w:val="both"/>
        <w:rPr>
          <w:iCs/>
          <w:sz w:val="24"/>
          <w:lang w:val="en-US"/>
        </w:rPr>
      </w:pPr>
      <w:r>
        <w:rPr>
          <w:iCs/>
          <w:sz w:val="24"/>
          <w:lang w:val="en-US"/>
        </w:rPr>
        <w:t>Summary table of the above criteria assessment (max. 1 page).</w:t>
      </w:r>
    </w:p>
    <w:p w14:paraId="0C60AB33" w14:textId="77777777" w:rsidR="00DD2C2C" w:rsidRDefault="00DD2C2C" w:rsidP="00DD2C2C">
      <w:pPr>
        <w:pStyle w:val="Paragraphedeliste"/>
        <w:numPr>
          <w:ilvl w:val="0"/>
          <w:numId w:val="47"/>
        </w:numPr>
        <w:spacing w:before="240" w:after="160" w:line="259" w:lineRule="auto"/>
        <w:jc w:val="both"/>
        <w:rPr>
          <w:iCs/>
          <w:sz w:val="24"/>
        </w:rPr>
      </w:pPr>
      <w:r>
        <w:rPr>
          <w:iCs/>
          <w:sz w:val="24"/>
        </w:rPr>
        <w:t>Lessons learnt and recommandations (max. 2 pages).</w:t>
      </w:r>
    </w:p>
    <w:p w14:paraId="73947534" w14:textId="77777777" w:rsidR="00DD2C2C" w:rsidRDefault="00DD2C2C" w:rsidP="00DD2C2C">
      <w:pPr>
        <w:pStyle w:val="Paragraphedeliste"/>
        <w:spacing w:before="240" w:after="160" w:line="259" w:lineRule="auto"/>
        <w:rPr>
          <w:iCs/>
          <w:sz w:val="24"/>
        </w:rPr>
      </w:pPr>
    </w:p>
    <w:p w14:paraId="21613624" w14:textId="77777777" w:rsidR="00DD2C2C" w:rsidRDefault="00DD2C2C" w:rsidP="00DD2C2C">
      <w:pPr>
        <w:pStyle w:val="Titre1"/>
        <w:numPr>
          <w:ilvl w:val="0"/>
          <w:numId w:val="29"/>
        </w:numPr>
        <w:shd w:val="clear" w:color="auto" w:fill="8DB3E2" w:themeFill="text2" w:themeFillTint="66"/>
        <w:spacing w:before="240" w:after="60" w:line="240" w:lineRule="auto"/>
      </w:pPr>
      <w:bookmarkStart w:id="143" w:name="_Toc322967827"/>
      <w:bookmarkStart w:id="144" w:name="_Toc54022785"/>
      <w:r>
        <w:t>Provisional schedule</w:t>
      </w:r>
      <w:bookmarkEnd w:id="143"/>
      <w:bookmarkEnd w:id="144"/>
      <w:r>
        <w:t xml:space="preserve"> &amp; Deliverables</w:t>
      </w:r>
    </w:p>
    <w:p w14:paraId="2966CC6F" w14:textId="77777777" w:rsidR="00DD2C2C" w:rsidRDefault="00DD2C2C" w:rsidP="00DD2C2C"/>
    <w:tbl>
      <w:tblPr>
        <w:tblW w:w="99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25"/>
        <w:gridCol w:w="2749"/>
      </w:tblGrid>
      <w:tr w:rsidR="00DD2C2C" w14:paraId="45E33795" w14:textId="77777777" w:rsidTr="00DD2C2C">
        <w:trPr>
          <w:trHeight w:val="211"/>
          <w:jc w:val="center"/>
        </w:trPr>
        <w:tc>
          <w:tcPr>
            <w:tcW w:w="7225" w:type="dxa"/>
            <w:shd w:val="clear" w:color="auto" w:fill="EAF1DD" w:themeFill="accent3" w:themeFillTint="33"/>
          </w:tcPr>
          <w:p w14:paraId="67BD917E" w14:textId="77777777" w:rsidR="00DD2C2C" w:rsidRDefault="00DD2C2C" w:rsidP="00DD2C2C">
            <w:pPr>
              <w:jc w:val="center"/>
              <w:rPr>
                <w:b/>
              </w:rPr>
            </w:pPr>
            <w:r>
              <w:rPr>
                <w:b/>
              </w:rPr>
              <w:t>Milestones</w:t>
            </w:r>
          </w:p>
        </w:tc>
        <w:tc>
          <w:tcPr>
            <w:tcW w:w="2749" w:type="dxa"/>
            <w:shd w:val="clear" w:color="auto" w:fill="EAF1DD" w:themeFill="accent3" w:themeFillTint="33"/>
          </w:tcPr>
          <w:p w14:paraId="6E838070" w14:textId="77777777" w:rsidR="00DD2C2C" w:rsidRDefault="00DD2C2C" w:rsidP="00DD2C2C">
            <w:pPr>
              <w:jc w:val="center"/>
              <w:rPr>
                <w:b/>
              </w:rPr>
            </w:pPr>
            <w:r>
              <w:rPr>
                <w:b/>
              </w:rPr>
              <w:t>Date</w:t>
            </w:r>
          </w:p>
        </w:tc>
      </w:tr>
      <w:tr w:rsidR="00DD2C2C" w14:paraId="0E9F6938" w14:textId="77777777" w:rsidTr="00DD2C2C">
        <w:trPr>
          <w:trHeight w:val="291"/>
          <w:jc w:val="center"/>
        </w:trPr>
        <w:tc>
          <w:tcPr>
            <w:tcW w:w="7225" w:type="dxa"/>
          </w:tcPr>
          <w:p w14:paraId="38D82260" w14:textId="77777777" w:rsidR="00DD2C2C" w:rsidRDefault="00DD2C2C" w:rsidP="00DD2C2C">
            <w:pPr>
              <w:rPr>
                <w:b/>
              </w:rPr>
            </w:pPr>
            <w:r>
              <w:rPr>
                <w:b/>
              </w:rPr>
              <w:t>Kick off meeting with all stakeholders &amp; Workplan</w:t>
            </w:r>
          </w:p>
        </w:tc>
        <w:tc>
          <w:tcPr>
            <w:tcW w:w="2749" w:type="dxa"/>
          </w:tcPr>
          <w:p w14:paraId="56AB8F25" w14:textId="77777777" w:rsidR="00DD2C2C" w:rsidRDefault="00DD2C2C" w:rsidP="00DD2C2C">
            <w:pPr>
              <w:jc w:val="center"/>
            </w:pPr>
            <w:r>
              <w:t xml:space="preserve"> March 25</w:t>
            </w:r>
          </w:p>
        </w:tc>
      </w:tr>
      <w:tr w:rsidR="00DD2C2C" w14:paraId="28F902D5" w14:textId="77777777" w:rsidTr="00DD2C2C">
        <w:trPr>
          <w:trHeight w:val="291"/>
          <w:jc w:val="center"/>
        </w:trPr>
        <w:tc>
          <w:tcPr>
            <w:tcW w:w="7225" w:type="dxa"/>
          </w:tcPr>
          <w:p w14:paraId="1494369A" w14:textId="270C76DF" w:rsidR="00DD2C2C" w:rsidRDefault="00DD2C2C" w:rsidP="00DD2C2C">
            <w:pPr>
              <w:rPr>
                <w:b/>
              </w:rPr>
            </w:pPr>
            <w:r>
              <w:rPr>
                <w:b/>
              </w:rPr>
              <w:t>Activity n°1</w:t>
            </w:r>
            <w:r w:rsidR="006D4773">
              <w:rPr>
                <w:b/>
              </w:rPr>
              <w:t>.1</w:t>
            </w:r>
            <w:r>
              <w:rPr>
                <w:b/>
              </w:rPr>
              <w:t xml:space="preserve"> - PBL Phase 2 Monitoring Report </w:t>
            </w:r>
            <w:r>
              <w:rPr>
                <w:b/>
                <w:u w:val="single"/>
              </w:rPr>
              <w:t>2025</w:t>
            </w:r>
          </w:p>
        </w:tc>
        <w:tc>
          <w:tcPr>
            <w:tcW w:w="2749" w:type="dxa"/>
          </w:tcPr>
          <w:p w14:paraId="14FF80B3" w14:textId="77777777" w:rsidR="00DD2C2C" w:rsidRDefault="00DD2C2C" w:rsidP="00DD2C2C"/>
        </w:tc>
      </w:tr>
      <w:tr w:rsidR="00DD2C2C" w14:paraId="76D6CA2E" w14:textId="77777777" w:rsidTr="00DD2C2C">
        <w:trPr>
          <w:trHeight w:val="306"/>
          <w:jc w:val="center"/>
        </w:trPr>
        <w:tc>
          <w:tcPr>
            <w:tcW w:w="7225" w:type="dxa"/>
          </w:tcPr>
          <w:p w14:paraId="73EE7ADF" w14:textId="77777777" w:rsidR="00DD2C2C" w:rsidRDefault="00DD2C2C" w:rsidP="00DD2C2C">
            <w:pPr>
              <w:jc w:val="right"/>
            </w:pPr>
            <w:r>
              <w:t>Gathering information &amp; interviews with energy sector stakeholders</w:t>
            </w:r>
          </w:p>
        </w:tc>
        <w:tc>
          <w:tcPr>
            <w:tcW w:w="2749" w:type="dxa"/>
          </w:tcPr>
          <w:p w14:paraId="1EECA085" w14:textId="77777777" w:rsidR="00DD2C2C" w:rsidRDefault="00DD2C2C" w:rsidP="00DD2C2C">
            <w:pPr>
              <w:jc w:val="center"/>
            </w:pPr>
            <w:r>
              <w:t>March 25 – May 25</w:t>
            </w:r>
          </w:p>
        </w:tc>
      </w:tr>
      <w:tr w:rsidR="00DD2C2C" w14:paraId="1F7F7305" w14:textId="77777777" w:rsidTr="00DD2C2C">
        <w:trPr>
          <w:trHeight w:val="306"/>
          <w:jc w:val="center"/>
        </w:trPr>
        <w:tc>
          <w:tcPr>
            <w:tcW w:w="7225" w:type="dxa"/>
          </w:tcPr>
          <w:p w14:paraId="29174BEF" w14:textId="77777777" w:rsidR="00DD2C2C" w:rsidRDefault="00DD2C2C" w:rsidP="00DD2C2C">
            <w:pPr>
              <w:jc w:val="right"/>
            </w:pPr>
            <w:r>
              <w:t>1st version of the 2025 report</w:t>
            </w:r>
          </w:p>
        </w:tc>
        <w:tc>
          <w:tcPr>
            <w:tcW w:w="2749" w:type="dxa"/>
          </w:tcPr>
          <w:p w14:paraId="7DC8E829" w14:textId="77777777" w:rsidR="00DD2C2C" w:rsidRDefault="00DD2C2C" w:rsidP="00DD2C2C">
            <w:pPr>
              <w:jc w:val="center"/>
            </w:pPr>
            <w:r>
              <w:t>June 25</w:t>
            </w:r>
          </w:p>
        </w:tc>
      </w:tr>
      <w:tr w:rsidR="00DD2C2C" w14:paraId="799A7909" w14:textId="77777777" w:rsidTr="00DD2C2C">
        <w:trPr>
          <w:trHeight w:val="306"/>
          <w:jc w:val="center"/>
        </w:trPr>
        <w:tc>
          <w:tcPr>
            <w:tcW w:w="7225" w:type="dxa"/>
          </w:tcPr>
          <w:p w14:paraId="776C3FAF" w14:textId="77777777" w:rsidR="00DD2C2C" w:rsidRDefault="00DD2C2C" w:rsidP="00DD2C2C">
            <w:pPr>
              <w:jc w:val="right"/>
            </w:pPr>
            <w:r>
              <w:t>Final version of the 2025 report &amp; presentation during the TASC</w:t>
            </w:r>
          </w:p>
        </w:tc>
        <w:tc>
          <w:tcPr>
            <w:tcW w:w="2749" w:type="dxa"/>
          </w:tcPr>
          <w:p w14:paraId="0ED4179C" w14:textId="77777777" w:rsidR="00DD2C2C" w:rsidRDefault="00DD2C2C" w:rsidP="00DD2C2C">
            <w:pPr>
              <w:jc w:val="center"/>
            </w:pPr>
            <w:r>
              <w:t>July 25</w:t>
            </w:r>
          </w:p>
        </w:tc>
      </w:tr>
      <w:tr w:rsidR="00DD2C2C" w14:paraId="74B831D9" w14:textId="77777777" w:rsidTr="00DD2C2C">
        <w:trPr>
          <w:trHeight w:val="306"/>
          <w:jc w:val="center"/>
        </w:trPr>
        <w:tc>
          <w:tcPr>
            <w:tcW w:w="7225" w:type="dxa"/>
          </w:tcPr>
          <w:p w14:paraId="36224568" w14:textId="6B6472D2" w:rsidR="00DD2C2C" w:rsidRDefault="00DD2C2C" w:rsidP="00DD2C2C">
            <w:r>
              <w:rPr>
                <w:b/>
              </w:rPr>
              <w:t>Activity n°1</w:t>
            </w:r>
            <w:r w:rsidR="006D4773">
              <w:rPr>
                <w:b/>
              </w:rPr>
              <w:t>.2</w:t>
            </w:r>
            <w:r>
              <w:rPr>
                <w:b/>
              </w:rPr>
              <w:t xml:space="preserve"> - PBL Phase 2 Monitoring Report </w:t>
            </w:r>
            <w:r>
              <w:rPr>
                <w:b/>
                <w:u w:val="single"/>
              </w:rPr>
              <w:t>2026</w:t>
            </w:r>
          </w:p>
        </w:tc>
        <w:tc>
          <w:tcPr>
            <w:tcW w:w="2749" w:type="dxa"/>
          </w:tcPr>
          <w:p w14:paraId="5BCD796D" w14:textId="77777777" w:rsidR="00DD2C2C" w:rsidRDefault="00DD2C2C" w:rsidP="00DD2C2C">
            <w:pPr>
              <w:jc w:val="center"/>
            </w:pPr>
          </w:p>
        </w:tc>
      </w:tr>
      <w:tr w:rsidR="00DD2C2C" w14:paraId="10EC65F5" w14:textId="77777777" w:rsidTr="00DD2C2C">
        <w:trPr>
          <w:trHeight w:val="306"/>
          <w:jc w:val="center"/>
        </w:trPr>
        <w:tc>
          <w:tcPr>
            <w:tcW w:w="7225" w:type="dxa"/>
          </w:tcPr>
          <w:p w14:paraId="595D3735" w14:textId="77777777" w:rsidR="00DD2C2C" w:rsidRDefault="00DD2C2C" w:rsidP="00DD2C2C">
            <w:pPr>
              <w:jc w:val="right"/>
            </w:pPr>
            <w:r>
              <w:t>Gathering information &amp; interviews with energy sector stakeholders</w:t>
            </w:r>
          </w:p>
        </w:tc>
        <w:tc>
          <w:tcPr>
            <w:tcW w:w="2749" w:type="dxa"/>
          </w:tcPr>
          <w:p w14:paraId="681BE350" w14:textId="77777777" w:rsidR="00DD2C2C" w:rsidRDefault="00DD2C2C" w:rsidP="00DD2C2C">
            <w:pPr>
              <w:jc w:val="center"/>
            </w:pPr>
            <w:r>
              <w:t>March 26 – May 26</w:t>
            </w:r>
          </w:p>
        </w:tc>
      </w:tr>
      <w:tr w:rsidR="00DD2C2C" w14:paraId="73BCCA32" w14:textId="77777777" w:rsidTr="00DD2C2C">
        <w:trPr>
          <w:trHeight w:val="306"/>
          <w:jc w:val="center"/>
        </w:trPr>
        <w:tc>
          <w:tcPr>
            <w:tcW w:w="7225" w:type="dxa"/>
          </w:tcPr>
          <w:p w14:paraId="58101F13" w14:textId="77777777" w:rsidR="00DD2C2C" w:rsidRDefault="00DD2C2C" w:rsidP="00DD2C2C">
            <w:pPr>
              <w:jc w:val="right"/>
            </w:pPr>
            <w:r>
              <w:t>1st version of the 2026 report</w:t>
            </w:r>
          </w:p>
        </w:tc>
        <w:tc>
          <w:tcPr>
            <w:tcW w:w="2749" w:type="dxa"/>
          </w:tcPr>
          <w:p w14:paraId="7D850925" w14:textId="77777777" w:rsidR="00DD2C2C" w:rsidRDefault="00DD2C2C" w:rsidP="00DD2C2C">
            <w:pPr>
              <w:jc w:val="center"/>
            </w:pPr>
            <w:r>
              <w:t>June 26</w:t>
            </w:r>
          </w:p>
        </w:tc>
      </w:tr>
      <w:tr w:rsidR="00DD2C2C" w14:paraId="22838F26" w14:textId="77777777" w:rsidTr="00DD2C2C">
        <w:trPr>
          <w:trHeight w:val="306"/>
          <w:jc w:val="center"/>
        </w:trPr>
        <w:tc>
          <w:tcPr>
            <w:tcW w:w="7225" w:type="dxa"/>
          </w:tcPr>
          <w:p w14:paraId="2CA5E6D0" w14:textId="77777777" w:rsidR="00DD2C2C" w:rsidRDefault="00DD2C2C" w:rsidP="00DD2C2C">
            <w:pPr>
              <w:jc w:val="right"/>
            </w:pPr>
            <w:r>
              <w:t>Final ver</w:t>
            </w:r>
            <w:bookmarkStart w:id="145" w:name="_GoBack"/>
            <w:bookmarkEnd w:id="145"/>
            <w:r>
              <w:t>sion of the 2026 report &amp; presentation during the TASC</w:t>
            </w:r>
          </w:p>
        </w:tc>
        <w:tc>
          <w:tcPr>
            <w:tcW w:w="2749" w:type="dxa"/>
          </w:tcPr>
          <w:p w14:paraId="73947CC5" w14:textId="77777777" w:rsidR="00DD2C2C" w:rsidRDefault="00DD2C2C" w:rsidP="00DD2C2C">
            <w:pPr>
              <w:jc w:val="center"/>
            </w:pPr>
            <w:r>
              <w:t>July 26</w:t>
            </w:r>
          </w:p>
        </w:tc>
      </w:tr>
      <w:tr w:rsidR="00DD2C2C" w14:paraId="3A91055A" w14:textId="77777777" w:rsidTr="00DD2C2C">
        <w:trPr>
          <w:trHeight w:val="306"/>
          <w:jc w:val="center"/>
        </w:trPr>
        <w:tc>
          <w:tcPr>
            <w:tcW w:w="7225" w:type="dxa"/>
          </w:tcPr>
          <w:p w14:paraId="2C1768C4" w14:textId="77777777" w:rsidR="00DD2C2C" w:rsidRDefault="00DD2C2C" w:rsidP="00DD2C2C">
            <w:r>
              <w:rPr>
                <w:b/>
              </w:rPr>
              <w:t>Activity n°2 - Strategic environmental and social assessment</w:t>
            </w:r>
          </w:p>
        </w:tc>
        <w:tc>
          <w:tcPr>
            <w:tcW w:w="2749" w:type="dxa"/>
          </w:tcPr>
          <w:p w14:paraId="191AF761" w14:textId="77777777" w:rsidR="00DD2C2C" w:rsidRDefault="00DD2C2C" w:rsidP="00DD2C2C">
            <w:pPr>
              <w:jc w:val="center"/>
            </w:pPr>
          </w:p>
        </w:tc>
      </w:tr>
      <w:tr w:rsidR="00DD2C2C" w14:paraId="549F0F14" w14:textId="77777777" w:rsidTr="00DD2C2C">
        <w:trPr>
          <w:trHeight w:val="306"/>
          <w:jc w:val="center"/>
        </w:trPr>
        <w:tc>
          <w:tcPr>
            <w:tcW w:w="7225" w:type="dxa"/>
          </w:tcPr>
          <w:p w14:paraId="6887219D" w14:textId="77777777" w:rsidR="00DD2C2C" w:rsidRDefault="00DD2C2C" w:rsidP="00DD2C2C">
            <w:pPr>
              <w:jc w:val="right"/>
            </w:pPr>
            <w:r>
              <w:t>Gathering information &amp; interviews with key stakeholders</w:t>
            </w:r>
          </w:p>
        </w:tc>
        <w:tc>
          <w:tcPr>
            <w:tcW w:w="2749" w:type="dxa"/>
          </w:tcPr>
          <w:p w14:paraId="23216EA9" w14:textId="77777777" w:rsidR="00DD2C2C" w:rsidRDefault="00DD2C2C" w:rsidP="00DD2C2C">
            <w:pPr>
              <w:jc w:val="center"/>
            </w:pPr>
            <w:r>
              <w:t>March 25 – May 25</w:t>
            </w:r>
          </w:p>
        </w:tc>
      </w:tr>
      <w:tr w:rsidR="00DD2C2C" w14:paraId="3413853B" w14:textId="77777777" w:rsidTr="00DD2C2C">
        <w:trPr>
          <w:trHeight w:val="306"/>
          <w:jc w:val="center"/>
        </w:trPr>
        <w:tc>
          <w:tcPr>
            <w:tcW w:w="7225" w:type="dxa"/>
          </w:tcPr>
          <w:p w14:paraId="75124941" w14:textId="77777777" w:rsidR="00DD2C2C" w:rsidRDefault="00DD2C2C" w:rsidP="00DD2C2C">
            <w:pPr>
              <w:jc w:val="right"/>
            </w:pPr>
            <w:r>
              <w:t>1st version of the report</w:t>
            </w:r>
          </w:p>
        </w:tc>
        <w:tc>
          <w:tcPr>
            <w:tcW w:w="2749" w:type="dxa"/>
          </w:tcPr>
          <w:p w14:paraId="59913E65" w14:textId="77777777" w:rsidR="00DD2C2C" w:rsidRDefault="00DD2C2C" w:rsidP="00DD2C2C">
            <w:pPr>
              <w:jc w:val="center"/>
            </w:pPr>
            <w:r>
              <w:t>June 25</w:t>
            </w:r>
          </w:p>
        </w:tc>
      </w:tr>
      <w:tr w:rsidR="00DD2C2C" w14:paraId="055C4FA3" w14:textId="77777777" w:rsidTr="00DD2C2C">
        <w:trPr>
          <w:trHeight w:val="306"/>
          <w:jc w:val="center"/>
        </w:trPr>
        <w:tc>
          <w:tcPr>
            <w:tcW w:w="7225" w:type="dxa"/>
          </w:tcPr>
          <w:p w14:paraId="6BEAE86C" w14:textId="77777777" w:rsidR="00DD2C2C" w:rsidRDefault="00DD2C2C" w:rsidP="00DD2C2C">
            <w:pPr>
              <w:jc w:val="right"/>
            </w:pPr>
            <w:r>
              <w:t>Final version of the report &amp; presentation during the TASC</w:t>
            </w:r>
          </w:p>
        </w:tc>
        <w:tc>
          <w:tcPr>
            <w:tcW w:w="2749" w:type="dxa"/>
          </w:tcPr>
          <w:p w14:paraId="2DE355B8" w14:textId="77777777" w:rsidR="00DD2C2C" w:rsidRDefault="00DD2C2C" w:rsidP="00DD2C2C">
            <w:pPr>
              <w:jc w:val="center"/>
            </w:pPr>
            <w:r>
              <w:t>July 25</w:t>
            </w:r>
          </w:p>
        </w:tc>
      </w:tr>
      <w:tr w:rsidR="00DD2C2C" w14:paraId="1EA89D4B" w14:textId="77777777" w:rsidTr="00DD2C2C">
        <w:trPr>
          <w:trHeight w:val="293"/>
          <w:jc w:val="center"/>
        </w:trPr>
        <w:tc>
          <w:tcPr>
            <w:tcW w:w="7225" w:type="dxa"/>
          </w:tcPr>
          <w:p w14:paraId="4167C0E2" w14:textId="77777777" w:rsidR="00DD2C2C" w:rsidRDefault="00DD2C2C" w:rsidP="00DD2C2C">
            <w:r>
              <w:rPr>
                <w:b/>
              </w:rPr>
              <w:lastRenderedPageBreak/>
              <w:t>Activity n°3 - Evaluation report of the PBL Phase 2</w:t>
            </w:r>
          </w:p>
        </w:tc>
        <w:tc>
          <w:tcPr>
            <w:tcW w:w="2749" w:type="dxa"/>
          </w:tcPr>
          <w:p w14:paraId="445F7F6F" w14:textId="77777777" w:rsidR="00DD2C2C" w:rsidRDefault="00DD2C2C" w:rsidP="00DD2C2C">
            <w:pPr>
              <w:jc w:val="center"/>
            </w:pPr>
          </w:p>
        </w:tc>
      </w:tr>
      <w:tr w:rsidR="00DD2C2C" w14:paraId="00FB525B" w14:textId="77777777" w:rsidTr="00DD2C2C">
        <w:trPr>
          <w:trHeight w:val="306"/>
          <w:jc w:val="center"/>
        </w:trPr>
        <w:tc>
          <w:tcPr>
            <w:tcW w:w="7225" w:type="dxa"/>
          </w:tcPr>
          <w:p w14:paraId="45A7032A" w14:textId="77777777" w:rsidR="00DD2C2C" w:rsidRDefault="00DD2C2C" w:rsidP="00DD2C2C">
            <w:pPr>
              <w:jc w:val="right"/>
            </w:pPr>
            <w:r>
              <w:t>Inception report</w:t>
            </w:r>
          </w:p>
        </w:tc>
        <w:tc>
          <w:tcPr>
            <w:tcW w:w="2749" w:type="dxa"/>
          </w:tcPr>
          <w:p w14:paraId="33312F96" w14:textId="77777777" w:rsidR="00DD2C2C" w:rsidRDefault="00DD2C2C" w:rsidP="00DD2C2C">
            <w:pPr>
              <w:jc w:val="center"/>
            </w:pPr>
            <w:r>
              <w:t>April 26</w:t>
            </w:r>
          </w:p>
        </w:tc>
      </w:tr>
      <w:tr w:rsidR="00DD2C2C" w14:paraId="4F67FAF3" w14:textId="77777777" w:rsidTr="00DD2C2C">
        <w:trPr>
          <w:trHeight w:val="306"/>
          <w:jc w:val="center"/>
        </w:trPr>
        <w:tc>
          <w:tcPr>
            <w:tcW w:w="7225" w:type="dxa"/>
          </w:tcPr>
          <w:p w14:paraId="44931DC3" w14:textId="77777777" w:rsidR="00DD2C2C" w:rsidRDefault="00DD2C2C" w:rsidP="00DD2C2C">
            <w:pPr>
              <w:jc w:val="right"/>
              <w:rPr>
                <w:b/>
              </w:rPr>
            </w:pPr>
            <w:r>
              <w:t>1st version of the evaluation report</w:t>
            </w:r>
          </w:p>
        </w:tc>
        <w:tc>
          <w:tcPr>
            <w:tcW w:w="2749" w:type="dxa"/>
          </w:tcPr>
          <w:p w14:paraId="5AE99E3A" w14:textId="77777777" w:rsidR="00DD2C2C" w:rsidRDefault="00DD2C2C" w:rsidP="00DD2C2C">
            <w:pPr>
              <w:jc w:val="center"/>
            </w:pPr>
            <w:r>
              <w:t>May 26</w:t>
            </w:r>
          </w:p>
        </w:tc>
      </w:tr>
      <w:tr w:rsidR="00DD2C2C" w14:paraId="4D67F352" w14:textId="77777777" w:rsidTr="00DD2C2C">
        <w:trPr>
          <w:trHeight w:val="306"/>
          <w:jc w:val="center"/>
        </w:trPr>
        <w:tc>
          <w:tcPr>
            <w:tcW w:w="7225" w:type="dxa"/>
          </w:tcPr>
          <w:p w14:paraId="63131AFC" w14:textId="77777777" w:rsidR="00DD2C2C" w:rsidRDefault="00DD2C2C" w:rsidP="00DD2C2C">
            <w:pPr>
              <w:jc w:val="right"/>
            </w:pPr>
            <w:r>
              <w:t>Final version of the evaluation report &amp; presentation during the TASC</w:t>
            </w:r>
          </w:p>
        </w:tc>
        <w:tc>
          <w:tcPr>
            <w:tcW w:w="2749" w:type="dxa"/>
          </w:tcPr>
          <w:p w14:paraId="6EFF2629" w14:textId="77777777" w:rsidR="00DD2C2C" w:rsidRDefault="00DD2C2C" w:rsidP="00DD2C2C">
            <w:pPr>
              <w:jc w:val="center"/>
            </w:pPr>
            <w:r>
              <w:t>June 26</w:t>
            </w:r>
          </w:p>
        </w:tc>
      </w:tr>
    </w:tbl>
    <w:p w14:paraId="27EE7784" w14:textId="77777777" w:rsidR="00DD2C2C" w:rsidRDefault="00DD2C2C" w:rsidP="00DD2C2C">
      <w:pPr>
        <w:rPr>
          <w:u w:val="single"/>
        </w:rPr>
      </w:pPr>
    </w:p>
    <w:p w14:paraId="026BDDEC" w14:textId="77777777" w:rsidR="00DD2C2C" w:rsidRDefault="00DD2C2C" w:rsidP="00DD2C2C">
      <w:pPr>
        <w:rPr>
          <w:u w:val="single"/>
        </w:rPr>
      </w:pPr>
    </w:p>
    <w:p w14:paraId="7F2D4779" w14:textId="77777777" w:rsidR="00DD2C2C" w:rsidRDefault="00DD2C2C" w:rsidP="00DD2C2C">
      <w:pPr>
        <w:rPr>
          <w:u w:val="single"/>
        </w:rPr>
      </w:pPr>
    </w:p>
    <w:p w14:paraId="071BFBA0" w14:textId="77777777" w:rsidR="00DD2C2C" w:rsidRDefault="00DD2C2C" w:rsidP="00DD2C2C">
      <w:pPr>
        <w:pStyle w:val="Titre1"/>
        <w:numPr>
          <w:ilvl w:val="0"/>
          <w:numId w:val="29"/>
        </w:numPr>
        <w:shd w:val="clear" w:color="auto" w:fill="8DB3E2" w:themeFill="text2" w:themeFillTint="66"/>
        <w:spacing w:before="240" w:after="60" w:line="240" w:lineRule="auto"/>
      </w:pPr>
      <w:r>
        <w:t>Providor Profile</w:t>
      </w:r>
    </w:p>
    <w:p w14:paraId="5790EDAF" w14:textId="77777777" w:rsidR="00DD2C2C" w:rsidRDefault="00DD2C2C" w:rsidP="00DD2C2C">
      <w:pPr>
        <w:spacing w:before="120"/>
        <w:rPr>
          <w:lang w:val="en-US"/>
        </w:rPr>
      </w:pPr>
      <w:r>
        <w:rPr>
          <w:lang w:val="en-US"/>
        </w:rPr>
        <w:t>The skills required to conduct this assessment are those of a team of experts covering the following areas:</w:t>
      </w:r>
    </w:p>
    <w:p w14:paraId="6DFB3421" w14:textId="77777777" w:rsidR="00DD2C2C" w:rsidRDefault="00DD2C2C" w:rsidP="00DD2C2C">
      <w:pPr>
        <w:pStyle w:val="Paragraphedeliste"/>
        <w:numPr>
          <w:ilvl w:val="0"/>
          <w:numId w:val="48"/>
        </w:numPr>
        <w:spacing w:before="120" w:after="60" w:line="276" w:lineRule="auto"/>
        <w:jc w:val="both"/>
        <w:rPr>
          <w:lang w:val="en-US"/>
        </w:rPr>
      </w:pPr>
      <w:r>
        <w:rPr>
          <w:sz w:val="24"/>
          <w:lang w:val="en-US"/>
        </w:rPr>
        <w:t>Technical and sectoral knowledge and expertise in the energy field;</w:t>
      </w:r>
    </w:p>
    <w:p w14:paraId="590BC2DC" w14:textId="77777777" w:rsidR="00DD2C2C" w:rsidRDefault="00DD2C2C" w:rsidP="00DD2C2C">
      <w:pPr>
        <w:pStyle w:val="Paragraphedeliste"/>
        <w:numPr>
          <w:ilvl w:val="0"/>
          <w:numId w:val="48"/>
        </w:numPr>
        <w:spacing w:before="120" w:after="60" w:line="276" w:lineRule="auto"/>
        <w:jc w:val="both"/>
        <w:rPr>
          <w:lang w:val="en-US"/>
        </w:rPr>
      </w:pPr>
      <w:r>
        <w:rPr>
          <w:sz w:val="24"/>
          <w:lang w:val="en-US"/>
        </w:rPr>
        <w:t>Knowledge of the different aid modalities and in particular budgetary financing;</w:t>
      </w:r>
    </w:p>
    <w:p w14:paraId="333F48EA" w14:textId="77777777" w:rsidR="00DD2C2C" w:rsidRDefault="00DD2C2C" w:rsidP="00DD2C2C">
      <w:pPr>
        <w:pStyle w:val="Paragraphedeliste"/>
        <w:numPr>
          <w:ilvl w:val="0"/>
          <w:numId w:val="48"/>
        </w:numPr>
        <w:spacing w:before="120" w:after="60" w:line="276" w:lineRule="auto"/>
        <w:jc w:val="both"/>
        <w:rPr>
          <w:lang w:val="en-US"/>
        </w:rPr>
      </w:pPr>
      <w:r>
        <w:rPr>
          <w:sz w:val="24"/>
          <w:lang w:val="en-US"/>
        </w:rPr>
        <w:t xml:space="preserve">Extensive experience in the definition/design/drafting of policy reforms, preferably in lower- middle-income countries, and/or countries from Eastern Europe, Caucasus and Central Asia; </w:t>
      </w:r>
    </w:p>
    <w:p w14:paraId="1DDD0E6E" w14:textId="77777777" w:rsidR="00DD2C2C" w:rsidRDefault="00DD2C2C" w:rsidP="00DD2C2C">
      <w:pPr>
        <w:pStyle w:val="Paragraphedeliste"/>
        <w:numPr>
          <w:ilvl w:val="0"/>
          <w:numId w:val="48"/>
        </w:numPr>
        <w:spacing w:before="120" w:after="60" w:line="276" w:lineRule="auto"/>
        <w:jc w:val="both"/>
        <w:rPr>
          <w:lang w:val="en-US"/>
        </w:rPr>
      </w:pPr>
      <w:r>
        <w:rPr>
          <w:sz w:val="24"/>
          <w:lang w:val="en-US"/>
        </w:rPr>
        <w:t>Experience and knowledge working with IFIs, AFD and the Relevant Standards;</w:t>
      </w:r>
    </w:p>
    <w:p w14:paraId="447F4822" w14:textId="77777777" w:rsidR="00DD2C2C" w:rsidRDefault="00DD2C2C" w:rsidP="00DD2C2C">
      <w:pPr>
        <w:pStyle w:val="Paragraphedeliste"/>
        <w:numPr>
          <w:ilvl w:val="0"/>
          <w:numId w:val="48"/>
        </w:numPr>
        <w:spacing w:before="120" w:after="60" w:line="276" w:lineRule="auto"/>
        <w:jc w:val="both"/>
        <w:rPr>
          <w:lang w:val="en-US"/>
        </w:rPr>
      </w:pPr>
      <w:r>
        <w:rPr>
          <w:sz w:val="24"/>
          <w:lang w:val="en-US"/>
        </w:rPr>
        <w:t>Experience in Uzbekistan;</w:t>
      </w:r>
    </w:p>
    <w:p w14:paraId="61FF26B4" w14:textId="77777777" w:rsidR="00DD2C2C" w:rsidRDefault="00DD2C2C" w:rsidP="00DD2C2C">
      <w:pPr>
        <w:pStyle w:val="Paragraphedeliste"/>
        <w:numPr>
          <w:ilvl w:val="0"/>
          <w:numId w:val="48"/>
        </w:numPr>
        <w:spacing w:before="120" w:after="60" w:line="276" w:lineRule="auto"/>
        <w:jc w:val="both"/>
        <w:rPr>
          <w:lang w:val="en-US"/>
        </w:rPr>
      </w:pPr>
      <w:r>
        <w:rPr>
          <w:sz w:val="24"/>
          <w:lang w:val="en-US"/>
        </w:rPr>
        <w:t>Adequate language skills (English, Russian and Uzbek);</w:t>
      </w:r>
    </w:p>
    <w:p w14:paraId="147CA5E1" w14:textId="77777777" w:rsidR="00DD2C2C" w:rsidRDefault="00DD2C2C" w:rsidP="00DD2C2C">
      <w:pPr>
        <w:pStyle w:val="Paragraphedeliste"/>
        <w:numPr>
          <w:ilvl w:val="0"/>
          <w:numId w:val="48"/>
        </w:numPr>
        <w:spacing w:before="120" w:after="60" w:line="276" w:lineRule="auto"/>
        <w:jc w:val="both"/>
        <w:rPr>
          <w:sz w:val="24"/>
          <w:lang w:val="en-US"/>
        </w:rPr>
      </w:pPr>
      <w:r>
        <w:rPr>
          <w:sz w:val="24"/>
          <w:lang w:val="en-US"/>
        </w:rPr>
        <w:t>Knowledge and professional experience in evaluation in the field of development cooperation and in particular in the evaluation of budget support.</w:t>
      </w:r>
    </w:p>
    <w:p w14:paraId="0CF45E17" w14:textId="77777777" w:rsidR="00DD2C2C" w:rsidRDefault="00DD2C2C" w:rsidP="00DD2C2C">
      <w:pPr>
        <w:pStyle w:val="Paragraphedeliste"/>
        <w:spacing w:before="120"/>
        <w:rPr>
          <w:sz w:val="24"/>
          <w:lang w:val="en-US"/>
        </w:rPr>
      </w:pPr>
    </w:p>
    <w:p w14:paraId="15CA586C" w14:textId="77777777" w:rsidR="00DD2C2C" w:rsidRDefault="00DD2C2C" w:rsidP="00DD2C2C">
      <w:pPr>
        <w:pStyle w:val="Titre1"/>
        <w:numPr>
          <w:ilvl w:val="0"/>
          <w:numId w:val="29"/>
        </w:numPr>
        <w:shd w:val="clear" w:color="auto" w:fill="8DB3E2" w:themeFill="text2" w:themeFillTint="66"/>
        <w:spacing w:before="240" w:after="60" w:line="240" w:lineRule="auto"/>
      </w:pPr>
      <w:r>
        <w:t>Recruitment Procedures</w:t>
      </w:r>
    </w:p>
    <w:p w14:paraId="0EAEE654" w14:textId="77777777" w:rsidR="00DD2C2C" w:rsidRDefault="00DD2C2C" w:rsidP="00DD2C2C">
      <w:pPr>
        <w:rPr>
          <w:u w:val="single"/>
        </w:rPr>
      </w:pPr>
    </w:p>
    <w:p w14:paraId="66C6D5BE" w14:textId="77777777" w:rsidR="00DD2C2C" w:rsidRDefault="00DD2C2C" w:rsidP="00DD2C2C">
      <w:pPr>
        <w:jc w:val="both"/>
      </w:pPr>
      <w:r>
        <w:t xml:space="preserve">Technical and financial offer should be submitted to Expertise France through the platform PLACE. The financial offer should indicate daily rate, while technical offer should outline methodology, experts to be involved and their CV/bio. </w:t>
      </w:r>
    </w:p>
    <w:p w14:paraId="7502C0D2" w14:textId="77777777" w:rsidR="00DD2C2C" w:rsidRDefault="00DD2C2C" w:rsidP="00DD2C2C">
      <w:pPr>
        <w:jc w:val="both"/>
        <w:sectPr w:rsidR="00DD2C2C">
          <w:headerReference w:type="default" r:id="rId31"/>
          <w:footerReference w:type="default" r:id="rId32"/>
          <w:pgSz w:w="11900" w:h="16840"/>
          <w:pgMar w:top="1134" w:right="1120" w:bottom="680" w:left="1134" w:header="1134" w:footer="680" w:gutter="0"/>
          <w:cols w:space="720"/>
        </w:sectPr>
      </w:pPr>
      <w:r>
        <w:br w:type="page" w:clear="all"/>
      </w:r>
    </w:p>
    <w:p w14:paraId="05AC4096" w14:textId="77777777" w:rsidR="00DD2C2C" w:rsidRDefault="00DD2C2C" w:rsidP="00DD2C2C">
      <w:pPr>
        <w:rPr>
          <w:u w:val="single"/>
        </w:rPr>
      </w:pPr>
    </w:p>
    <w:p w14:paraId="3C367D8E" w14:textId="77777777" w:rsidR="00DD2C2C" w:rsidRDefault="00DD2C2C" w:rsidP="00DD2C2C">
      <w:pPr>
        <w:keepNext/>
        <w:ind w:firstLine="720"/>
        <w:jc w:val="center"/>
        <w:outlineLvl w:val="0"/>
        <w:rPr>
          <w:rFonts w:eastAsia="SimSun" w:cs="Arial"/>
          <w:b/>
          <w:caps/>
          <w:color w:val="000000"/>
        </w:rPr>
      </w:pPr>
      <w:bookmarkStart w:id="146" w:name="_Toc117264290"/>
      <w:r>
        <w:rPr>
          <w:rFonts w:eastAsia="SimSun" w:cs="Arial"/>
          <w:b/>
          <w:caps/>
          <w:color w:val="000000"/>
        </w:rPr>
        <w:t>Annex 1: Policy Matrix and Monitoring Framework</w:t>
      </w:r>
      <w:bookmarkEnd w:id="146"/>
    </w:p>
    <w:p w14:paraId="117B79DE" w14:textId="77777777" w:rsidR="00DD2C2C" w:rsidRDefault="00DD2C2C" w:rsidP="00DD2C2C">
      <w:pPr>
        <w:jc w:val="center"/>
        <w:rPr>
          <w:rFonts w:eastAsia="SimSun" w:cs="Arial"/>
          <w:b/>
          <w:color w:val="00B050"/>
        </w:rPr>
      </w:pPr>
    </w:p>
    <w:tbl>
      <w:tblPr>
        <w:tblW w:w="14040" w:type="dxa"/>
        <w:jc w:val="center"/>
        <w:tblBorders>
          <w:top w:val="single" w:sz="4" w:space="0" w:color="auto"/>
          <w:left w:val="single" w:sz="4" w:space="0" w:color="auto"/>
          <w:bottom w:val="single" w:sz="4" w:space="0" w:color="auto"/>
          <w:right w:val="single" w:sz="4" w:space="0" w:color="auto"/>
        </w:tblBorders>
        <w:tblLayout w:type="fixed"/>
        <w:tblCellMar>
          <w:top w:w="14" w:type="dxa"/>
          <w:bottom w:w="14" w:type="dxa"/>
        </w:tblCellMar>
        <w:tblLook w:val="04A0" w:firstRow="1" w:lastRow="0" w:firstColumn="1" w:lastColumn="0" w:noHBand="0" w:noVBand="1"/>
      </w:tblPr>
      <w:tblGrid>
        <w:gridCol w:w="14040"/>
      </w:tblGrid>
      <w:tr w:rsidR="00DD2C2C" w14:paraId="1E284037" w14:textId="77777777" w:rsidTr="00DD2C2C">
        <w:trPr>
          <w:jc w:val="center"/>
        </w:trPr>
        <w:tc>
          <w:tcPr>
            <w:tcW w:w="14040" w:type="dxa"/>
          </w:tcPr>
          <w:p w14:paraId="48FF05DA" w14:textId="77777777" w:rsidR="00DD2C2C" w:rsidRDefault="00DD2C2C" w:rsidP="00DD2C2C">
            <w:pPr>
              <w:jc w:val="both"/>
              <w:rPr>
                <w:rFonts w:eastAsia="SimSun" w:cs="Arial"/>
                <w:b/>
                <w:color w:val="000000"/>
              </w:rPr>
            </w:pPr>
            <w:r>
              <w:rPr>
                <w:rFonts w:eastAsia="SimSun" w:cs="Arial"/>
                <w:b/>
                <w:color w:val="000000"/>
              </w:rPr>
              <w:t>Country’s Overarching Development Objective</w:t>
            </w:r>
          </w:p>
          <w:p w14:paraId="7A904B9E" w14:textId="77777777" w:rsidR="00DD2C2C" w:rsidRDefault="00DD2C2C" w:rsidP="00DD2C2C">
            <w:pPr>
              <w:jc w:val="both"/>
              <w:rPr>
                <w:rFonts w:eastAsia="SimSun" w:cs="Arial"/>
              </w:rPr>
            </w:pPr>
          </w:p>
          <w:p w14:paraId="0CB1DAEC" w14:textId="77777777" w:rsidR="00DD2C2C" w:rsidRDefault="00DD2C2C" w:rsidP="00DD2C2C">
            <w:pPr>
              <w:jc w:val="both"/>
              <w:rPr>
                <w:rFonts w:eastAsia="SimSun" w:cs="Arial"/>
                <w:color w:val="000000"/>
              </w:rPr>
            </w:pPr>
            <w:bookmarkStart w:id="147" w:name="_Hlk166415006"/>
            <w:r>
              <w:rPr>
                <w:rFonts w:eastAsia="SimSun" w:cs="Arial"/>
              </w:rPr>
              <w:t>Sustainable, inclusive, and market-led power sector development facilitated</w:t>
            </w:r>
            <w:bookmarkEnd w:id="147"/>
            <w:r>
              <w:rPr>
                <w:rFonts w:eastAsia="SimSun" w:cs="Arial"/>
              </w:rPr>
              <w:t xml:space="preserve">. </w:t>
            </w:r>
            <w:r>
              <w:rPr>
                <w:rFonts w:eastAsia="SimSun" w:cs="Arial"/>
                <w:color w:val="000000"/>
                <w:vertAlign w:val="superscript"/>
              </w:rPr>
              <w:t>a</w:t>
            </w:r>
          </w:p>
        </w:tc>
      </w:tr>
    </w:tbl>
    <w:p w14:paraId="09344577" w14:textId="77777777" w:rsidR="00DD2C2C" w:rsidRDefault="00DD2C2C" w:rsidP="00DD2C2C">
      <w:pPr>
        <w:jc w:val="both"/>
        <w:rPr>
          <w:rFonts w:eastAsia="SimSun"/>
          <w:color w:val="000000"/>
          <w:sz w:val="2"/>
          <w:szCs w:val="2"/>
        </w:rPr>
      </w:pPr>
    </w:p>
    <w:tbl>
      <w:tblPr>
        <w:tblW w:w="14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bottom w:w="14" w:type="dxa"/>
        </w:tblCellMar>
        <w:tblLook w:val="04A0" w:firstRow="1" w:lastRow="0" w:firstColumn="1" w:lastColumn="0" w:noHBand="0" w:noVBand="1"/>
      </w:tblPr>
      <w:tblGrid>
        <w:gridCol w:w="7083"/>
        <w:gridCol w:w="7047"/>
      </w:tblGrid>
      <w:tr w:rsidR="00DD2C2C" w14:paraId="53E46520" w14:textId="77777777" w:rsidTr="00DD2C2C">
        <w:trPr>
          <w:jc w:val="center"/>
        </w:trPr>
        <w:tc>
          <w:tcPr>
            <w:tcW w:w="7083" w:type="dxa"/>
            <w:shd w:val="clear" w:color="auto" w:fill="auto"/>
          </w:tcPr>
          <w:p w14:paraId="3559A4A6" w14:textId="77777777" w:rsidR="00DD2C2C" w:rsidRDefault="00DD2C2C" w:rsidP="00DD2C2C">
            <w:pPr>
              <w:jc w:val="both"/>
              <w:rPr>
                <w:rFonts w:eastAsia="SimSun" w:cs="Arial"/>
                <w:b/>
                <w:color w:val="000000"/>
              </w:rPr>
            </w:pPr>
            <w:r>
              <w:rPr>
                <w:rFonts w:eastAsia="SimSun" w:cs="Arial"/>
                <w:b/>
                <w:color w:val="000000"/>
              </w:rPr>
              <w:t>Outcome</w:t>
            </w:r>
          </w:p>
          <w:p w14:paraId="4B0E338B" w14:textId="77777777" w:rsidR="00DD2C2C" w:rsidRDefault="00DD2C2C" w:rsidP="00DD2C2C">
            <w:pPr>
              <w:jc w:val="both"/>
              <w:rPr>
                <w:rFonts w:eastAsia="SimSun" w:cs="Arial"/>
              </w:rPr>
            </w:pPr>
          </w:p>
          <w:p w14:paraId="7ADC4105" w14:textId="77777777" w:rsidR="00DD2C2C" w:rsidRDefault="00DD2C2C" w:rsidP="00DD2C2C">
            <w:pPr>
              <w:jc w:val="both"/>
              <w:rPr>
                <w:rFonts w:eastAsia="SimSun" w:cs="Arial"/>
                <w:color w:val="FF0000"/>
              </w:rPr>
            </w:pPr>
            <w:r>
              <w:rPr>
                <w:rFonts w:eastAsia="SimSun" w:cs="Arial"/>
              </w:rPr>
              <w:t>Environment conducive to private investment and sector sustainability improved.</w:t>
            </w:r>
          </w:p>
        </w:tc>
        <w:tc>
          <w:tcPr>
            <w:tcW w:w="7047" w:type="dxa"/>
            <w:shd w:val="clear" w:color="auto" w:fill="auto"/>
          </w:tcPr>
          <w:p w14:paraId="6EB761BD" w14:textId="77777777" w:rsidR="00DD2C2C" w:rsidRDefault="00DD2C2C" w:rsidP="00DD2C2C">
            <w:pPr>
              <w:rPr>
                <w:rFonts w:eastAsia="SimSun" w:cs="Arial"/>
                <w:b/>
                <w:color w:val="000000"/>
              </w:rPr>
            </w:pPr>
            <w:r>
              <w:rPr>
                <w:rFonts w:eastAsia="SimSun" w:cs="Arial"/>
                <w:b/>
                <w:color w:val="000000"/>
              </w:rPr>
              <w:t>Risks and Critical Assumptions</w:t>
            </w:r>
          </w:p>
          <w:p w14:paraId="0C2D727E" w14:textId="77777777" w:rsidR="00DD2C2C" w:rsidRDefault="00DD2C2C" w:rsidP="00DD2C2C">
            <w:pPr>
              <w:rPr>
                <w:rFonts w:eastAsia="SimSun" w:cs="Arial"/>
                <w:color w:val="000000"/>
              </w:rPr>
            </w:pPr>
            <w:r>
              <w:rPr>
                <w:rFonts w:eastAsia="SimSun" w:cs="Arial"/>
                <w:color w:val="000000"/>
              </w:rPr>
              <w:br/>
              <w:t>A: Electricity demand growth rate continues to increase as envisaged in sector development plan.</w:t>
            </w:r>
          </w:p>
          <w:p w14:paraId="468E15BA" w14:textId="77777777" w:rsidR="00DD2C2C" w:rsidRDefault="00DD2C2C" w:rsidP="00DD2C2C">
            <w:pPr>
              <w:rPr>
                <w:rFonts w:eastAsia="SimSun" w:cs="Arial"/>
                <w:color w:val="000000"/>
              </w:rPr>
            </w:pPr>
            <w:r>
              <w:rPr>
                <w:rFonts w:eastAsia="SimSun"/>
                <w:color w:val="000000"/>
              </w:rPr>
              <w:t xml:space="preserve"> </w:t>
            </w:r>
          </w:p>
        </w:tc>
      </w:tr>
    </w:tbl>
    <w:p w14:paraId="7C084D52" w14:textId="77777777" w:rsidR="00DD2C2C" w:rsidRDefault="00DD2C2C" w:rsidP="00DD2C2C">
      <w:pPr>
        <w:jc w:val="both"/>
        <w:rPr>
          <w:rFonts w:eastAsia="SimSun"/>
          <w:color w:val="000000"/>
          <w:sz w:val="2"/>
          <w:szCs w:val="2"/>
        </w:rPr>
      </w:pPr>
    </w:p>
    <w:tbl>
      <w:tblPr>
        <w:tblpPr w:leftFromText="180" w:rightFromText="180" w:vertAnchor="text" w:tblpXSpec="center" w:tblpY="1"/>
        <w:tblOverlap w:val="neve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bottom w:w="14" w:type="dxa"/>
        </w:tblCellMar>
        <w:tblLook w:val="04A0" w:firstRow="1" w:lastRow="0" w:firstColumn="1" w:lastColumn="0" w:noHBand="0" w:noVBand="1"/>
      </w:tblPr>
      <w:tblGrid>
        <w:gridCol w:w="3539"/>
        <w:gridCol w:w="3544"/>
        <w:gridCol w:w="2693"/>
        <w:gridCol w:w="2268"/>
        <w:gridCol w:w="2126"/>
      </w:tblGrid>
      <w:tr w:rsidR="00DD2C2C" w14:paraId="2A24C2C8" w14:textId="77777777" w:rsidTr="00DD2C2C">
        <w:trPr>
          <w:tblHeader/>
        </w:trPr>
        <w:tc>
          <w:tcPr>
            <w:tcW w:w="3539" w:type="dxa"/>
            <w:shd w:val="clear" w:color="auto" w:fill="DDD9C3"/>
            <w:vAlign w:val="center"/>
          </w:tcPr>
          <w:p w14:paraId="658B34AE" w14:textId="77777777" w:rsidR="00DD2C2C" w:rsidRDefault="00DD2C2C" w:rsidP="00DD2C2C">
            <w:pPr>
              <w:keepNext/>
              <w:jc w:val="center"/>
              <w:rPr>
                <w:rFonts w:eastAsia="SimSun" w:cs="Arial"/>
                <w:b/>
                <w:color w:val="000000"/>
              </w:rPr>
            </w:pPr>
            <w:r>
              <w:rPr>
                <w:rFonts w:eastAsia="SimSun" w:cs="Arial"/>
                <w:b/>
                <w:color w:val="000000"/>
              </w:rPr>
              <w:t>Prior Actions: Subprogram 1</w:t>
            </w:r>
          </w:p>
          <w:p w14:paraId="2870D4A6" w14:textId="77777777" w:rsidR="00DD2C2C" w:rsidRDefault="00DD2C2C" w:rsidP="00DD2C2C">
            <w:pPr>
              <w:keepNext/>
              <w:jc w:val="center"/>
              <w:rPr>
                <w:rFonts w:eastAsia="SimSun" w:cs="Arial"/>
                <w:color w:val="000000"/>
              </w:rPr>
            </w:pPr>
            <w:r>
              <w:rPr>
                <w:rFonts w:eastAsia="SimSun" w:cs="Arial"/>
                <w:b/>
                <w:bCs/>
                <w:color w:val="000000"/>
              </w:rPr>
              <w:t>(Completed: July 2019 – July 2020)</w:t>
            </w:r>
          </w:p>
        </w:tc>
        <w:tc>
          <w:tcPr>
            <w:tcW w:w="3544" w:type="dxa"/>
            <w:shd w:val="clear" w:color="auto" w:fill="DDD9C3"/>
            <w:vAlign w:val="center"/>
          </w:tcPr>
          <w:p w14:paraId="0B9AAB31" w14:textId="77777777" w:rsidR="00DD2C2C" w:rsidRDefault="00DD2C2C" w:rsidP="00DD2C2C">
            <w:pPr>
              <w:keepNext/>
              <w:jc w:val="center"/>
              <w:rPr>
                <w:rFonts w:eastAsia="SimSun" w:cs="Arial"/>
                <w:b/>
                <w:color w:val="000000"/>
              </w:rPr>
            </w:pPr>
            <w:r>
              <w:rPr>
                <w:rFonts w:eastAsia="SimSun" w:cs="Arial"/>
                <w:b/>
                <w:color w:val="000000"/>
              </w:rPr>
              <w:t>Prior Actions: Subprogram 2</w:t>
            </w:r>
          </w:p>
          <w:p w14:paraId="47A623D5" w14:textId="77777777" w:rsidR="00DD2C2C" w:rsidRDefault="00DD2C2C" w:rsidP="00DD2C2C">
            <w:pPr>
              <w:keepNext/>
              <w:jc w:val="center"/>
              <w:rPr>
                <w:rFonts w:eastAsia="SimSun" w:cs="Arial"/>
                <w:color w:val="000000"/>
              </w:rPr>
            </w:pPr>
            <w:r>
              <w:rPr>
                <w:rFonts w:eastAsia="SimSun" w:cs="Arial"/>
                <w:b/>
                <w:bCs/>
                <w:color w:val="000000"/>
              </w:rPr>
              <w:t>(Completed: August 2020- August 2024)</w:t>
            </w:r>
          </w:p>
        </w:tc>
        <w:tc>
          <w:tcPr>
            <w:tcW w:w="2693" w:type="dxa"/>
            <w:shd w:val="clear" w:color="auto" w:fill="DDD9C3"/>
            <w:vAlign w:val="center"/>
          </w:tcPr>
          <w:p w14:paraId="4BB98296" w14:textId="77777777" w:rsidR="00DD2C2C" w:rsidRPr="003B004C" w:rsidRDefault="00DD2C2C" w:rsidP="00DD2C2C">
            <w:pPr>
              <w:keepNext/>
              <w:jc w:val="center"/>
              <w:rPr>
                <w:rFonts w:eastAsia="SimSun" w:cs="Arial"/>
                <w:b/>
                <w:bCs/>
                <w:color w:val="000000"/>
              </w:rPr>
            </w:pPr>
            <w:r w:rsidRPr="003B004C">
              <w:rPr>
                <w:rFonts w:eastAsia="SimSun" w:cs="Arial"/>
                <w:b/>
                <w:bCs/>
                <w:color w:val="000000"/>
              </w:rPr>
              <w:t>Follow-up points</w:t>
            </w:r>
          </w:p>
          <w:p w14:paraId="26D39706" w14:textId="77777777" w:rsidR="00DD2C2C" w:rsidRDefault="00DD2C2C" w:rsidP="00DD2C2C">
            <w:pPr>
              <w:keepNext/>
              <w:jc w:val="center"/>
              <w:rPr>
                <w:rFonts w:eastAsia="SimSun" w:cs="Arial"/>
                <w:b/>
                <w:color w:val="000000"/>
              </w:rPr>
            </w:pPr>
            <w:r w:rsidRPr="003B004C">
              <w:rPr>
                <w:rFonts w:eastAsia="SimSun" w:cs="Arial"/>
                <w:b/>
                <w:bCs/>
                <w:color w:val="000000"/>
              </w:rPr>
              <w:t xml:space="preserve"> (AFD TA n°2)</w:t>
            </w:r>
          </w:p>
        </w:tc>
        <w:tc>
          <w:tcPr>
            <w:tcW w:w="2268" w:type="dxa"/>
            <w:shd w:val="clear" w:color="auto" w:fill="DDD9C3"/>
            <w:vAlign w:val="center"/>
          </w:tcPr>
          <w:p w14:paraId="1E55958D" w14:textId="77777777" w:rsidR="00DD2C2C" w:rsidRDefault="00DD2C2C" w:rsidP="00DD2C2C">
            <w:pPr>
              <w:keepNext/>
              <w:jc w:val="center"/>
              <w:rPr>
                <w:rFonts w:eastAsia="SimSun" w:cs="Arial"/>
                <w:bCs/>
                <w:color w:val="000000"/>
              </w:rPr>
            </w:pPr>
            <w:r>
              <w:rPr>
                <w:rFonts w:eastAsia="SimSun" w:cs="Arial"/>
                <w:b/>
                <w:color w:val="000000"/>
              </w:rPr>
              <w:t>Outcome Indicators (ADB/AFD)</w:t>
            </w:r>
          </w:p>
        </w:tc>
        <w:tc>
          <w:tcPr>
            <w:tcW w:w="2126" w:type="dxa"/>
            <w:shd w:val="clear" w:color="auto" w:fill="DDD9C3"/>
            <w:vAlign w:val="center"/>
          </w:tcPr>
          <w:p w14:paraId="545709EE" w14:textId="77777777" w:rsidR="00DD2C2C" w:rsidRDefault="00DD2C2C" w:rsidP="00DD2C2C">
            <w:pPr>
              <w:keepNext/>
              <w:jc w:val="center"/>
              <w:rPr>
                <w:rFonts w:eastAsia="SimSun" w:cs="Arial"/>
                <w:b/>
                <w:color w:val="000000"/>
              </w:rPr>
            </w:pPr>
            <w:r>
              <w:rPr>
                <w:rFonts w:eastAsia="SimSun" w:cs="Arial"/>
                <w:b/>
                <w:color w:val="000000"/>
              </w:rPr>
              <w:t>Post Program Partnership Framework (ADB/AFD)</w:t>
            </w:r>
          </w:p>
        </w:tc>
      </w:tr>
      <w:tr w:rsidR="00DD2C2C" w14:paraId="4DB11076" w14:textId="77777777" w:rsidTr="00DD2C2C">
        <w:tc>
          <w:tcPr>
            <w:tcW w:w="12044" w:type="dxa"/>
            <w:gridSpan w:val="4"/>
            <w:shd w:val="clear" w:color="auto" w:fill="F2F2F2"/>
          </w:tcPr>
          <w:p w14:paraId="5F514BE5" w14:textId="77777777" w:rsidR="00DD2C2C" w:rsidRDefault="00DD2C2C" w:rsidP="00DD2C2C">
            <w:pPr>
              <w:keepNext/>
              <w:rPr>
                <w:rFonts w:eastAsia="SimSun" w:cs="Arial"/>
                <w:color w:val="000000"/>
              </w:rPr>
            </w:pPr>
            <w:r>
              <w:rPr>
                <w:rFonts w:eastAsia="SimSun" w:cs="Arial"/>
                <w:b/>
                <w:color w:val="000000"/>
              </w:rPr>
              <w:t xml:space="preserve">Reform Area 1: </w:t>
            </w:r>
            <w:r>
              <w:rPr>
                <w:rFonts w:eastAsia="SimSun" w:cs="Arial"/>
                <w:bCs/>
              </w:rPr>
              <w:t>Power Sector Restructured and Regulations Adopted</w:t>
            </w:r>
          </w:p>
        </w:tc>
        <w:tc>
          <w:tcPr>
            <w:tcW w:w="2126" w:type="dxa"/>
            <w:shd w:val="clear" w:color="auto" w:fill="F2F2F2"/>
          </w:tcPr>
          <w:p w14:paraId="4CD976D8" w14:textId="77777777" w:rsidR="00DD2C2C" w:rsidRDefault="00DD2C2C" w:rsidP="00DD2C2C">
            <w:pPr>
              <w:keepNext/>
              <w:rPr>
                <w:rFonts w:eastAsia="SimSun" w:cs="Arial"/>
                <w:b/>
                <w:color w:val="000000"/>
              </w:rPr>
            </w:pPr>
          </w:p>
        </w:tc>
      </w:tr>
      <w:tr w:rsidR="00DD2C2C" w14:paraId="0D0E026E" w14:textId="77777777" w:rsidTr="00DD2C2C">
        <w:tc>
          <w:tcPr>
            <w:tcW w:w="3539" w:type="dxa"/>
            <w:tcBorders>
              <w:top w:val="single" w:sz="4" w:space="0" w:color="auto"/>
              <w:left w:val="single" w:sz="4" w:space="0" w:color="auto"/>
              <w:bottom w:val="single" w:sz="4" w:space="0" w:color="auto"/>
              <w:right w:val="single" w:sz="4" w:space="0" w:color="auto"/>
            </w:tcBorders>
          </w:tcPr>
          <w:p w14:paraId="1CD17076" w14:textId="77777777" w:rsidR="00DD2C2C" w:rsidRDefault="00DD2C2C" w:rsidP="00DD2C2C">
            <w:pPr>
              <w:numPr>
                <w:ilvl w:val="1"/>
                <w:numId w:val="31"/>
              </w:numPr>
              <w:tabs>
                <w:tab w:val="left" w:pos="1327"/>
              </w:tabs>
              <w:spacing w:line="240" w:lineRule="auto"/>
              <w:ind w:left="420" w:hanging="420"/>
              <w:jc w:val="both"/>
              <w:rPr>
                <w:rFonts w:eastAsia="SimSun" w:cs="Arial"/>
                <w:iCs/>
                <w:color w:val="000000"/>
              </w:rPr>
            </w:pPr>
            <w:bookmarkStart w:id="148" w:name="_Hlk167387473"/>
            <w:r>
              <w:rPr>
                <w:rFonts w:eastAsia="SimSun" w:cs="Arial"/>
              </w:rPr>
              <w:t>Government adopted the power sector development program for 2020–2030 developed by the Ministry of Energy as the new sector regulatory and policy-making entity which contains (i) long-term investment program to decarbonize the sector; (ii) diversification of energy resources; and (iii) time-bound plan for deregulation and competitive power market Description of policy action.</w:t>
            </w:r>
          </w:p>
        </w:tc>
        <w:tc>
          <w:tcPr>
            <w:tcW w:w="3544" w:type="dxa"/>
            <w:tcBorders>
              <w:top w:val="single" w:sz="4" w:space="0" w:color="auto"/>
              <w:left w:val="single" w:sz="4" w:space="0" w:color="auto"/>
              <w:bottom w:val="single" w:sz="4" w:space="0" w:color="auto"/>
              <w:right w:val="single" w:sz="4" w:space="0" w:color="auto"/>
            </w:tcBorders>
          </w:tcPr>
          <w:p w14:paraId="29D4206E" w14:textId="77777777" w:rsidR="00DD2C2C" w:rsidRDefault="00DD2C2C" w:rsidP="00DD2C2C">
            <w:pPr>
              <w:ind w:left="428" w:hanging="428"/>
              <w:rPr>
                <w:rFonts w:eastAsia="SimSun" w:cs="Arial"/>
                <w:iCs/>
                <w:color w:val="000000"/>
              </w:rPr>
            </w:pPr>
            <w:r>
              <w:rPr>
                <w:rFonts w:eastAsia="SimSun" w:cs="Arial"/>
                <w:iCs/>
                <w:color w:val="000000"/>
              </w:rPr>
              <w:t>2.1.</w:t>
            </w:r>
            <w:r>
              <w:rPr>
                <w:rFonts w:eastAsia="SimSun" w:cs="Arial"/>
                <w:iCs/>
                <w:color w:val="000000"/>
              </w:rPr>
              <w:tab/>
              <w:t xml:space="preserve">Government approved the next stage of energy sector reform, including electricity sector market liberalization concept and a phased transition road map, to be implemented over 2023-2030, for opening of the electricity market and establishment of an independent market operator to promote </w:t>
            </w:r>
            <w:r>
              <w:rPr>
                <w:rFonts w:eastAsia="SimSun" w:cs="Arial"/>
                <w:iCs/>
                <w:color w:val="000000"/>
              </w:rPr>
              <w:lastRenderedPageBreak/>
              <w:t>competition and private sector participation in the sector.</w:t>
            </w:r>
          </w:p>
          <w:p w14:paraId="49ECF354" w14:textId="77777777" w:rsidR="00DD2C2C" w:rsidRDefault="00DD2C2C" w:rsidP="00DD2C2C">
            <w:pPr>
              <w:ind w:left="428" w:hanging="428"/>
              <w:rPr>
                <w:rFonts w:eastAsia="SimSun" w:cs="Arial"/>
                <w:iCs/>
                <w:color w:val="000000"/>
              </w:rPr>
            </w:pPr>
          </w:p>
          <w:p w14:paraId="223FAF6A" w14:textId="77777777" w:rsidR="00DD2C2C" w:rsidRDefault="00DD2C2C" w:rsidP="00DD2C2C">
            <w:pPr>
              <w:ind w:left="428" w:hanging="428"/>
              <w:rPr>
                <w:rFonts w:eastAsia="SimSun" w:cs="Arial"/>
                <w:iCs/>
                <w:color w:val="000000"/>
              </w:rPr>
            </w:pPr>
            <w:r>
              <w:rPr>
                <w:rFonts w:eastAsia="SimSun" w:cs="Arial"/>
                <w:iCs/>
                <w:color w:val="000000"/>
              </w:rPr>
              <w:t>2.2.</w:t>
            </w:r>
            <w:r>
              <w:rPr>
                <w:rFonts w:eastAsia="SimSun" w:cs="Arial"/>
                <w:iCs/>
                <w:color w:val="000000"/>
              </w:rPr>
              <w:tab/>
              <w:t>Government submitted to the Parliament the new Electricity law based on the sector market liberalization concept to ensure transparent and non-discriminatory functioning of the sector and sector entities, and promote private investments and renewable energy penetration.</w:t>
            </w:r>
          </w:p>
        </w:tc>
        <w:tc>
          <w:tcPr>
            <w:tcW w:w="2693" w:type="dxa"/>
            <w:tcBorders>
              <w:top w:val="single" w:sz="4" w:space="0" w:color="auto"/>
              <w:left w:val="single" w:sz="4" w:space="0" w:color="auto"/>
              <w:bottom w:val="single" w:sz="4" w:space="0" w:color="auto"/>
              <w:right w:val="single" w:sz="4" w:space="0" w:color="auto"/>
            </w:tcBorders>
          </w:tcPr>
          <w:p w14:paraId="00393D71" w14:textId="77777777" w:rsidR="00DD2C2C" w:rsidRDefault="00DD2C2C" w:rsidP="00DD2C2C">
            <w:pPr>
              <w:jc w:val="both"/>
              <w:rPr>
                <w:rFonts w:eastAsia="SimSun" w:cs="Arial"/>
                <w:bCs/>
                <w:u w:val="single"/>
              </w:rPr>
            </w:pPr>
            <w:r>
              <w:rPr>
                <w:rFonts w:eastAsia="SimSun" w:cs="Arial"/>
                <w:bCs/>
                <w:u w:val="single"/>
              </w:rPr>
              <w:lastRenderedPageBreak/>
              <w:t>Objective:</w:t>
            </w:r>
            <w:r>
              <w:rPr>
                <w:rFonts w:eastAsia="SimSun" w:cs="Arial"/>
                <w:bCs/>
              </w:rPr>
              <w:t xml:space="preserve"> A clear structure and general rules for the efficient, transparent and non-discriminatory operation of the electricity sector.</w:t>
            </w:r>
          </w:p>
          <w:p w14:paraId="2EF6D9EA" w14:textId="77777777" w:rsidR="00DD2C2C" w:rsidRDefault="00DD2C2C" w:rsidP="00DD2C2C">
            <w:pPr>
              <w:ind w:left="288"/>
              <w:jc w:val="both"/>
              <w:rPr>
                <w:rFonts w:eastAsia="SimSun" w:cs="Arial"/>
                <w:bCs/>
                <w:u w:val="single"/>
              </w:rPr>
            </w:pPr>
          </w:p>
          <w:p w14:paraId="4F12B2E3" w14:textId="77777777" w:rsidR="00DD2C2C" w:rsidRDefault="00DD2C2C" w:rsidP="00DD2C2C">
            <w:pPr>
              <w:jc w:val="both"/>
              <w:rPr>
                <w:rFonts w:eastAsia="SimSun" w:cs="Arial"/>
                <w:bCs/>
                <w:u w:val="single"/>
              </w:rPr>
            </w:pPr>
            <w:r>
              <w:rPr>
                <w:rFonts w:eastAsia="SimSun" w:cs="Arial"/>
                <w:bCs/>
                <w:u w:val="single"/>
              </w:rPr>
              <w:t>Follow-up :</w:t>
            </w:r>
          </w:p>
          <w:p w14:paraId="1B657E44" w14:textId="77777777" w:rsidR="00DD2C2C" w:rsidRDefault="00DD2C2C" w:rsidP="00DD2C2C">
            <w:pPr>
              <w:rPr>
                <w:rFonts w:eastAsia="Calibri" w:cs="Arial"/>
                <w:bCs/>
              </w:rPr>
            </w:pPr>
            <w:r>
              <w:rPr>
                <w:rFonts w:eastAsia="Calibri" w:cs="Arial"/>
                <w:bCs/>
              </w:rPr>
              <w:t xml:space="preserve">- Task allocation between the different players in the energy sector (CoM, MoE, </w:t>
            </w:r>
            <w:r>
              <w:rPr>
                <w:rFonts w:eastAsia="Calibri" w:cs="Arial"/>
                <w:bCs/>
              </w:rPr>
              <w:lastRenderedPageBreak/>
              <w:t>Regulator Agency, Single Buyer, SoEs).</w:t>
            </w:r>
          </w:p>
          <w:p w14:paraId="1FA9BB57" w14:textId="77777777" w:rsidR="00DD2C2C" w:rsidRDefault="00DD2C2C" w:rsidP="00DD2C2C">
            <w:pPr>
              <w:rPr>
                <w:rFonts w:eastAsia="Calibri" w:cs="Arial"/>
                <w:bCs/>
              </w:rPr>
            </w:pPr>
            <w:r>
              <w:rPr>
                <w:rFonts w:eastAsia="Calibri" w:cs="Arial"/>
                <w:bCs/>
              </w:rPr>
              <w:t>- Operationalization of the Regulator Agency.</w:t>
            </w:r>
          </w:p>
          <w:p w14:paraId="4D84BAC4" w14:textId="77777777" w:rsidR="00DD2C2C" w:rsidRDefault="00DD2C2C" w:rsidP="00DD2C2C">
            <w:pPr>
              <w:rPr>
                <w:rFonts w:eastAsia="SimSun" w:cs="Arial"/>
                <w:bCs/>
              </w:rPr>
            </w:pPr>
            <w:r>
              <w:rPr>
                <w:rFonts w:eastAsia="Calibri" w:cs="Arial"/>
                <w:bCs/>
              </w:rPr>
              <w:t>- Number of licenses issued.</w:t>
            </w:r>
          </w:p>
        </w:tc>
        <w:tc>
          <w:tcPr>
            <w:tcW w:w="2268" w:type="dxa"/>
            <w:vMerge w:val="restart"/>
            <w:tcBorders>
              <w:top w:val="single" w:sz="4" w:space="0" w:color="auto"/>
              <w:left w:val="single" w:sz="4" w:space="0" w:color="auto"/>
              <w:bottom w:val="single" w:sz="4" w:space="0" w:color="auto"/>
              <w:right w:val="single" w:sz="4" w:space="0" w:color="auto"/>
            </w:tcBorders>
          </w:tcPr>
          <w:p w14:paraId="77FDD9F3" w14:textId="77777777" w:rsidR="00DD2C2C" w:rsidRDefault="00DD2C2C" w:rsidP="00DD2C2C">
            <w:pPr>
              <w:numPr>
                <w:ilvl w:val="0"/>
                <w:numId w:val="32"/>
              </w:numPr>
              <w:spacing w:line="240" w:lineRule="auto"/>
              <w:jc w:val="both"/>
              <w:rPr>
                <w:rFonts w:eastAsia="SimSun" w:cs="Arial"/>
                <w:color w:val="000000"/>
              </w:rPr>
            </w:pPr>
            <w:r>
              <w:rPr>
                <w:rFonts w:eastAsia="SimSun" w:cs="Arial"/>
              </w:rPr>
              <w:lastRenderedPageBreak/>
              <w:t>Share of private sector participation in power generation in capacity terms increased to at least 15% by 2025 (2019 baseline: 0%).</w:t>
            </w:r>
          </w:p>
          <w:p w14:paraId="609F3CEE" w14:textId="77777777" w:rsidR="00DD2C2C" w:rsidRDefault="00DD2C2C" w:rsidP="00DD2C2C">
            <w:pPr>
              <w:ind w:left="288"/>
              <w:jc w:val="both"/>
              <w:rPr>
                <w:rFonts w:eastAsia="SimSun" w:cs="Arial"/>
                <w:color w:val="000000"/>
                <w:lang w:val="en-US"/>
              </w:rPr>
            </w:pPr>
          </w:p>
          <w:p w14:paraId="57F167D4" w14:textId="77777777" w:rsidR="00DD2C2C" w:rsidRDefault="00DD2C2C" w:rsidP="00DD2C2C">
            <w:pPr>
              <w:ind w:left="288"/>
              <w:jc w:val="both"/>
              <w:rPr>
                <w:rFonts w:eastAsia="SimSun" w:cs="Arial"/>
                <w:color w:val="000000"/>
              </w:rPr>
            </w:pPr>
            <w:r>
              <w:rPr>
                <w:rFonts w:eastAsia="SimSun" w:cs="Arial"/>
              </w:rPr>
              <w:t>Source: Annual report of MOE.</w:t>
            </w:r>
            <w:r>
              <w:rPr>
                <w:rFonts w:eastAsia="SimSun" w:cs="Arial"/>
                <w:color w:val="FF0000"/>
              </w:rPr>
              <w:t xml:space="preserve"> </w:t>
            </w:r>
            <w:r>
              <w:rPr>
                <w:rFonts w:eastAsia="SimSun" w:cs="Arial"/>
                <w:color w:val="000000"/>
                <w:vertAlign w:val="superscript"/>
              </w:rPr>
              <w:t xml:space="preserve"> b</w:t>
            </w:r>
            <w:r>
              <w:rPr>
                <w:rFonts w:eastAsia="SimSun" w:cs="Arial"/>
                <w:color w:val="FF0000"/>
              </w:rPr>
              <w:br/>
            </w:r>
          </w:p>
        </w:tc>
        <w:tc>
          <w:tcPr>
            <w:tcW w:w="2126" w:type="dxa"/>
            <w:vMerge w:val="restart"/>
            <w:tcBorders>
              <w:top w:val="single" w:sz="4" w:space="0" w:color="auto"/>
              <w:left w:val="single" w:sz="4" w:space="0" w:color="auto"/>
            </w:tcBorders>
          </w:tcPr>
          <w:p w14:paraId="63290309" w14:textId="77777777" w:rsidR="00DD2C2C" w:rsidRDefault="00DD2C2C" w:rsidP="00DD2C2C">
            <w:pPr>
              <w:numPr>
                <w:ilvl w:val="0"/>
                <w:numId w:val="33"/>
              </w:numPr>
              <w:spacing w:line="240" w:lineRule="auto"/>
              <w:ind w:left="253" w:hanging="270"/>
              <w:jc w:val="both"/>
              <w:rPr>
                <w:rFonts w:eastAsia="SimSun" w:cs="Arial"/>
              </w:rPr>
            </w:pPr>
            <w:r>
              <w:rPr>
                <w:rFonts w:eastAsia="SimSun" w:cs="Arial"/>
              </w:rPr>
              <w:t xml:space="preserve">Biannual reporting on progress against 3-phased transition plan under Presidential resolution 166; </w:t>
            </w:r>
          </w:p>
          <w:p w14:paraId="37665400" w14:textId="77777777" w:rsidR="00DD2C2C" w:rsidRDefault="00DD2C2C" w:rsidP="00DD2C2C">
            <w:pPr>
              <w:numPr>
                <w:ilvl w:val="0"/>
                <w:numId w:val="33"/>
              </w:numPr>
              <w:spacing w:line="240" w:lineRule="auto"/>
              <w:ind w:left="253" w:hanging="270"/>
              <w:jc w:val="both"/>
              <w:rPr>
                <w:rFonts w:eastAsia="SimSun" w:cs="Arial"/>
              </w:rPr>
            </w:pPr>
            <w:r>
              <w:rPr>
                <w:rFonts w:eastAsia="SimSun" w:cs="Arial"/>
              </w:rPr>
              <w:t xml:space="preserve">Biannual reporting on progress made on approvals of the two draft laws (PA 2.2 and PA 2.15) submitted to the Parliament; and </w:t>
            </w:r>
          </w:p>
          <w:p w14:paraId="6BB154C5" w14:textId="77777777" w:rsidR="00DD2C2C" w:rsidRDefault="00DD2C2C" w:rsidP="00DD2C2C">
            <w:pPr>
              <w:numPr>
                <w:ilvl w:val="0"/>
                <w:numId w:val="33"/>
              </w:numPr>
              <w:spacing w:line="240" w:lineRule="auto"/>
              <w:ind w:left="253" w:hanging="270"/>
              <w:jc w:val="both"/>
              <w:rPr>
                <w:rFonts w:eastAsia="SimSun" w:cs="Arial"/>
              </w:rPr>
            </w:pPr>
            <w:r>
              <w:rPr>
                <w:rFonts w:eastAsia="SimSun" w:cs="Arial"/>
              </w:rPr>
              <w:lastRenderedPageBreak/>
              <w:t>annual report on progress achieved against NEGU's debt management plan.</w:t>
            </w:r>
            <w:bookmarkEnd w:id="148"/>
          </w:p>
        </w:tc>
      </w:tr>
      <w:tr w:rsidR="00DD2C2C" w14:paraId="26A7F089" w14:textId="77777777" w:rsidTr="00DD2C2C">
        <w:tc>
          <w:tcPr>
            <w:tcW w:w="3539" w:type="dxa"/>
            <w:tcBorders>
              <w:top w:val="single" w:sz="4" w:space="0" w:color="auto"/>
              <w:left w:val="single" w:sz="4" w:space="0" w:color="auto"/>
              <w:bottom w:val="single" w:sz="4" w:space="0" w:color="auto"/>
              <w:right w:val="single" w:sz="4" w:space="0" w:color="auto"/>
            </w:tcBorders>
          </w:tcPr>
          <w:p w14:paraId="6D7FE8FC" w14:textId="77777777" w:rsidR="00DD2C2C" w:rsidRDefault="00DD2C2C" w:rsidP="00DD2C2C">
            <w:pPr>
              <w:numPr>
                <w:ilvl w:val="1"/>
                <w:numId w:val="31"/>
              </w:numPr>
              <w:tabs>
                <w:tab w:val="left" w:pos="1327"/>
              </w:tabs>
              <w:spacing w:line="240" w:lineRule="auto"/>
              <w:ind w:left="420" w:hanging="420"/>
              <w:jc w:val="both"/>
              <w:rPr>
                <w:rFonts w:eastAsia="SimSun" w:cs="Arial"/>
                <w:color w:val="000000"/>
              </w:rPr>
            </w:pPr>
            <w:r>
              <w:rPr>
                <w:rFonts w:eastAsia="SimSun" w:cs="Arial"/>
                <w:iCs/>
              </w:rPr>
              <w:lastRenderedPageBreak/>
              <w:t>Government (i) approved a power sector reform implementation plan for 2019–2022, (ii) unbundled Uzbekenergo; and operationalized the newly created JSC TPP and 10 generation companies, JSC NEGU, and JSC REPN with accounting, functional and legal separation completed, and (iii) JSC TPP, JSC NEGU, and JSC REPN approved KPIs to establish</w:t>
            </w:r>
            <w:r>
              <w:rPr>
                <w:rFonts w:eastAsia="SimSun" w:cs="Arial"/>
              </w:rPr>
              <w:t xml:space="preserve"> </w:t>
            </w:r>
            <w:r>
              <w:rPr>
                <w:rFonts w:eastAsia="SimSun" w:cs="Arial"/>
                <w:iCs/>
              </w:rPr>
              <w:t>separate operational targets for the unbundled entities</w:t>
            </w:r>
            <w:r>
              <w:rPr>
                <w:rFonts w:eastAsia="SimSun" w:cs="Arial"/>
              </w:rPr>
              <w:t>.</w:t>
            </w:r>
          </w:p>
        </w:tc>
        <w:tc>
          <w:tcPr>
            <w:tcW w:w="3544" w:type="dxa"/>
            <w:tcBorders>
              <w:top w:val="single" w:sz="4" w:space="0" w:color="auto"/>
              <w:left w:val="single" w:sz="4" w:space="0" w:color="auto"/>
              <w:bottom w:val="single" w:sz="4" w:space="0" w:color="auto"/>
              <w:right w:val="single" w:sz="4" w:space="0" w:color="auto"/>
            </w:tcBorders>
          </w:tcPr>
          <w:p w14:paraId="5F1A0022" w14:textId="77777777" w:rsidR="00DD2C2C" w:rsidRDefault="00DD2C2C" w:rsidP="00DD2C2C">
            <w:pPr>
              <w:ind w:left="428" w:hanging="428"/>
              <w:rPr>
                <w:rFonts w:eastAsia="SimSun" w:cs="Arial"/>
                <w:color w:val="000000"/>
              </w:rPr>
            </w:pPr>
            <w:r>
              <w:rPr>
                <w:rFonts w:eastAsia="SimSun" w:cs="Arial"/>
              </w:rPr>
              <w:t xml:space="preserve">2.3. The newly created 9 JSC TPPs and 14 distribution subsidiary branches generated IFRS-based audit financial statements for full consolidation with JSC TPP and JSC REPN. </w:t>
            </w:r>
          </w:p>
        </w:tc>
        <w:tc>
          <w:tcPr>
            <w:tcW w:w="2693" w:type="dxa"/>
          </w:tcPr>
          <w:p w14:paraId="03840A79" w14:textId="77777777" w:rsidR="00DD2C2C" w:rsidRDefault="00DD2C2C" w:rsidP="00DD2C2C">
            <w:pPr>
              <w:spacing w:after="240"/>
              <w:rPr>
                <w:rFonts w:eastAsia="Calibri" w:cs="Arial"/>
                <w:bCs/>
              </w:rPr>
            </w:pPr>
            <w:r>
              <w:rPr>
                <w:rFonts w:eastAsia="Calibri" w:cs="Arial"/>
                <w:bCs/>
                <w:u w:val="single"/>
              </w:rPr>
              <w:t>Objective</w:t>
            </w:r>
            <w:r>
              <w:rPr>
                <w:rFonts w:eastAsia="Calibri" w:cs="Arial"/>
                <w:bCs/>
              </w:rPr>
              <w:t>: Financially sustainable companies with a long-term strategy.</w:t>
            </w:r>
          </w:p>
          <w:p w14:paraId="7B926991" w14:textId="77777777" w:rsidR="00DD2C2C" w:rsidRDefault="00DD2C2C" w:rsidP="00DD2C2C">
            <w:pPr>
              <w:spacing w:after="240"/>
              <w:jc w:val="both"/>
              <w:rPr>
                <w:rFonts w:eastAsia="Calibri" w:cs="Arial"/>
                <w:bCs/>
              </w:rPr>
            </w:pPr>
            <w:r>
              <w:rPr>
                <w:rFonts w:eastAsia="Calibri" w:cs="Arial"/>
                <w:bCs/>
                <w:u w:val="single"/>
              </w:rPr>
              <w:t>Follow-up</w:t>
            </w:r>
            <w:r>
              <w:rPr>
                <w:rFonts w:eastAsia="Calibri" w:cs="Arial"/>
                <w:bCs/>
              </w:rPr>
              <w:t>:</w:t>
            </w:r>
          </w:p>
          <w:p w14:paraId="3AE8E6EC" w14:textId="77777777" w:rsidR="00DD2C2C" w:rsidRDefault="00DD2C2C" w:rsidP="00DD2C2C">
            <w:pPr>
              <w:rPr>
                <w:rFonts w:eastAsia="Calibri" w:cs="Arial"/>
                <w:bCs/>
              </w:rPr>
            </w:pPr>
            <w:r>
              <w:rPr>
                <w:rFonts w:eastAsia="Calibri" w:cs="Arial"/>
                <w:bCs/>
              </w:rPr>
              <w:t>-IFRS financial statement progress.</w:t>
            </w:r>
          </w:p>
          <w:p w14:paraId="13EFC055" w14:textId="77777777" w:rsidR="00DD2C2C" w:rsidRDefault="00DD2C2C" w:rsidP="00DD2C2C">
            <w:pPr>
              <w:spacing w:after="240"/>
              <w:jc w:val="both"/>
              <w:rPr>
                <w:rFonts w:eastAsia="Calibri" w:cs="Arial"/>
                <w:bCs/>
              </w:rPr>
            </w:pPr>
            <w:r>
              <w:rPr>
                <w:rFonts w:eastAsia="Calibri" w:cs="Arial"/>
                <w:bCs/>
              </w:rPr>
              <w:t>-Status of fulfilment of financial KPIs.</w:t>
            </w:r>
          </w:p>
          <w:p w14:paraId="6FB23320" w14:textId="77777777" w:rsidR="00DD2C2C" w:rsidRDefault="00DD2C2C" w:rsidP="00DD2C2C">
            <w:pPr>
              <w:spacing w:after="240"/>
              <w:jc w:val="both"/>
              <w:rPr>
                <w:rFonts w:eastAsia="Calibri" w:cs="Arial"/>
                <w:bCs/>
              </w:rPr>
            </w:pPr>
            <w:r>
              <w:rPr>
                <w:rFonts w:eastAsia="Calibri" w:cs="Arial"/>
                <w:bCs/>
              </w:rPr>
              <w:t>-Indebtedness capacity.</w:t>
            </w:r>
          </w:p>
          <w:p w14:paraId="22603FF3" w14:textId="77777777" w:rsidR="00DD2C2C" w:rsidRDefault="00DD2C2C" w:rsidP="00DD2C2C">
            <w:pPr>
              <w:ind w:left="288"/>
              <w:jc w:val="both"/>
              <w:rPr>
                <w:rFonts w:eastAsia="MS PGothic" w:cs="Arial"/>
                <w:i/>
                <w:color w:val="000000"/>
              </w:rPr>
            </w:pPr>
          </w:p>
        </w:tc>
        <w:tc>
          <w:tcPr>
            <w:tcW w:w="2268" w:type="dxa"/>
            <w:vMerge/>
            <w:tcBorders>
              <w:right w:val="single" w:sz="4" w:space="0" w:color="auto"/>
            </w:tcBorders>
          </w:tcPr>
          <w:p w14:paraId="6182015A" w14:textId="77777777" w:rsidR="00DD2C2C" w:rsidRDefault="00DD2C2C" w:rsidP="00DD2C2C">
            <w:pPr>
              <w:numPr>
                <w:ilvl w:val="0"/>
                <w:numId w:val="32"/>
              </w:numPr>
              <w:spacing w:line="240" w:lineRule="auto"/>
              <w:jc w:val="both"/>
              <w:rPr>
                <w:rFonts w:eastAsia="MS PGothic" w:cs="Arial"/>
                <w:i/>
                <w:color w:val="000000"/>
              </w:rPr>
            </w:pPr>
          </w:p>
        </w:tc>
        <w:tc>
          <w:tcPr>
            <w:tcW w:w="2126" w:type="dxa"/>
            <w:vMerge/>
            <w:tcBorders>
              <w:left w:val="single" w:sz="4" w:space="0" w:color="auto"/>
            </w:tcBorders>
          </w:tcPr>
          <w:p w14:paraId="537ABCC0" w14:textId="77777777" w:rsidR="00DD2C2C" w:rsidRDefault="00DD2C2C" w:rsidP="00DD2C2C">
            <w:pPr>
              <w:ind w:left="288"/>
              <w:rPr>
                <w:rFonts w:eastAsia="MS PGothic" w:cs="Arial"/>
                <w:i/>
                <w:color w:val="000000"/>
              </w:rPr>
            </w:pPr>
          </w:p>
        </w:tc>
      </w:tr>
      <w:tr w:rsidR="00DD2C2C" w14:paraId="77A01C30" w14:textId="77777777" w:rsidTr="00DD2C2C">
        <w:tc>
          <w:tcPr>
            <w:tcW w:w="3539" w:type="dxa"/>
            <w:tcBorders>
              <w:top w:val="single" w:sz="4" w:space="0" w:color="auto"/>
              <w:left w:val="single" w:sz="4" w:space="0" w:color="auto"/>
              <w:bottom w:val="single" w:sz="4" w:space="0" w:color="auto"/>
              <w:right w:val="single" w:sz="4" w:space="0" w:color="auto"/>
            </w:tcBorders>
          </w:tcPr>
          <w:p w14:paraId="13C388FF" w14:textId="77777777" w:rsidR="00DD2C2C" w:rsidRDefault="00DD2C2C" w:rsidP="00DD2C2C">
            <w:pPr>
              <w:numPr>
                <w:ilvl w:val="1"/>
                <w:numId w:val="31"/>
              </w:numPr>
              <w:tabs>
                <w:tab w:val="left" w:pos="1327"/>
              </w:tabs>
              <w:spacing w:line="240" w:lineRule="auto"/>
              <w:ind w:left="420" w:hanging="420"/>
              <w:jc w:val="both"/>
              <w:rPr>
                <w:rFonts w:eastAsia="SimSun" w:cs="Arial"/>
              </w:rPr>
            </w:pPr>
            <w:r>
              <w:rPr>
                <w:rFonts w:eastAsia="SimSun" w:cs="Arial"/>
                <w:iCs/>
              </w:rPr>
              <w:lastRenderedPageBreak/>
              <w:t>To promote gender equality in the power sector, MOE adopted a policy for promoting gender equality, including gender responsive HR policies and women-friendly infrastructure at workplace</w:t>
            </w:r>
            <w:r>
              <w:rPr>
                <w:rFonts w:eastAsia="SimSun" w:cs="Arial"/>
              </w:rPr>
              <w:t>.</w:t>
            </w:r>
          </w:p>
        </w:tc>
        <w:tc>
          <w:tcPr>
            <w:tcW w:w="3544" w:type="dxa"/>
            <w:tcBorders>
              <w:top w:val="single" w:sz="4" w:space="0" w:color="auto"/>
              <w:left w:val="single" w:sz="4" w:space="0" w:color="auto"/>
              <w:bottom w:val="single" w:sz="4" w:space="0" w:color="auto"/>
              <w:right w:val="single" w:sz="4" w:space="0" w:color="auto"/>
            </w:tcBorders>
          </w:tcPr>
          <w:p w14:paraId="4F6B4E37" w14:textId="77777777" w:rsidR="00DD2C2C" w:rsidRDefault="00DD2C2C" w:rsidP="00DD2C2C">
            <w:pPr>
              <w:numPr>
                <w:ilvl w:val="1"/>
                <w:numId w:val="34"/>
              </w:numPr>
              <w:spacing w:line="240" w:lineRule="auto"/>
              <w:ind w:left="428" w:hanging="428"/>
              <w:jc w:val="both"/>
              <w:rPr>
                <w:rFonts w:eastAsia="SimSun" w:cs="Arial"/>
                <w:color w:val="FF0000"/>
              </w:rPr>
            </w:pPr>
            <w:r>
              <w:rPr>
                <w:rFonts w:eastAsia="SimSun" w:cs="Arial"/>
              </w:rPr>
              <w:t>MOE approved Strategy for implementation and monitoring of the Energy Sector Gender Policy.</w:t>
            </w:r>
          </w:p>
          <w:p w14:paraId="62A47AEE" w14:textId="77777777" w:rsidR="00DD2C2C" w:rsidRDefault="00DD2C2C" w:rsidP="00DD2C2C">
            <w:pPr>
              <w:ind w:left="428"/>
              <w:jc w:val="both"/>
              <w:rPr>
                <w:rFonts w:eastAsia="SimSun" w:cs="Arial"/>
                <w:color w:val="FF0000"/>
              </w:rPr>
            </w:pPr>
          </w:p>
          <w:p w14:paraId="5B0CEC54" w14:textId="77777777" w:rsidR="00DD2C2C" w:rsidRDefault="00DD2C2C" w:rsidP="00DD2C2C">
            <w:pPr>
              <w:numPr>
                <w:ilvl w:val="1"/>
                <w:numId w:val="34"/>
              </w:numPr>
              <w:spacing w:line="240" w:lineRule="auto"/>
              <w:ind w:left="428" w:hanging="428"/>
              <w:jc w:val="both"/>
              <w:rPr>
                <w:rFonts w:eastAsia="SimSun" w:cs="Arial"/>
                <w:color w:val="FF0000"/>
              </w:rPr>
            </w:pPr>
            <w:r>
              <w:rPr>
                <w:rFonts w:eastAsia="SimSun" w:cs="Arial"/>
              </w:rPr>
              <w:t>MOE to approve grievance redressal mechanism for gender-based violence prevention at workplace.</w:t>
            </w:r>
          </w:p>
        </w:tc>
        <w:tc>
          <w:tcPr>
            <w:tcW w:w="2693" w:type="dxa"/>
          </w:tcPr>
          <w:p w14:paraId="19D333A0" w14:textId="77777777" w:rsidR="00DD2C2C" w:rsidRDefault="00DD2C2C" w:rsidP="00DD2C2C">
            <w:pPr>
              <w:spacing w:after="240"/>
              <w:rPr>
                <w:rFonts w:eastAsia="Calibri" w:cs="Arial"/>
                <w:bCs/>
                <w:u w:val="single"/>
              </w:rPr>
            </w:pPr>
            <w:r>
              <w:rPr>
                <w:rFonts w:eastAsia="Calibri" w:cs="Arial"/>
                <w:bCs/>
                <w:u w:val="single"/>
              </w:rPr>
              <w:t>Objective:</w:t>
            </w:r>
            <w:r>
              <w:rPr>
                <w:rFonts w:eastAsia="Calibri" w:cs="Arial"/>
                <w:bCs/>
              </w:rPr>
              <w:t xml:space="preserve"> Implementing sustainable gender actions in the electricity sector.</w:t>
            </w:r>
          </w:p>
          <w:p w14:paraId="5670442F" w14:textId="77777777" w:rsidR="00DD2C2C" w:rsidRDefault="00DD2C2C" w:rsidP="00DD2C2C">
            <w:pPr>
              <w:spacing w:after="240"/>
              <w:rPr>
                <w:rFonts w:eastAsia="Calibri" w:cs="Arial"/>
                <w:bCs/>
                <w:u w:val="single"/>
              </w:rPr>
            </w:pPr>
            <w:r>
              <w:rPr>
                <w:rFonts w:eastAsia="Calibri" w:cs="Arial"/>
                <w:bCs/>
                <w:u w:val="single"/>
              </w:rPr>
              <w:t xml:space="preserve">Follow-up: </w:t>
            </w:r>
          </w:p>
          <w:p w14:paraId="2BF4AEB8" w14:textId="77777777" w:rsidR="00DD2C2C" w:rsidRDefault="00DD2C2C" w:rsidP="00DD2C2C">
            <w:pPr>
              <w:spacing w:after="240"/>
              <w:rPr>
                <w:rFonts w:eastAsia="Calibri" w:cs="Arial"/>
                <w:bCs/>
              </w:rPr>
            </w:pPr>
            <w:r>
              <w:rPr>
                <w:rFonts w:eastAsia="Calibri" w:cs="Arial"/>
                <w:bCs/>
              </w:rPr>
              <w:t>-Gender action plan follow-up by company.</w:t>
            </w:r>
          </w:p>
          <w:p w14:paraId="64DF950B" w14:textId="77777777" w:rsidR="00DD2C2C" w:rsidRDefault="00DD2C2C" w:rsidP="00DD2C2C">
            <w:pPr>
              <w:spacing w:after="240"/>
              <w:rPr>
                <w:rFonts w:eastAsia="SimSun" w:cs="Arial"/>
                <w:color w:val="FF0000"/>
              </w:rPr>
            </w:pPr>
            <w:r>
              <w:rPr>
                <w:rFonts w:eastAsia="Calibri" w:cs="Arial"/>
                <w:bCs/>
              </w:rPr>
              <w:t>-Gender KPIs.</w:t>
            </w:r>
          </w:p>
        </w:tc>
        <w:tc>
          <w:tcPr>
            <w:tcW w:w="2268" w:type="dxa"/>
            <w:vMerge/>
            <w:tcBorders>
              <w:right w:val="single" w:sz="4" w:space="0" w:color="auto"/>
            </w:tcBorders>
          </w:tcPr>
          <w:p w14:paraId="7065BCC8" w14:textId="77777777" w:rsidR="00DD2C2C" w:rsidRDefault="00DD2C2C" w:rsidP="00DD2C2C">
            <w:pPr>
              <w:numPr>
                <w:ilvl w:val="0"/>
                <w:numId w:val="32"/>
              </w:numPr>
              <w:spacing w:line="240" w:lineRule="auto"/>
              <w:jc w:val="both"/>
              <w:rPr>
                <w:rFonts w:eastAsia="SimSun" w:cs="Arial"/>
                <w:color w:val="FF0000"/>
              </w:rPr>
            </w:pPr>
          </w:p>
        </w:tc>
        <w:tc>
          <w:tcPr>
            <w:tcW w:w="2126" w:type="dxa"/>
            <w:vMerge/>
            <w:tcBorders>
              <w:left w:val="single" w:sz="4" w:space="0" w:color="auto"/>
            </w:tcBorders>
          </w:tcPr>
          <w:p w14:paraId="0A08332E" w14:textId="77777777" w:rsidR="00DD2C2C" w:rsidRDefault="00DD2C2C" w:rsidP="00DD2C2C">
            <w:pPr>
              <w:ind w:left="288"/>
              <w:rPr>
                <w:rFonts w:eastAsia="SimSun" w:cs="Arial"/>
                <w:color w:val="FF0000"/>
              </w:rPr>
            </w:pPr>
          </w:p>
        </w:tc>
      </w:tr>
      <w:tr w:rsidR="00DD2C2C" w14:paraId="35548F2B" w14:textId="77777777" w:rsidTr="00DD2C2C">
        <w:tc>
          <w:tcPr>
            <w:tcW w:w="12044" w:type="dxa"/>
            <w:gridSpan w:val="4"/>
            <w:tcBorders>
              <w:right w:val="single" w:sz="4" w:space="0" w:color="auto"/>
            </w:tcBorders>
            <w:shd w:val="clear" w:color="auto" w:fill="F2F2F2"/>
          </w:tcPr>
          <w:p w14:paraId="54664B48" w14:textId="77777777" w:rsidR="00DD2C2C" w:rsidRDefault="00DD2C2C" w:rsidP="00DD2C2C">
            <w:pPr>
              <w:keepNext/>
              <w:tabs>
                <w:tab w:val="left" w:pos="1327"/>
              </w:tabs>
              <w:ind w:left="428" w:hanging="428"/>
              <w:rPr>
                <w:rFonts w:eastAsia="SimSun" w:cs="Arial"/>
                <w:color w:val="000000"/>
              </w:rPr>
            </w:pPr>
            <w:r>
              <w:rPr>
                <w:rFonts w:eastAsia="SimSun" w:cs="Arial"/>
                <w:b/>
                <w:color w:val="000000"/>
              </w:rPr>
              <w:lastRenderedPageBreak/>
              <w:t xml:space="preserve">Reform Area 2: </w:t>
            </w:r>
            <w:r>
              <w:rPr>
                <w:rFonts w:eastAsia="SimSun" w:cs="Arial"/>
              </w:rPr>
              <w:t>Sector financial sustainability improved</w:t>
            </w:r>
          </w:p>
        </w:tc>
        <w:tc>
          <w:tcPr>
            <w:tcW w:w="2126" w:type="dxa"/>
            <w:vMerge/>
            <w:tcBorders>
              <w:left w:val="single" w:sz="4" w:space="0" w:color="auto"/>
            </w:tcBorders>
          </w:tcPr>
          <w:p w14:paraId="7362EE15" w14:textId="77777777" w:rsidR="00DD2C2C" w:rsidRDefault="00DD2C2C" w:rsidP="00DD2C2C">
            <w:pPr>
              <w:keepNext/>
              <w:ind w:left="288" w:hanging="288"/>
              <w:rPr>
                <w:rFonts w:eastAsia="SimSun" w:cs="Arial"/>
                <w:b/>
                <w:color w:val="000000"/>
              </w:rPr>
            </w:pPr>
          </w:p>
        </w:tc>
      </w:tr>
      <w:tr w:rsidR="00DD2C2C" w14:paraId="4C09BE07" w14:textId="77777777" w:rsidTr="00DD2C2C">
        <w:trPr>
          <w:trHeight w:val="543"/>
        </w:trPr>
        <w:tc>
          <w:tcPr>
            <w:tcW w:w="3539" w:type="dxa"/>
            <w:tcBorders>
              <w:top w:val="single" w:sz="4" w:space="0" w:color="auto"/>
              <w:left w:val="single" w:sz="4" w:space="0" w:color="auto"/>
              <w:bottom w:val="single" w:sz="4" w:space="0" w:color="auto"/>
              <w:right w:val="single" w:sz="4" w:space="0" w:color="auto"/>
            </w:tcBorders>
          </w:tcPr>
          <w:p w14:paraId="0805420F" w14:textId="77777777" w:rsidR="00DD2C2C" w:rsidRDefault="00DD2C2C" w:rsidP="00DD2C2C">
            <w:pPr>
              <w:tabs>
                <w:tab w:val="left" w:pos="1327"/>
              </w:tabs>
              <w:ind w:left="420" w:hanging="420"/>
              <w:rPr>
                <w:rFonts w:eastAsia="SimSun" w:cs="Arial"/>
                <w:color w:val="000000"/>
              </w:rPr>
            </w:pPr>
            <w:bookmarkStart w:id="149" w:name="_Hlk166408000"/>
            <w:r>
              <w:rPr>
                <w:rFonts w:eastAsia="SimSun" w:cs="Arial"/>
              </w:rPr>
              <w:t>1.4. Government established and operationalized an autonomous tariff commission under the Cabinet of Ministers to set and enforce cost recovery tariffs.</w:t>
            </w:r>
          </w:p>
        </w:tc>
        <w:tc>
          <w:tcPr>
            <w:tcW w:w="3544" w:type="dxa"/>
            <w:tcBorders>
              <w:top w:val="single" w:sz="4" w:space="0" w:color="auto"/>
              <w:left w:val="single" w:sz="4" w:space="0" w:color="auto"/>
              <w:bottom w:val="single" w:sz="4" w:space="0" w:color="auto"/>
              <w:right w:val="single" w:sz="4" w:space="0" w:color="auto"/>
            </w:tcBorders>
          </w:tcPr>
          <w:p w14:paraId="4CC40055" w14:textId="77777777" w:rsidR="00DD2C2C" w:rsidRDefault="00DD2C2C" w:rsidP="00DD2C2C">
            <w:pPr>
              <w:numPr>
                <w:ilvl w:val="1"/>
                <w:numId w:val="34"/>
              </w:numPr>
              <w:spacing w:line="240" w:lineRule="auto"/>
              <w:ind w:left="428" w:hanging="428"/>
              <w:jc w:val="both"/>
              <w:rPr>
                <w:rFonts w:eastAsia="SimSun" w:cs="Arial"/>
                <w:i/>
                <w:color w:val="000000"/>
              </w:rPr>
            </w:pPr>
            <w:r>
              <w:rPr>
                <w:rFonts w:eastAsia="SimSun" w:cs="Arial"/>
              </w:rPr>
              <w:t xml:space="preserve">The government established an independent energy market regulator governing the sector with key functions of developing market rules and regulations, tariff determination, licensing, and market development. </w:t>
            </w:r>
            <w:r>
              <w:rPr>
                <w:rFonts w:eastAsia="SimSun" w:cs="Arial"/>
                <w:vertAlign w:val="superscript"/>
              </w:rPr>
              <w:t>c</w:t>
            </w:r>
          </w:p>
          <w:p w14:paraId="164D9047" w14:textId="77777777" w:rsidR="00DD2C2C" w:rsidRDefault="00DD2C2C" w:rsidP="00DD2C2C">
            <w:pPr>
              <w:ind w:left="428"/>
              <w:jc w:val="both"/>
              <w:rPr>
                <w:rFonts w:eastAsia="SimSun" w:cs="Arial"/>
                <w:i/>
                <w:color w:val="000000"/>
              </w:rPr>
            </w:pPr>
          </w:p>
          <w:p w14:paraId="38A4ADA3" w14:textId="77777777" w:rsidR="00DD2C2C" w:rsidRDefault="00DD2C2C" w:rsidP="00DD2C2C">
            <w:pPr>
              <w:numPr>
                <w:ilvl w:val="1"/>
                <w:numId w:val="34"/>
              </w:numPr>
              <w:spacing w:line="240" w:lineRule="auto"/>
              <w:ind w:left="428" w:hanging="428"/>
              <w:jc w:val="both"/>
              <w:rPr>
                <w:rFonts w:eastAsia="SimSun" w:cs="Arial"/>
                <w:color w:val="000000"/>
              </w:rPr>
            </w:pPr>
            <w:r>
              <w:rPr>
                <w:rFonts w:eastAsia="SimSun" w:cs="Arial"/>
                <w:color w:val="000000"/>
              </w:rPr>
              <w:t>Government adopted a new tariff methodology including social protection measures for the vulnerable</w:t>
            </w:r>
          </w:p>
        </w:tc>
        <w:tc>
          <w:tcPr>
            <w:tcW w:w="2693" w:type="dxa"/>
            <w:tcBorders>
              <w:top w:val="single" w:sz="4" w:space="0" w:color="auto"/>
              <w:left w:val="single" w:sz="4" w:space="0" w:color="auto"/>
              <w:bottom w:val="single" w:sz="4" w:space="0" w:color="auto"/>
              <w:right w:val="single" w:sz="4" w:space="0" w:color="auto"/>
            </w:tcBorders>
          </w:tcPr>
          <w:p w14:paraId="20A628BF" w14:textId="77777777" w:rsidR="00DD2C2C" w:rsidRDefault="00DD2C2C" w:rsidP="00DD2C2C">
            <w:pPr>
              <w:pStyle w:val="Corpsdetexte"/>
              <w:rPr>
                <w:sz w:val="20"/>
                <w:u w:val="single"/>
                <w:lang w:val="en-US"/>
              </w:rPr>
            </w:pPr>
            <w:r>
              <w:rPr>
                <w:sz w:val="20"/>
                <w:u w:val="single"/>
                <w:lang w:val="en-US"/>
              </w:rPr>
              <w:t>Objective:</w:t>
            </w:r>
            <w:r>
              <w:rPr>
                <w:sz w:val="20"/>
                <w:lang w:val="en-US"/>
              </w:rPr>
              <w:t xml:space="preserve"> Implementing a transparent and competitive energy market in Uzbekistan while vulnerable people and companies remain protected.</w:t>
            </w:r>
          </w:p>
          <w:p w14:paraId="2175FBC2" w14:textId="77777777" w:rsidR="00DD2C2C" w:rsidRDefault="00DD2C2C" w:rsidP="00DD2C2C">
            <w:pPr>
              <w:pStyle w:val="Corpsdetexte"/>
              <w:rPr>
                <w:sz w:val="20"/>
                <w:u w:val="single"/>
                <w:lang w:val="en-US"/>
              </w:rPr>
            </w:pPr>
            <w:r>
              <w:rPr>
                <w:sz w:val="20"/>
                <w:u w:val="single"/>
                <w:lang w:val="en-US"/>
              </w:rPr>
              <w:t>Follow-up :</w:t>
            </w:r>
          </w:p>
          <w:p w14:paraId="4648092F" w14:textId="77777777" w:rsidR="00DD2C2C" w:rsidRDefault="00DD2C2C" w:rsidP="00DD2C2C">
            <w:pPr>
              <w:pStyle w:val="Corpsdetexte"/>
              <w:rPr>
                <w:sz w:val="20"/>
                <w:u w:val="single"/>
                <w:lang w:val="en-US"/>
              </w:rPr>
            </w:pPr>
            <w:r>
              <w:rPr>
                <w:sz w:val="20"/>
                <w:lang w:val="en-US"/>
              </w:rPr>
              <w:t>-New tariff scheme impact.</w:t>
            </w:r>
          </w:p>
          <w:p w14:paraId="54952365" w14:textId="77777777" w:rsidR="00DD2C2C" w:rsidRDefault="00DD2C2C" w:rsidP="00DD2C2C">
            <w:pPr>
              <w:pStyle w:val="Corpsdetexte"/>
              <w:rPr>
                <w:sz w:val="20"/>
                <w:lang w:val="en-US"/>
              </w:rPr>
            </w:pPr>
            <w:r>
              <w:rPr>
                <w:sz w:val="20"/>
                <w:lang w:val="en-US"/>
              </w:rPr>
              <w:t>-Implementation of the electricity market.</w:t>
            </w:r>
          </w:p>
        </w:tc>
        <w:tc>
          <w:tcPr>
            <w:tcW w:w="2268" w:type="dxa"/>
            <w:vMerge w:val="restart"/>
            <w:tcBorders>
              <w:top w:val="single" w:sz="4" w:space="0" w:color="auto"/>
              <w:left w:val="single" w:sz="4" w:space="0" w:color="auto"/>
              <w:bottom w:val="single" w:sz="4" w:space="0" w:color="auto"/>
              <w:right w:val="single" w:sz="4" w:space="0" w:color="auto"/>
            </w:tcBorders>
          </w:tcPr>
          <w:p w14:paraId="787BB2EE" w14:textId="77777777" w:rsidR="00DD2C2C" w:rsidRDefault="00DD2C2C" w:rsidP="00DD2C2C">
            <w:pPr>
              <w:numPr>
                <w:ilvl w:val="0"/>
                <w:numId w:val="32"/>
              </w:numPr>
              <w:spacing w:line="240" w:lineRule="auto"/>
              <w:jc w:val="both"/>
              <w:rPr>
                <w:rFonts w:eastAsia="MS PGothic" w:cs="Arial"/>
                <w:i/>
                <w:color w:val="000000"/>
              </w:rPr>
            </w:pPr>
            <w:r>
              <w:rPr>
                <w:rFonts w:eastAsia="Arial" w:cs="Arial"/>
              </w:rPr>
              <w:t xml:space="preserve">Ratio of operating revenue to operating sector cost of unbundled state-owned electricity utilities increased to 1 or higher by 2025 (2019 baseline: 0.93 JSC REPN, 1.03 JSC NEGU, not available for JSC TPP). </w:t>
            </w:r>
          </w:p>
          <w:p w14:paraId="3C8C3B1D" w14:textId="77777777" w:rsidR="00DD2C2C" w:rsidRDefault="00DD2C2C" w:rsidP="00DD2C2C">
            <w:pPr>
              <w:ind w:left="288"/>
              <w:jc w:val="both"/>
              <w:rPr>
                <w:rFonts w:eastAsia="MS PGothic" w:cs="Arial"/>
                <w:i/>
                <w:color w:val="000000"/>
              </w:rPr>
            </w:pPr>
          </w:p>
          <w:p w14:paraId="6AC49BAD" w14:textId="77777777" w:rsidR="00DD2C2C" w:rsidRDefault="00DD2C2C" w:rsidP="00DD2C2C">
            <w:pPr>
              <w:ind w:left="288"/>
              <w:jc w:val="both"/>
              <w:rPr>
                <w:rFonts w:eastAsia="MS PGothic" w:cs="Arial"/>
                <w:i/>
                <w:color w:val="000000"/>
              </w:rPr>
            </w:pPr>
            <w:r>
              <w:rPr>
                <w:rFonts w:eastAsia="Arial" w:cs="Arial"/>
              </w:rPr>
              <w:t>Source: Annual audited financial statements of REPN, NEGU, and TPP.</w:t>
            </w:r>
            <w:r>
              <w:rPr>
                <w:rFonts w:eastAsia="SimSun" w:cs="Arial"/>
                <w:color w:val="000000"/>
                <w:vertAlign w:val="superscript"/>
              </w:rPr>
              <w:t xml:space="preserve"> d</w:t>
            </w:r>
          </w:p>
          <w:p w14:paraId="13953B61" w14:textId="77777777" w:rsidR="00DD2C2C" w:rsidRDefault="00DD2C2C" w:rsidP="00DD2C2C">
            <w:pPr>
              <w:ind w:left="288"/>
              <w:rPr>
                <w:rFonts w:eastAsia="MS PGothic" w:cs="Arial"/>
                <w:iCs/>
                <w:color w:val="000000"/>
              </w:rPr>
            </w:pPr>
          </w:p>
          <w:p w14:paraId="5F13B18F" w14:textId="77777777" w:rsidR="00DD2C2C" w:rsidRDefault="00DD2C2C" w:rsidP="00DD2C2C">
            <w:pPr>
              <w:numPr>
                <w:ilvl w:val="0"/>
                <w:numId w:val="32"/>
              </w:numPr>
              <w:spacing w:line="240" w:lineRule="auto"/>
              <w:jc w:val="both"/>
              <w:rPr>
                <w:rFonts w:eastAsia="MS PGothic" w:cs="Arial"/>
                <w:i/>
                <w:color w:val="000000"/>
              </w:rPr>
            </w:pPr>
            <w:r>
              <w:rPr>
                <w:rFonts w:eastAsia="MS PGothic" w:cs="Arial"/>
                <w:iCs/>
                <w:color w:val="000000"/>
              </w:rPr>
              <w:t xml:space="preserve">Revenue collection rates improved to </w:t>
            </w:r>
            <w:r>
              <w:rPr>
                <w:rFonts w:eastAsia="MS PGothic" w:cs="Arial"/>
                <w:iCs/>
                <w:color w:val="000000"/>
              </w:rPr>
              <w:lastRenderedPageBreak/>
              <w:t>99.0% by 2025. (2019 baseline: 95.0%).</w:t>
            </w:r>
            <w:r>
              <w:rPr>
                <w:rFonts w:eastAsia="SimSun" w:cs="Arial"/>
                <w:color w:val="000000"/>
                <w:vertAlign w:val="superscript"/>
              </w:rPr>
              <w:t xml:space="preserve"> e</w:t>
            </w:r>
          </w:p>
        </w:tc>
        <w:tc>
          <w:tcPr>
            <w:tcW w:w="2126" w:type="dxa"/>
            <w:vMerge/>
            <w:tcBorders>
              <w:left w:val="single" w:sz="4" w:space="0" w:color="auto"/>
            </w:tcBorders>
          </w:tcPr>
          <w:p w14:paraId="118F9311" w14:textId="77777777" w:rsidR="00DD2C2C" w:rsidRDefault="00DD2C2C" w:rsidP="00DD2C2C">
            <w:pPr>
              <w:ind w:left="288"/>
              <w:rPr>
                <w:rFonts w:eastAsia="SimSun" w:cs="Arial"/>
              </w:rPr>
            </w:pPr>
          </w:p>
        </w:tc>
      </w:tr>
      <w:tr w:rsidR="00DD2C2C" w14:paraId="42C77F4A" w14:textId="77777777" w:rsidTr="00DD2C2C">
        <w:tc>
          <w:tcPr>
            <w:tcW w:w="3539" w:type="dxa"/>
            <w:tcBorders>
              <w:top w:val="single" w:sz="4" w:space="0" w:color="auto"/>
              <w:left w:val="single" w:sz="4" w:space="0" w:color="auto"/>
              <w:bottom w:val="single" w:sz="4" w:space="0" w:color="auto"/>
              <w:right w:val="single" w:sz="4" w:space="0" w:color="auto"/>
            </w:tcBorders>
          </w:tcPr>
          <w:p w14:paraId="2CCBFDFE" w14:textId="77777777" w:rsidR="00DD2C2C" w:rsidRDefault="00DD2C2C" w:rsidP="00DD2C2C">
            <w:pPr>
              <w:tabs>
                <w:tab w:val="left" w:pos="1327"/>
              </w:tabs>
              <w:ind w:left="420" w:hanging="420"/>
              <w:rPr>
                <w:rFonts w:eastAsia="SimSun" w:cs="Arial"/>
              </w:rPr>
            </w:pPr>
            <w:bookmarkStart w:id="150" w:name="_Hlk166408093"/>
            <w:bookmarkEnd w:id="149"/>
            <w:r>
              <w:rPr>
                <w:rFonts w:eastAsia="SimSun" w:cs="Arial"/>
              </w:rPr>
              <w:t xml:space="preserve">1.5 Government implemented a single-buyer market structure for power sector mandating JSC NEGU to be the single buyer and an action plan to roll out </w:t>
            </w:r>
            <w:r>
              <w:rPr>
                <w:rFonts w:eastAsia="SimSun" w:cs="Arial"/>
              </w:rPr>
              <w:lastRenderedPageBreak/>
              <w:t>country-wide advance electricity metering system.</w:t>
            </w:r>
          </w:p>
        </w:tc>
        <w:tc>
          <w:tcPr>
            <w:tcW w:w="3544" w:type="dxa"/>
            <w:tcBorders>
              <w:top w:val="single" w:sz="4" w:space="0" w:color="auto"/>
              <w:left w:val="single" w:sz="4" w:space="0" w:color="auto"/>
              <w:bottom w:val="single" w:sz="4" w:space="0" w:color="auto"/>
              <w:right w:val="single" w:sz="4" w:space="0" w:color="auto"/>
            </w:tcBorders>
          </w:tcPr>
          <w:p w14:paraId="28DBBEE2" w14:textId="77777777" w:rsidR="00DD2C2C" w:rsidRDefault="00DD2C2C" w:rsidP="00DD2C2C">
            <w:pPr>
              <w:numPr>
                <w:ilvl w:val="1"/>
                <w:numId w:val="34"/>
              </w:numPr>
              <w:spacing w:line="240" w:lineRule="auto"/>
              <w:ind w:left="428" w:hanging="428"/>
              <w:jc w:val="both"/>
              <w:rPr>
                <w:rFonts w:eastAsia="SimSun" w:cs="Arial"/>
                <w:color w:val="FF0000"/>
              </w:rPr>
            </w:pPr>
            <w:r>
              <w:rPr>
                <w:rFonts w:eastAsia="SimSun" w:cs="Arial"/>
              </w:rPr>
              <w:lastRenderedPageBreak/>
              <w:t xml:space="preserve">Government decoupled the functions of single buyer from JSC NEGU and transferred it to newly established guaranteed buyer (JSC </w:t>
            </w:r>
            <w:r>
              <w:rPr>
                <w:rFonts w:eastAsia="SimSun" w:cs="Arial"/>
                <w:bCs/>
              </w:rPr>
              <w:t>Uzenergosotish)</w:t>
            </w:r>
            <w:r>
              <w:rPr>
                <w:rFonts w:eastAsia="SimSun" w:cs="Arial"/>
              </w:rPr>
              <w:t xml:space="preserve"> as central buyer, off taker and seller of electricity.</w:t>
            </w:r>
          </w:p>
          <w:p w14:paraId="1136B421" w14:textId="77777777" w:rsidR="00DD2C2C" w:rsidRDefault="00DD2C2C" w:rsidP="00DD2C2C">
            <w:pPr>
              <w:ind w:left="428"/>
              <w:jc w:val="both"/>
              <w:rPr>
                <w:rFonts w:eastAsia="SimSun" w:cs="Arial"/>
                <w:color w:val="FF0000"/>
              </w:rPr>
            </w:pPr>
          </w:p>
          <w:p w14:paraId="7AA90929" w14:textId="77777777" w:rsidR="00DD2C2C" w:rsidRDefault="00DD2C2C" w:rsidP="00DD2C2C">
            <w:pPr>
              <w:numPr>
                <w:ilvl w:val="1"/>
                <w:numId w:val="34"/>
              </w:numPr>
              <w:spacing w:line="240" w:lineRule="auto"/>
              <w:ind w:left="428" w:hanging="428"/>
              <w:jc w:val="both"/>
              <w:rPr>
                <w:rFonts w:eastAsia="SimSun" w:cs="Arial"/>
                <w:color w:val="FF0000"/>
              </w:rPr>
            </w:pPr>
            <w:r>
              <w:rPr>
                <w:rFonts w:eastAsia="SimSun" w:cs="Arial"/>
              </w:rPr>
              <w:lastRenderedPageBreak/>
              <w:t>Government decoupled the function of retail business from REPN and transferred it to the newly created subsidiary (JSC Energosavdo) with plans to later privatize the distribution network functions of regional distribution companies.</w:t>
            </w:r>
          </w:p>
        </w:tc>
        <w:tc>
          <w:tcPr>
            <w:tcW w:w="2693" w:type="dxa"/>
          </w:tcPr>
          <w:p w14:paraId="41D16C6B" w14:textId="77777777" w:rsidR="00DD2C2C" w:rsidRDefault="00DD2C2C" w:rsidP="00DD2C2C">
            <w:pPr>
              <w:pStyle w:val="Corpsdetexte"/>
              <w:jc w:val="left"/>
              <w:rPr>
                <w:sz w:val="20"/>
                <w:u w:val="single"/>
                <w:lang w:val="en-US"/>
              </w:rPr>
            </w:pPr>
            <w:r>
              <w:rPr>
                <w:sz w:val="20"/>
                <w:u w:val="single"/>
                <w:lang w:val="en-US"/>
              </w:rPr>
              <w:lastRenderedPageBreak/>
              <w:t>Objective</w:t>
            </w:r>
            <w:r>
              <w:rPr>
                <w:sz w:val="20"/>
                <w:lang w:val="en-US"/>
              </w:rPr>
              <w:t>: Ensuring the management of the fiduciary system pending the operationalization of the electricity market.</w:t>
            </w:r>
          </w:p>
          <w:p w14:paraId="1A392EE6" w14:textId="77777777" w:rsidR="00DD2C2C" w:rsidRDefault="00DD2C2C" w:rsidP="00DD2C2C">
            <w:pPr>
              <w:pStyle w:val="Corpsdetexte"/>
              <w:rPr>
                <w:sz w:val="20"/>
                <w:u w:val="single"/>
                <w:lang w:val="en-US"/>
              </w:rPr>
            </w:pPr>
            <w:r>
              <w:rPr>
                <w:sz w:val="20"/>
                <w:u w:val="single"/>
                <w:lang w:val="en-US"/>
              </w:rPr>
              <w:t>Follow-up:</w:t>
            </w:r>
          </w:p>
          <w:p w14:paraId="1EC8E1DB" w14:textId="77777777" w:rsidR="00DD2C2C" w:rsidRDefault="00DD2C2C" w:rsidP="00DD2C2C">
            <w:pPr>
              <w:pStyle w:val="Corpsdetexte"/>
              <w:rPr>
                <w:sz w:val="20"/>
                <w:lang w:val="en-US"/>
              </w:rPr>
            </w:pPr>
            <w:r>
              <w:rPr>
                <w:sz w:val="20"/>
                <w:lang w:val="en-US"/>
              </w:rPr>
              <w:t xml:space="preserve">-Implementation of </w:t>
            </w:r>
            <w:r>
              <w:rPr>
                <w:sz w:val="20"/>
                <w:lang w:val="en-US"/>
              </w:rPr>
              <w:lastRenderedPageBreak/>
              <w:t>the new entities.</w:t>
            </w:r>
          </w:p>
          <w:p w14:paraId="1B8D6028" w14:textId="77777777" w:rsidR="00DD2C2C" w:rsidRDefault="00DD2C2C" w:rsidP="00DD2C2C">
            <w:pPr>
              <w:jc w:val="both"/>
              <w:rPr>
                <w:rFonts w:eastAsia="SimSun" w:cs="Arial"/>
                <w:color w:val="FF0000"/>
              </w:rPr>
            </w:pPr>
            <w:r>
              <w:rPr>
                <w:rFonts w:cs="Arial"/>
              </w:rPr>
              <w:t>-Readiness to implement the electricity market.</w:t>
            </w:r>
          </w:p>
        </w:tc>
        <w:tc>
          <w:tcPr>
            <w:tcW w:w="2268" w:type="dxa"/>
            <w:vMerge/>
            <w:tcBorders>
              <w:right w:val="single" w:sz="4" w:space="0" w:color="auto"/>
            </w:tcBorders>
          </w:tcPr>
          <w:p w14:paraId="19AEB0F4" w14:textId="77777777" w:rsidR="00DD2C2C" w:rsidRDefault="00DD2C2C" w:rsidP="00DD2C2C">
            <w:pPr>
              <w:numPr>
                <w:ilvl w:val="0"/>
                <w:numId w:val="32"/>
              </w:numPr>
              <w:spacing w:line="240" w:lineRule="auto"/>
              <w:jc w:val="both"/>
              <w:rPr>
                <w:rFonts w:eastAsia="SimSun" w:cs="Arial"/>
                <w:color w:val="FF0000"/>
              </w:rPr>
            </w:pPr>
          </w:p>
        </w:tc>
        <w:bookmarkEnd w:id="150"/>
        <w:tc>
          <w:tcPr>
            <w:tcW w:w="2126" w:type="dxa"/>
            <w:vMerge/>
            <w:tcBorders>
              <w:left w:val="single" w:sz="4" w:space="0" w:color="auto"/>
            </w:tcBorders>
          </w:tcPr>
          <w:p w14:paraId="5DC752FC" w14:textId="77777777" w:rsidR="00DD2C2C" w:rsidRDefault="00DD2C2C" w:rsidP="00DD2C2C">
            <w:pPr>
              <w:ind w:left="288"/>
              <w:rPr>
                <w:rFonts w:eastAsia="SimSun" w:cs="Arial"/>
                <w:color w:val="FF0000"/>
              </w:rPr>
            </w:pPr>
          </w:p>
        </w:tc>
      </w:tr>
      <w:tr w:rsidR="00DD2C2C" w14:paraId="036B3481" w14:textId="77777777" w:rsidTr="00DD2C2C">
        <w:tc>
          <w:tcPr>
            <w:tcW w:w="3539" w:type="dxa"/>
            <w:tcBorders>
              <w:top w:val="single" w:sz="4" w:space="0" w:color="auto"/>
              <w:left w:val="single" w:sz="4" w:space="0" w:color="auto"/>
              <w:bottom w:val="single" w:sz="4" w:space="0" w:color="auto"/>
              <w:right w:val="single" w:sz="4" w:space="0" w:color="auto"/>
            </w:tcBorders>
          </w:tcPr>
          <w:p w14:paraId="7A6B0961" w14:textId="77777777" w:rsidR="00DD2C2C" w:rsidRDefault="00DD2C2C" w:rsidP="00DD2C2C">
            <w:pPr>
              <w:tabs>
                <w:tab w:val="left" w:pos="1327"/>
              </w:tabs>
              <w:ind w:left="420" w:hanging="420"/>
              <w:rPr>
                <w:rFonts w:eastAsia="SimSun" w:cs="Arial"/>
              </w:rPr>
            </w:pPr>
            <w:r>
              <w:rPr>
                <w:rFonts w:eastAsia="SimSun" w:cs="Arial"/>
              </w:rPr>
              <w:lastRenderedPageBreak/>
              <w:t>1.6. Government has approved the use of the following structures for selected energy projects in order to encourage private investments: (i) credit enhancement mechanism to mitigate off-taker risks as interim measure to build market confidence; (ii) seeking private investments in renewable generation using model PPP structure; and (iii) has approved a grid interconnection code for non-discriminative access to the grid</w:t>
            </w:r>
          </w:p>
        </w:tc>
        <w:tc>
          <w:tcPr>
            <w:tcW w:w="3544" w:type="dxa"/>
            <w:tcBorders>
              <w:top w:val="single" w:sz="4" w:space="0" w:color="auto"/>
              <w:left w:val="single" w:sz="4" w:space="0" w:color="auto"/>
              <w:bottom w:val="single" w:sz="4" w:space="0" w:color="auto"/>
              <w:right w:val="single" w:sz="4" w:space="0" w:color="auto"/>
            </w:tcBorders>
          </w:tcPr>
          <w:p w14:paraId="7753C3B9" w14:textId="77777777" w:rsidR="00DD2C2C" w:rsidRDefault="00DD2C2C" w:rsidP="00DD2C2C">
            <w:pPr>
              <w:numPr>
                <w:ilvl w:val="1"/>
                <w:numId w:val="34"/>
              </w:numPr>
              <w:spacing w:line="240" w:lineRule="auto"/>
              <w:ind w:left="428" w:hanging="428"/>
              <w:jc w:val="both"/>
              <w:rPr>
                <w:rFonts w:eastAsia="SimSun" w:cs="Arial"/>
                <w:color w:val="FF0000"/>
              </w:rPr>
            </w:pPr>
            <w:r>
              <w:rPr>
                <w:rFonts w:eastAsia="SimSun" w:cs="Arial"/>
              </w:rPr>
              <w:t xml:space="preserve">Government adopted the transmission grid code, serving as the framework for grid usage, system services, grid expansion, general grid operation and network efficiency. </w:t>
            </w:r>
          </w:p>
        </w:tc>
        <w:tc>
          <w:tcPr>
            <w:tcW w:w="2693" w:type="dxa"/>
          </w:tcPr>
          <w:p w14:paraId="63888937" w14:textId="77777777" w:rsidR="00DD2C2C" w:rsidRDefault="00DD2C2C" w:rsidP="00DD2C2C">
            <w:pPr>
              <w:pStyle w:val="Corpsdetexte"/>
              <w:jc w:val="left"/>
              <w:rPr>
                <w:sz w:val="20"/>
                <w:lang w:val="en-US"/>
              </w:rPr>
            </w:pPr>
            <w:r>
              <w:rPr>
                <w:sz w:val="20"/>
                <w:u w:val="single"/>
                <w:lang w:val="en-US"/>
              </w:rPr>
              <w:t>Objective:</w:t>
            </w:r>
            <w:r>
              <w:rPr>
                <w:sz w:val="20"/>
                <w:lang w:val="en-US"/>
              </w:rPr>
              <w:t xml:space="preserve"> Attract private investors within an established regulatory framework.</w:t>
            </w:r>
          </w:p>
          <w:p w14:paraId="0804EA4F" w14:textId="77777777" w:rsidR="00DD2C2C" w:rsidRDefault="00DD2C2C" w:rsidP="00DD2C2C">
            <w:pPr>
              <w:pStyle w:val="Corpsdetexte"/>
              <w:rPr>
                <w:sz w:val="20"/>
                <w:u w:val="single"/>
                <w:lang w:val="en-US"/>
              </w:rPr>
            </w:pPr>
            <w:r>
              <w:rPr>
                <w:sz w:val="20"/>
                <w:u w:val="single"/>
                <w:lang w:val="en-US"/>
              </w:rPr>
              <w:t>Follow-up:</w:t>
            </w:r>
          </w:p>
          <w:p w14:paraId="3F9D9EAF" w14:textId="77777777" w:rsidR="00DD2C2C" w:rsidRDefault="00DD2C2C" w:rsidP="00DD2C2C">
            <w:pPr>
              <w:pStyle w:val="Corpsdetexte"/>
              <w:widowControl/>
              <w:numPr>
                <w:ilvl w:val="0"/>
                <w:numId w:val="35"/>
              </w:numPr>
              <w:spacing w:after="240"/>
              <w:jc w:val="left"/>
              <w:rPr>
                <w:sz w:val="20"/>
                <w:lang w:val="en-US"/>
              </w:rPr>
            </w:pPr>
            <w:r>
              <w:rPr>
                <w:sz w:val="20"/>
                <w:lang w:val="en-US"/>
              </w:rPr>
              <w:t>Status of RES projects launched under public tendering or by direct agreements.</w:t>
            </w:r>
          </w:p>
          <w:p w14:paraId="1CDD6C14" w14:textId="77777777" w:rsidR="00DD2C2C" w:rsidRDefault="00DD2C2C" w:rsidP="00DD2C2C">
            <w:pPr>
              <w:pStyle w:val="Corpsdetexte"/>
              <w:widowControl/>
              <w:numPr>
                <w:ilvl w:val="0"/>
                <w:numId w:val="35"/>
              </w:numPr>
              <w:spacing w:after="240"/>
              <w:jc w:val="left"/>
              <w:rPr>
                <w:sz w:val="20"/>
                <w:lang w:val="en-US"/>
              </w:rPr>
            </w:pPr>
            <w:r>
              <w:rPr>
                <w:sz w:val="20"/>
                <w:lang w:val="en-US"/>
              </w:rPr>
              <w:t>Status of transmission subsector reform model.</w:t>
            </w:r>
          </w:p>
          <w:p w14:paraId="75880032" w14:textId="77777777" w:rsidR="00DD2C2C" w:rsidRDefault="00DD2C2C" w:rsidP="00DD2C2C">
            <w:pPr>
              <w:pStyle w:val="Corpsdetexte"/>
              <w:widowControl/>
              <w:numPr>
                <w:ilvl w:val="0"/>
                <w:numId w:val="35"/>
              </w:numPr>
              <w:spacing w:after="240"/>
              <w:jc w:val="left"/>
              <w:rPr>
                <w:sz w:val="20"/>
                <w:lang w:val="en-US"/>
              </w:rPr>
            </w:pPr>
            <w:r>
              <w:rPr>
                <w:sz w:val="20"/>
                <w:lang w:val="en-US"/>
              </w:rPr>
              <w:t>Impact of grid codes on grid management.</w:t>
            </w:r>
          </w:p>
        </w:tc>
        <w:tc>
          <w:tcPr>
            <w:tcW w:w="2268" w:type="dxa"/>
            <w:vMerge/>
            <w:tcBorders>
              <w:right w:val="single" w:sz="4" w:space="0" w:color="auto"/>
            </w:tcBorders>
          </w:tcPr>
          <w:p w14:paraId="7D7C828F" w14:textId="77777777" w:rsidR="00DD2C2C" w:rsidRDefault="00DD2C2C" w:rsidP="00DD2C2C">
            <w:pPr>
              <w:numPr>
                <w:ilvl w:val="0"/>
                <w:numId w:val="32"/>
              </w:numPr>
              <w:spacing w:line="240" w:lineRule="auto"/>
              <w:jc w:val="both"/>
              <w:rPr>
                <w:rFonts w:eastAsia="SimSun" w:cs="Arial"/>
                <w:color w:val="FF0000"/>
              </w:rPr>
            </w:pPr>
          </w:p>
        </w:tc>
        <w:tc>
          <w:tcPr>
            <w:tcW w:w="2126" w:type="dxa"/>
            <w:vMerge/>
            <w:tcBorders>
              <w:left w:val="single" w:sz="4" w:space="0" w:color="auto"/>
            </w:tcBorders>
          </w:tcPr>
          <w:p w14:paraId="2CA9A6A8" w14:textId="77777777" w:rsidR="00DD2C2C" w:rsidRDefault="00DD2C2C" w:rsidP="00DD2C2C">
            <w:pPr>
              <w:ind w:left="288"/>
              <w:rPr>
                <w:rFonts w:eastAsia="SimSun" w:cs="Arial"/>
                <w:color w:val="FF0000"/>
              </w:rPr>
            </w:pPr>
          </w:p>
        </w:tc>
      </w:tr>
      <w:tr w:rsidR="00DD2C2C" w14:paraId="4F1A3F4C" w14:textId="77777777" w:rsidTr="00DD2C2C">
        <w:tc>
          <w:tcPr>
            <w:tcW w:w="3539" w:type="dxa"/>
            <w:tcBorders>
              <w:top w:val="single" w:sz="4" w:space="0" w:color="auto"/>
              <w:left w:val="single" w:sz="4" w:space="0" w:color="auto"/>
              <w:bottom w:val="single" w:sz="4" w:space="0" w:color="auto"/>
              <w:right w:val="single" w:sz="4" w:space="0" w:color="auto"/>
            </w:tcBorders>
          </w:tcPr>
          <w:p w14:paraId="42C9F88D" w14:textId="77777777" w:rsidR="00DD2C2C" w:rsidRDefault="00DD2C2C" w:rsidP="00DD2C2C">
            <w:pPr>
              <w:tabs>
                <w:tab w:val="left" w:pos="1327"/>
              </w:tabs>
              <w:ind w:left="420" w:hanging="420"/>
              <w:rPr>
                <w:rFonts w:eastAsia="SimSun" w:cs="Arial"/>
              </w:rPr>
            </w:pPr>
            <w:r>
              <w:rPr>
                <w:rFonts w:eastAsia="SimSun" w:cs="Arial"/>
              </w:rPr>
              <w:t xml:space="preserve">1.7. MOE approved a gender sector policy for the power sector PPP projects to promote gender equality with a view to reaching </w:t>
            </w:r>
            <w:r>
              <w:rPr>
                <w:rFonts w:eastAsia="SimSun" w:cs="Arial"/>
              </w:rPr>
              <w:lastRenderedPageBreak/>
              <w:t>a 5% target of total female employment.</w:t>
            </w:r>
          </w:p>
        </w:tc>
        <w:tc>
          <w:tcPr>
            <w:tcW w:w="3544" w:type="dxa"/>
            <w:tcBorders>
              <w:top w:val="single" w:sz="4" w:space="0" w:color="auto"/>
              <w:left w:val="single" w:sz="4" w:space="0" w:color="auto"/>
              <w:bottom w:val="single" w:sz="4" w:space="0" w:color="auto"/>
              <w:right w:val="single" w:sz="4" w:space="0" w:color="auto"/>
            </w:tcBorders>
          </w:tcPr>
          <w:p w14:paraId="59512232" w14:textId="77777777" w:rsidR="00DD2C2C" w:rsidRDefault="00DD2C2C" w:rsidP="00DD2C2C">
            <w:pPr>
              <w:ind w:left="428" w:hanging="428"/>
              <w:rPr>
                <w:rFonts w:eastAsia="SimSun" w:cs="Arial"/>
                <w:color w:val="00B050"/>
              </w:rPr>
            </w:pPr>
          </w:p>
        </w:tc>
        <w:tc>
          <w:tcPr>
            <w:tcW w:w="2693" w:type="dxa"/>
          </w:tcPr>
          <w:p w14:paraId="1899C45D" w14:textId="77777777" w:rsidR="00DD2C2C" w:rsidRDefault="00DD2C2C" w:rsidP="00DD2C2C">
            <w:pPr>
              <w:ind w:left="288"/>
              <w:jc w:val="both"/>
              <w:rPr>
                <w:rFonts w:eastAsia="SimSun" w:cs="Arial"/>
                <w:color w:val="FF0000"/>
              </w:rPr>
            </w:pPr>
          </w:p>
        </w:tc>
        <w:tc>
          <w:tcPr>
            <w:tcW w:w="2268" w:type="dxa"/>
            <w:vMerge/>
            <w:tcBorders>
              <w:right w:val="single" w:sz="4" w:space="0" w:color="auto"/>
            </w:tcBorders>
          </w:tcPr>
          <w:p w14:paraId="5E0EE259" w14:textId="77777777" w:rsidR="00DD2C2C" w:rsidRDefault="00DD2C2C" w:rsidP="00DD2C2C">
            <w:pPr>
              <w:numPr>
                <w:ilvl w:val="0"/>
                <w:numId w:val="32"/>
              </w:numPr>
              <w:spacing w:line="240" w:lineRule="auto"/>
              <w:jc w:val="both"/>
              <w:rPr>
                <w:rFonts w:eastAsia="SimSun" w:cs="Arial"/>
                <w:color w:val="FF0000"/>
              </w:rPr>
            </w:pPr>
          </w:p>
        </w:tc>
        <w:tc>
          <w:tcPr>
            <w:tcW w:w="2126" w:type="dxa"/>
            <w:vMerge/>
            <w:tcBorders>
              <w:left w:val="single" w:sz="4" w:space="0" w:color="auto"/>
            </w:tcBorders>
          </w:tcPr>
          <w:p w14:paraId="7C0E63DE" w14:textId="77777777" w:rsidR="00DD2C2C" w:rsidRDefault="00DD2C2C" w:rsidP="00DD2C2C">
            <w:pPr>
              <w:ind w:left="288"/>
              <w:rPr>
                <w:rFonts w:eastAsia="SimSun" w:cs="Arial"/>
                <w:color w:val="FF0000"/>
              </w:rPr>
            </w:pPr>
          </w:p>
        </w:tc>
      </w:tr>
      <w:tr w:rsidR="00DD2C2C" w14:paraId="731D8A13" w14:textId="77777777" w:rsidTr="00DD2C2C">
        <w:tc>
          <w:tcPr>
            <w:tcW w:w="12044" w:type="dxa"/>
            <w:gridSpan w:val="4"/>
            <w:tcBorders>
              <w:right w:val="single" w:sz="4" w:space="0" w:color="auto"/>
            </w:tcBorders>
            <w:shd w:val="clear" w:color="auto" w:fill="F2F2F2"/>
          </w:tcPr>
          <w:p w14:paraId="3CFB25FE" w14:textId="77777777" w:rsidR="00DD2C2C" w:rsidRDefault="00DD2C2C" w:rsidP="00DD2C2C">
            <w:pPr>
              <w:keepNext/>
              <w:tabs>
                <w:tab w:val="left" w:pos="1327"/>
              </w:tabs>
              <w:ind w:left="428" w:hanging="428"/>
              <w:rPr>
                <w:rFonts w:eastAsia="SimSun" w:cs="Arial"/>
                <w:color w:val="000000"/>
              </w:rPr>
            </w:pPr>
            <w:r>
              <w:rPr>
                <w:rFonts w:eastAsia="SimSun" w:cs="Arial"/>
                <w:b/>
                <w:color w:val="000000"/>
              </w:rPr>
              <w:lastRenderedPageBreak/>
              <w:t xml:space="preserve">Reform Area 3: </w:t>
            </w:r>
            <w:r>
              <w:rPr>
                <w:rFonts w:eastAsia="SimSun" w:cs="Arial"/>
              </w:rPr>
              <w:t>Power sector carbon intensity reduced</w:t>
            </w:r>
          </w:p>
        </w:tc>
        <w:tc>
          <w:tcPr>
            <w:tcW w:w="2126" w:type="dxa"/>
            <w:vMerge/>
            <w:tcBorders>
              <w:left w:val="single" w:sz="4" w:space="0" w:color="auto"/>
            </w:tcBorders>
          </w:tcPr>
          <w:p w14:paraId="09ED63E2" w14:textId="77777777" w:rsidR="00DD2C2C" w:rsidRDefault="00DD2C2C" w:rsidP="00DD2C2C">
            <w:pPr>
              <w:keepNext/>
              <w:ind w:left="288" w:hanging="288"/>
              <w:rPr>
                <w:rFonts w:eastAsia="SimSun" w:cs="Arial"/>
                <w:b/>
                <w:color w:val="000000"/>
              </w:rPr>
            </w:pPr>
          </w:p>
        </w:tc>
      </w:tr>
      <w:tr w:rsidR="00DD2C2C" w14:paraId="6AA50509" w14:textId="77777777" w:rsidTr="00DD2C2C">
        <w:trPr>
          <w:trHeight w:val="230"/>
        </w:trPr>
        <w:tc>
          <w:tcPr>
            <w:tcW w:w="3539" w:type="dxa"/>
            <w:tcBorders>
              <w:top w:val="single" w:sz="4" w:space="0" w:color="auto"/>
              <w:left w:val="single" w:sz="4" w:space="0" w:color="auto"/>
              <w:bottom w:val="single" w:sz="4" w:space="0" w:color="auto"/>
              <w:right w:val="single" w:sz="4" w:space="0" w:color="auto"/>
            </w:tcBorders>
          </w:tcPr>
          <w:p w14:paraId="4F46E4DA" w14:textId="77777777" w:rsidR="00DD2C2C" w:rsidRDefault="00DD2C2C" w:rsidP="00DD2C2C">
            <w:pPr>
              <w:tabs>
                <w:tab w:val="left" w:pos="1327"/>
              </w:tabs>
              <w:ind w:left="420" w:hanging="420"/>
              <w:rPr>
                <w:rFonts w:eastAsia="SimSun" w:cs="Arial"/>
                <w:color w:val="000000"/>
              </w:rPr>
            </w:pPr>
            <w:r>
              <w:rPr>
                <w:rFonts w:eastAsia="SimSun" w:cs="Arial"/>
              </w:rPr>
              <w:t xml:space="preserve">1.8. Government adopted an implementation plan to strengthen NDC ambition to reduce carbon intensity of the economy by 10% of the 2010 level by 2030 by cascading the objective to the power sector and adding climate adaptation dimension to energy strategy. </w:t>
            </w:r>
          </w:p>
        </w:tc>
        <w:tc>
          <w:tcPr>
            <w:tcW w:w="3544" w:type="dxa"/>
            <w:tcBorders>
              <w:top w:val="single" w:sz="4" w:space="0" w:color="auto"/>
              <w:left w:val="single" w:sz="4" w:space="0" w:color="auto"/>
              <w:bottom w:val="single" w:sz="4" w:space="0" w:color="auto"/>
              <w:right w:val="single" w:sz="4" w:space="0" w:color="auto"/>
            </w:tcBorders>
          </w:tcPr>
          <w:p w14:paraId="6DC6530A" w14:textId="77777777" w:rsidR="00DD2C2C" w:rsidRDefault="00DD2C2C" w:rsidP="00DD2C2C">
            <w:pPr>
              <w:ind w:left="428" w:hanging="428"/>
              <w:rPr>
                <w:rFonts w:eastAsia="SimSun" w:cs="Arial"/>
                <w:i/>
              </w:rPr>
            </w:pPr>
            <w:r>
              <w:rPr>
                <w:rFonts w:eastAsia="SimSun" w:cs="Arial"/>
              </w:rPr>
              <w:t>2.12. Government adopted: (i) revised NDC</w:t>
            </w:r>
            <w:r>
              <w:rPr>
                <w:rFonts w:eastAsia="SimSun" w:cs="Arial"/>
                <w:color w:val="000000"/>
              </w:rPr>
              <w:t xml:space="preserve"> </w:t>
            </w:r>
            <w:r>
              <w:rPr>
                <w:rFonts w:eastAsia="SimSun" w:cs="Arial"/>
              </w:rPr>
              <w:t>and increased its commitment to reduce specific GHG emissions per unit of GDP from 10% to 35% below 2010 levels by 2030; and (ii) corporate climate change and environmental management policy for hydropower.</w:t>
            </w:r>
          </w:p>
          <w:p w14:paraId="6C6C8A49" w14:textId="77777777" w:rsidR="00DD2C2C" w:rsidRDefault="00DD2C2C" w:rsidP="00DD2C2C">
            <w:pPr>
              <w:ind w:left="428" w:hanging="428"/>
              <w:rPr>
                <w:rFonts w:eastAsia="SimSun" w:cs="Arial"/>
                <w:color w:val="000000"/>
              </w:rPr>
            </w:pPr>
          </w:p>
        </w:tc>
        <w:tc>
          <w:tcPr>
            <w:tcW w:w="2693" w:type="dxa"/>
            <w:tcBorders>
              <w:top w:val="single" w:sz="4" w:space="0" w:color="auto"/>
              <w:left w:val="single" w:sz="4" w:space="0" w:color="auto"/>
              <w:bottom w:val="single" w:sz="4" w:space="0" w:color="auto"/>
              <w:right w:val="single" w:sz="4" w:space="0" w:color="auto"/>
            </w:tcBorders>
          </w:tcPr>
          <w:p w14:paraId="1B0202D7" w14:textId="77777777" w:rsidR="00DD2C2C" w:rsidRDefault="00DD2C2C" w:rsidP="00DD2C2C">
            <w:pPr>
              <w:pStyle w:val="Corpsdetexte"/>
              <w:jc w:val="left"/>
              <w:rPr>
                <w:sz w:val="20"/>
                <w:lang w:val="en-US"/>
              </w:rPr>
            </w:pPr>
            <w:r>
              <w:rPr>
                <w:sz w:val="20"/>
                <w:u w:val="single"/>
                <w:lang w:val="en-US"/>
              </w:rPr>
              <w:t>Objective:</w:t>
            </w:r>
            <w:r>
              <w:rPr>
                <w:sz w:val="20"/>
                <w:lang w:val="en-US"/>
              </w:rPr>
              <w:t xml:space="preserve"> Energy sector contributes to a more ambitious NDC</w:t>
            </w:r>
          </w:p>
          <w:p w14:paraId="3733B05F" w14:textId="77777777" w:rsidR="00DD2C2C" w:rsidRDefault="00DD2C2C" w:rsidP="00DD2C2C">
            <w:pPr>
              <w:pStyle w:val="Corpsdetexte"/>
              <w:rPr>
                <w:sz w:val="20"/>
                <w:u w:val="single"/>
                <w:lang w:val="en-US"/>
              </w:rPr>
            </w:pPr>
            <w:r>
              <w:rPr>
                <w:sz w:val="20"/>
                <w:u w:val="single"/>
                <w:lang w:val="en-US"/>
              </w:rPr>
              <w:t>Follow-up:</w:t>
            </w:r>
          </w:p>
          <w:p w14:paraId="5502042D" w14:textId="77777777" w:rsidR="00DD2C2C" w:rsidRDefault="00DD2C2C" w:rsidP="00DD2C2C">
            <w:pPr>
              <w:pStyle w:val="Corpsdetexte"/>
              <w:rPr>
                <w:sz w:val="20"/>
                <w:lang w:val="en-US"/>
              </w:rPr>
            </w:pPr>
            <w:r>
              <w:rPr>
                <w:sz w:val="20"/>
                <w:lang w:val="en-US"/>
              </w:rPr>
              <w:t>-Status of inventory of GHG emissions.</w:t>
            </w:r>
          </w:p>
          <w:p w14:paraId="4967201E" w14:textId="77777777" w:rsidR="00DD2C2C" w:rsidRDefault="00DD2C2C" w:rsidP="00DD2C2C">
            <w:pPr>
              <w:pStyle w:val="Corpsdetexte"/>
              <w:rPr>
                <w:sz w:val="20"/>
                <w:lang w:val="en-US"/>
              </w:rPr>
            </w:pPr>
            <w:r>
              <w:rPr>
                <w:sz w:val="20"/>
                <w:lang w:val="en-US"/>
              </w:rPr>
              <w:t>-Status of preparation of revised NDC (2025/26) and action plan.</w:t>
            </w:r>
          </w:p>
          <w:p w14:paraId="1447FCB6" w14:textId="77777777" w:rsidR="00DD2C2C" w:rsidRDefault="00DD2C2C" w:rsidP="00DD2C2C">
            <w:pPr>
              <w:pStyle w:val="Corpsdetexte"/>
              <w:rPr>
                <w:sz w:val="20"/>
                <w:lang w:val="en-US"/>
              </w:rPr>
            </w:pPr>
            <w:r>
              <w:rPr>
                <w:sz w:val="20"/>
                <w:lang w:val="en-US"/>
              </w:rPr>
              <w:t>-Alignment of electricity companies with NDC’s objectives.</w:t>
            </w:r>
          </w:p>
          <w:p w14:paraId="28B6957B" w14:textId="77777777" w:rsidR="00DD2C2C" w:rsidRDefault="00DD2C2C" w:rsidP="00DD2C2C">
            <w:pPr>
              <w:pStyle w:val="Corpsdetexte"/>
              <w:rPr>
                <w:sz w:val="20"/>
                <w:lang w:val="en-US"/>
              </w:rPr>
            </w:pPr>
            <w:r>
              <w:rPr>
                <w:sz w:val="20"/>
                <w:lang w:val="en-US"/>
              </w:rPr>
              <w:t>-Implementing climate change resilience actions in the hydropower sector.</w:t>
            </w:r>
          </w:p>
          <w:p w14:paraId="7F914E78" w14:textId="77777777" w:rsidR="00DD2C2C" w:rsidRDefault="00DD2C2C" w:rsidP="00DD2C2C">
            <w:pPr>
              <w:pStyle w:val="Corpsdetexte"/>
              <w:rPr>
                <w:sz w:val="20"/>
                <w:lang w:val="en-US"/>
              </w:rPr>
            </w:pPr>
            <w:r>
              <w:rPr>
                <w:sz w:val="20"/>
                <w:lang w:val="en-US"/>
              </w:rPr>
              <w:t>-Progress of National Adaptation Plan.</w:t>
            </w:r>
          </w:p>
          <w:p w14:paraId="047C5A0B" w14:textId="77777777" w:rsidR="00DD2C2C" w:rsidRDefault="00DD2C2C" w:rsidP="00DD2C2C">
            <w:pPr>
              <w:jc w:val="both"/>
              <w:rPr>
                <w:rFonts w:eastAsia="SimSun" w:cs="Arial"/>
              </w:rPr>
            </w:pPr>
            <w:r>
              <w:rPr>
                <w:rFonts w:cs="Arial"/>
              </w:rPr>
              <w:t>-Modelling of electricity sector emissions (within the LTS).</w:t>
            </w:r>
          </w:p>
        </w:tc>
        <w:tc>
          <w:tcPr>
            <w:tcW w:w="2268" w:type="dxa"/>
            <w:vMerge w:val="restart"/>
            <w:tcBorders>
              <w:top w:val="single" w:sz="4" w:space="0" w:color="auto"/>
              <w:left w:val="single" w:sz="4" w:space="0" w:color="auto"/>
              <w:bottom w:val="single" w:sz="4" w:space="0" w:color="auto"/>
              <w:right w:val="single" w:sz="4" w:space="0" w:color="auto"/>
            </w:tcBorders>
          </w:tcPr>
          <w:p w14:paraId="319702A2" w14:textId="77777777" w:rsidR="00DD2C2C" w:rsidRDefault="00DD2C2C" w:rsidP="00DD2C2C">
            <w:pPr>
              <w:numPr>
                <w:ilvl w:val="0"/>
                <w:numId w:val="32"/>
              </w:numPr>
              <w:spacing w:line="240" w:lineRule="auto"/>
              <w:jc w:val="both"/>
              <w:rPr>
                <w:rFonts w:eastAsia="MS PGothic" w:cs="Arial"/>
                <w:i/>
                <w:color w:val="000000"/>
              </w:rPr>
            </w:pPr>
            <w:r>
              <w:rPr>
                <w:rFonts w:eastAsia="SimSun" w:cs="Arial"/>
              </w:rPr>
              <w:t>Share of renewable energy sources, excluding hydropower, in electricity generation mix of Uzbekistan increased to 15% by 2025</w:t>
            </w:r>
            <w:r>
              <w:rPr>
                <w:rFonts w:eastAsia="SimSun" w:cs="Arial"/>
                <w:color w:val="000000"/>
                <w:vertAlign w:val="superscript"/>
              </w:rPr>
              <w:t xml:space="preserve"> f</w:t>
            </w:r>
            <w:r>
              <w:rPr>
                <w:rFonts w:eastAsia="SimSun" w:cs="Arial"/>
              </w:rPr>
              <w:t xml:space="preserve"> (2020 baseline 1%)</w:t>
            </w:r>
            <w:r>
              <w:rPr>
                <w:rFonts w:eastAsia="Arial" w:cs="Arial"/>
              </w:rPr>
              <w:t xml:space="preserve">. </w:t>
            </w:r>
            <w:r>
              <w:rPr>
                <w:rFonts w:eastAsia="SimSun" w:cs="Arial"/>
                <w:color w:val="000000"/>
                <w:vertAlign w:val="superscript"/>
              </w:rPr>
              <w:t>g</w:t>
            </w:r>
          </w:p>
          <w:p w14:paraId="094CC1E5" w14:textId="77777777" w:rsidR="00DD2C2C" w:rsidRDefault="00DD2C2C" w:rsidP="00DD2C2C">
            <w:pPr>
              <w:ind w:left="288"/>
              <w:rPr>
                <w:rFonts w:eastAsia="MS PGothic" w:cs="Arial"/>
                <w:i/>
                <w:color w:val="000000"/>
              </w:rPr>
            </w:pPr>
          </w:p>
        </w:tc>
        <w:tc>
          <w:tcPr>
            <w:tcW w:w="2126" w:type="dxa"/>
            <w:vMerge/>
            <w:tcBorders>
              <w:left w:val="single" w:sz="4" w:space="0" w:color="auto"/>
            </w:tcBorders>
          </w:tcPr>
          <w:p w14:paraId="60B714C7" w14:textId="77777777" w:rsidR="00DD2C2C" w:rsidRDefault="00DD2C2C" w:rsidP="00DD2C2C">
            <w:pPr>
              <w:ind w:left="288"/>
              <w:rPr>
                <w:rFonts w:eastAsia="SimSun" w:cs="Arial"/>
              </w:rPr>
            </w:pPr>
          </w:p>
        </w:tc>
      </w:tr>
      <w:tr w:rsidR="00DD2C2C" w14:paraId="4497D8E8" w14:textId="77777777" w:rsidTr="00DD2C2C">
        <w:trPr>
          <w:trHeight w:val="230"/>
        </w:trPr>
        <w:tc>
          <w:tcPr>
            <w:tcW w:w="3539" w:type="dxa"/>
            <w:tcBorders>
              <w:top w:val="single" w:sz="4" w:space="0" w:color="auto"/>
              <w:left w:val="single" w:sz="4" w:space="0" w:color="auto"/>
              <w:bottom w:val="single" w:sz="4" w:space="0" w:color="auto"/>
              <w:right w:val="single" w:sz="4" w:space="0" w:color="auto"/>
            </w:tcBorders>
          </w:tcPr>
          <w:p w14:paraId="57BF15F1" w14:textId="77777777" w:rsidR="00DD2C2C" w:rsidRDefault="00DD2C2C" w:rsidP="00DD2C2C">
            <w:pPr>
              <w:tabs>
                <w:tab w:val="left" w:pos="1327"/>
              </w:tabs>
              <w:ind w:left="420" w:hanging="420"/>
              <w:rPr>
                <w:rFonts w:eastAsia="SimSun" w:cs="Arial"/>
                <w:color w:val="FF0000"/>
              </w:rPr>
            </w:pPr>
            <w:r>
              <w:rPr>
                <w:rFonts w:eastAsia="SimSun" w:cs="Arial"/>
              </w:rPr>
              <w:t xml:space="preserve">1.9. Government approved a policy to reduce carbon intensity of electricity generation covering the following: (i) national renewable energy target to add </w:t>
            </w:r>
            <w:r>
              <w:rPr>
                <w:rFonts w:eastAsia="SimSun" w:cs="Arial"/>
              </w:rPr>
              <w:lastRenderedPageBreak/>
              <w:t>5GW solar and 3GW wind by 2030 (renewable shares: 15% of total generation); (ii) retirement of old and inefficient fossil-fuel power plants of 5.9GW by 2030; (iii) increase hydro power imports from neighbouring countries during summer months.</w:t>
            </w:r>
          </w:p>
        </w:tc>
        <w:tc>
          <w:tcPr>
            <w:tcW w:w="3544" w:type="dxa"/>
            <w:tcBorders>
              <w:top w:val="single" w:sz="4" w:space="0" w:color="auto"/>
              <w:left w:val="single" w:sz="4" w:space="0" w:color="auto"/>
              <w:bottom w:val="single" w:sz="4" w:space="0" w:color="auto"/>
              <w:right w:val="single" w:sz="4" w:space="0" w:color="auto"/>
            </w:tcBorders>
          </w:tcPr>
          <w:p w14:paraId="58B99910" w14:textId="77777777" w:rsidR="00DD2C2C" w:rsidRDefault="00DD2C2C" w:rsidP="00DD2C2C">
            <w:pPr>
              <w:ind w:left="428" w:hanging="428"/>
              <w:rPr>
                <w:rFonts w:eastAsia="SimSun" w:cs="Arial"/>
                <w:color w:val="FF0000"/>
              </w:rPr>
            </w:pPr>
            <w:r>
              <w:rPr>
                <w:rFonts w:eastAsia="SimSun" w:cs="Arial"/>
              </w:rPr>
              <w:lastRenderedPageBreak/>
              <w:t xml:space="preserve">2.13. To increase hydropower imports from neighbouring country, NEGU signed a power purchase and sales agreement with Barqi Tojik, the power </w:t>
            </w:r>
            <w:r>
              <w:rPr>
                <w:rFonts w:eastAsia="SimSun" w:cs="Arial"/>
              </w:rPr>
              <w:lastRenderedPageBreak/>
              <w:t>generation company of the government of Tajikistan.</w:t>
            </w:r>
          </w:p>
        </w:tc>
        <w:tc>
          <w:tcPr>
            <w:tcW w:w="2693" w:type="dxa"/>
            <w:vMerge w:val="restart"/>
          </w:tcPr>
          <w:p w14:paraId="6331E4D6" w14:textId="77777777" w:rsidR="00DD2C2C" w:rsidRDefault="00DD2C2C" w:rsidP="00DD2C2C">
            <w:pPr>
              <w:pStyle w:val="Corpsdetexte"/>
              <w:jc w:val="left"/>
              <w:rPr>
                <w:sz w:val="20"/>
                <w:u w:val="single"/>
                <w:lang w:val="en-US"/>
              </w:rPr>
            </w:pPr>
            <w:r>
              <w:rPr>
                <w:sz w:val="20"/>
                <w:u w:val="single"/>
                <w:lang w:val="en-US"/>
              </w:rPr>
              <w:lastRenderedPageBreak/>
              <w:t>Objective:</w:t>
            </w:r>
            <w:r>
              <w:rPr>
                <w:sz w:val="20"/>
                <w:lang w:val="en-US"/>
              </w:rPr>
              <w:t xml:space="preserve"> Decarbonization and diversification of energy sources &amp; Modernizing and digitalizing the </w:t>
            </w:r>
            <w:r>
              <w:rPr>
                <w:sz w:val="20"/>
                <w:lang w:val="en-US"/>
              </w:rPr>
              <w:lastRenderedPageBreak/>
              <w:t>distribution grid.</w:t>
            </w:r>
          </w:p>
          <w:p w14:paraId="0C24C069" w14:textId="77777777" w:rsidR="00DD2C2C" w:rsidRDefault="00DD2C2C" w:rsidP="00DD2C2C">
            <w:pPr>
              <w:pStyle w:val="Corpsdetexte"/>
              <w:rPr>
                <w:sz w:val="20"/>
                <w:u w:val="single"/>
                <w:lang w:val="en-US"/>
              </w:rPr>
            </w:pPr>
            <w:r>
              <w:rPr>
                <w:sz w:val="20"/>
                <w:u w:val="single"/>
                <w:lang w:val="en-US"/>
              </w:rPr>
              <w:t>Follow-up:</w:t>
            </w:r>
          </w:p>
          <w:p w14:paraId="78F62760" w14:textId="77777777" w:rsidR="00DD2C2C" w:rsidRDefault="00DD2C2C" w:rsidP="00DD2C2C">
            <w:pPr>
              <w:pStyle w:val="Corpsdetexte"/>
              <w:jc w:val="left"/>
              <w:rPr>
                <w:sz w:val="20"/>
                <w:lang w:val="en-US"/>
              </w:rPr>
            </w:pPr>
            <w:r>
              <w:rPr>
                <w:sz w:val="20"/>
                <w:lang w:val="en-US"/>
              </w:rPr>
              <w:t>- Status of development of bioenergy and new technologies in Uzbekistan.</w:t>
            </w:r>
          </w:p>
          <w:p w14:paraId="165186AA" w14:textId="77777777" w:rsidR="00DD2C2C" w:rsidRDefault="00DD2C2C" w:rsidP="00DD2C2C">
            <w:pPr>
              <w:pStyle w:val="Corpsdetexte"/>
              <w:jc w:val="left"/>
              <w:rPr>
                <w:sz w:val="20"/>
                <w:lang w:val="en-US"/>
              </w:rPr>
            </w:pPr>
            <w:r>
              <w:rPr>
                <w:sz w:val="20"/>
                <w:lang w:val="en-US"/>
              </w:rPr>
              <w:t xml:space="preserve">- Status of </w:t>
            </w:r>
            <w:r>
              <w:rPr>
                <w:sz w:val="20"/>
              </w:rPr>
              <w:t>hydroelectric</w:t>
            </w:r>
            <w:r>
              <w:rPr>
                <w:sz w:val="20"/>
                <w:lang w:val="en-US"/>
              </w:rPr>
              <w:t xml:space="preserve"> power imports.</w:t>
            </w:r>
          </w:p>
          <w:p w14:paraId="50A7D3BD" w14:textId="77777777" w:rsidR="00DD2C2C" w:rsidRDefault="00DD2C2C" w:rsidP="00DD2C2C">
            <w:pPr>
              <w:pStyle w:val="Corpsdetexte"/>
              <w:jc w:val="left"/>
              <w:rPr>
                <w:sz w:val="20"/>
                <w:lang w:val="en-US"/>
              </w:rPr>
            </w:pPr>
            <w:r>
              <w:rPr>
                <w:sz w:val="20"/>
                <w:lang w:val="en-US"/>
              </w:rPr>
              <w:t>- Status of decommissioning plan.</w:t>
            </w:r>
          </w:p>
          <w:p w14:paraId="5172EB67" w14:textId="77777777" w:rsidR="00DD2C2C" w:rsidRDefault="00DD2C2C" w:rsidP="00DD2C2C">
            <w:pPr>
              <w:pStyle w:val="Corpsdetexte"/>
              <w:rPr>
                <w:sz w:val="20"/>
                <w:lang w:val="en-US"/>
              </w:rPr>
            </w:pPr>
            <w:r>
              <w:rPr>
                <w:sz w:val="20"/>
                <w:lang w:val="en-US"/>
              </w:rPr>
              <w:t>- KPI for T&amp;D.</w:t>
            </w:r>
          </w:p>
          <w:p w14:paraId="40BD9DEB" w14:textId="77777777" w:rsidR="00DD2C2C" w:rsidRDefault="00DD2C2C" w:rsidP="00DD2C2C">
            <w:pPr>
              <w:pStyle w:val="Corpsdetexte"/>
              <w:jc w:val="left"/>
              <w:rPr>
                <w:sz w:val="20"/>
                <w:lang w:val="en-US"/>
              </w:rPr>
            </w:pPr>
            <w:r>
              <w:rPr>
                <w:sz w:val="20"/>
                <w:lang w:val="en-US"/>
              </w:rPr>
              <w:t>- Development of tariff mechanism and regulatory framework for rooftop solar.</w:t>
            </w:r>
          </w:p>
        </w:tc>
        <w:tc>
          <w:tcPr>
            <w:tcW w:w="2268" w:type="dxa"/>
            <w:vMerge/>
            <w:tcBorders>
              <w:right w:val="single" w:sz="4" w:space="0" w:color="auto"/>
            </w:tcBorders>
          </w:tcPr>
          <w:p w14:paraId="45600F7F" w14:textId="77777777" w:rsidR="00DD2C2C" w:rsidRDefault="00DD2C2C" w:rsidP="00DD2C2C">
            <w:pPr>
              <w:numPr>
                <w:ilvl w:val="0"/>
                <w:numId w:val="32"/>
              </w:numPr>
              <w:spacing w:line="240" w:lineRule="auto"/>
              <w:jc w:val="both"/>
              <w:rPr>
                <w:rFonts w:eastAsia="SimSun" w:cs="Arial"/>
                <w:color w:val="FF0000"/>
              </w:rPr>
            </w:pPr>
          </w:p>
        </w:tc>
        <w:tc>
          <w:tcPr>
            <w:tcW w:w="2126" w:type="dxa"/>
            <w:vMerge/>
            <w:tcBorders>
              <w:left w:val="single" w:sz="4" w:space="0" w:color="auto"/>
            </w:tcBorders>
          </w:tcPr>
          <w:p w14:paraId="113F4DC9" w14:textId="77777777" w:rsidR="00DD2C2C" w:rsidRDefault="00DD2C2C" w:rsidP="00DD2C2C">
            <w:pPr>
              <w:ind w:left="288"/>
              <w:rPr>
                <w:rFonts w:eastAsia="SimSun" w:cs="Arial"/>
                <w:color w:val="FF0000"/>
              </w:rPr>
            </w:pPr>
          </w:p>
        </w:tc>
      </w:tr>
      <w:tr w:rsidR="00DD2C2C" w14:paraId="307A735F" w14:textId="77777777" w:rsidTr="00DD2C2C">
        <w:tc>
          <w:tcPr>
            <w:tcW w:w="3539" w:type="dxa"/>
            <w:tcBorders>
              <w:top w:val="single" w:sz="4" w:space="0" w:color="auto"/>
              <w:left w:val="single" w:sz="4" w:space="0" w:color="auto"/>
              <w:bottom w:val="single" w:sz="4" w:space="0" w:color="auto"/>
              <w:right w:val="single" w:sz="4" w:space="0" w:color="auto"/>
            </w:tcBorders>
          </w:tcPr>
          <w:p w14:paraId="106921AA" w14:textId="77777777" w:rsidR="00DD2C2C" w:rsidRDefault="00DD2C2C" w:rsidP="00DD2C2C">
            <w:pPr>
              <w:tabs>
                <w:tab w:val="left" w:pos="1327"/>
              </w:tabs>
              <w:ind w:left="420" w:hanging="420"/>
              <w:rPr>
                <w:rFonts w:eastAsia="SimSun" w:cs="Arial"/>
              </w:rPr>
            </w:pPr>
            <w:r>
              <w:rPr>
                <w:rFonts w:eastAsia="SimSun" w:cs="Arial"/>
              </w:rPr>
              <w:lastRenderedPageBreak/>
              <w:t>1.10. Government approved a program to reduce carbon intensity in the transmission and distribution subsector covering the following: (i) launch of grid expansion and loss reduction plan study in support of renewables; (ii) digitalization and introduction of nation-wide SCADA system; (iii) program for distributed household or small community based renewable system closer to consumers; and (iv) distribution network modernization and loss reduction program</w:t>
            </w:r>
          </w:p>
        </w:tc>
        <w:tc>
          <w:tcPr>
            <w:tcW w:w="3544" w:type="dxa"/>
            <w:tcBorders>
              <w:top w:val="single" w:sz="4" w:space="0" w:color="auto"/>
              <w:left w:val="single" w:sz="4" w:space="0" w:color="auto"/>
              <w:bottom w:val="single" w:sz="4" w:space="0" w:color="auto"/>
              <w:right w:val="single" w:sz="4" w:space="0" w:color="auto"/>
            </w:tcBorders>
          </w:tcPr>
          <w:p w14:paraId="2C3D2105" w14:textId="77777777" w:rsidR="00DD2C2C" w:rsidRDefault="00DD2C2C" w:rsidP="00DD2C2C">
            <w:pPr>
              <w:ind w:left="428" w:hanging="428"/>
              <w:rPr>
                <w:rFonts w:eastAsia="SimSun" w:cs="Arial"/>
                <w:color w:val="FF0000"/>
              </w:rPr>
            </w:pPr>
            <w:r>
              <w:rPr>
                <w:rFonts w:eastAsia="SimSun" w:cs="Arial"/>
              </w:rPr>
              <w:t>2.14. Government approved energy sector master plan, including increase in the RE share, reduction of GHG emissions in line with its NDC commitments, and plan for modernization of its transmission and distribution network.</w:t>
            </w:r>
          </w:p>
        </w:tc>
        <w:tc>
          <w:tcPr>
            <w:tcW w:w="2693" w:type="dxa"/>
            <w:vMerge/>
          </w:tcPr>
          <w:p w14:paraId="40288160" w14:textId="77777777" w:rsidR="00DD2C2C" w:rsidRDefault="00DD2C2C" w:rsidP="00DD2C2C">
            <w:pPr>
              <w:ind w:left="288"/>
              <w:jc w:val="both"/>
              <w:rPr>
                <w:rFonts w:eastAsia="SimSun" w:cs="Arial"/>
                <w:color w:val="FF0000"/>
              </w:rPr>
            </w:pPr>
          </w:p>
        </w:tc>
        <w:tc>
          <w:tcPr>
            <w:tcW w:w="2268" w:type="dxa"/>
            <w:vMerge/>
            <w:tcBorders>
              <w:right w:val="single" w:sz="4" w:space="0" w:color="auto"/>
            </w:tcBorders>
          </w:tcPr>
          <w:p w14:paraId="6CF8216E" w14:textId="77777777" w:rsidR="00DD2C2C" w:rsidRDefault="00DD2C2C" w:rsidP="00DD2C2C">
            <w:pPr>
              <w:numPr>
                <w:ilvl w:val="0"/>
                <w:numId w:val="32"/>
              </w:numPr>
              <w:spacing w:line="240" w:lineRule="auto"/>
              <w:jc w:val="both"/>
              <w:rPr>
                <w:rFonts w:eastAsia="SimSun" w:cs="Arial"/>
                <w:color w:val="FF0000"/>
              </w:rPr>
            </w:pPr>
          </w:p>
        </w:tc>
        <w:tc>
          <w:tcPr>
            <w:tcW w:w="2126" w:type="dxa"/>
            <w:vMerge/>
            <w:tcBorders>
              <w:left w:val="single" w:sz="4" w:space="0" w:color="auto"/>
            </w:tcBorders>
          </w:tcPr>
          <w:p w14:paraId="062765D6" w14:textId="77777777" w:rsidR="00DD2C2C" w:rsidRDefault="00DD2C2C" w:rsidP="00DD2C2C">
            <w:pPr>
              <w:ind w:left="288"/>
              <w:rPr>
                <w:rFonts w:eastAsia="SimSun" w:cs="Arial"/>
                <w:color w:val="FF0000"/>
              </w:rPr>
            </w:pPr>
          </w:p>
        </w:tc>
      </w:tr>
      <w:tr w:rsidR="00DD2C2C" w14:paraId="07C162FE" w14:textId="77777777" w:rsidTr="00DD2C2C">
        <w:tc>
          <w:tcPr>
            <w:tcW w:w="12044" w:type="dxa"/>
            <w:gridSpan w:val="4"/>
            <w:tcBorders>
              <w:right w:val="single" w:sz="4" w:space="0" w:color="auto"/>
            </w:tcBorders>
            <w:shd w:val="clear" w:color="auto" w:fill="F2F2F2"/>
          </w:tcPr>
          <w:p w14:paraId="64A8D8EE" w14:textId="77777777" w:rsidR="00DD2C2C" w:rsidRDefault="00DD2C2C" w:rsidP="00DD2C2C">
            <w:pPr>
              <w:tabs>
                <w:tab w:val="left" w:pos="1327"/>
              </w:tabs>
              <w:ind w:left="428" w:hanging="428"/>
              <w:rPr>
                <w:rFonts w:eastAsia="SimSun" w:cs="Arial"/>
                <w:b/>
                <w:bCs/>
                <w:color w:val="FF0000"/>
              </w:rPr>
            </w:pPr>
            <w:r>
              <w:rPr>
                <w:rFonts w:eastAsia="SimSun" w:cs="Arial"/>
                <w:b/>
                <w:bCs/>
              </w:rPr>
              <w:t>Reform Area 4:</w:t>
            </w:r>
            <w:r>
              <w:rPr>
                <w:rFonts w:eastAsia="SimSun" w:cs="Arial"/>
                <w:b/>
                <w:bCs/>
                <w:color w:val="FF0000"/>
              </w:rPr>
              <w:t xml:space="preserve"> </w:t>
            </w:r>
            <w:r w:rsidRPr="003B004C">
              <w:rPr>
                <w:rFonts w:eastAsia="SimSun" w:cs="Arial"/>
                <w:bCs/>
              </w:rPr>
              <w:t>Demand Side Energy Efficiency Increased</w:t>
            </w:r>
          </w:p>
        </w:tc>
        <w:tc>
          <w:tcPr>
            <w:tcW w:w="2126" w:type="dxa"/>
            <w:vMerge/>
            <w:tcBorders>
              <w:left w:val="single" w:sz="4" w:space="0" w:color="auto"/>
            </w:tcBorders>
            <w:shd w:val="clear" w:color="auto" w:fill="F2F2F2"/>
          </w:tcPr>
          <w:p w14:paraId="3C96FEFF" w14:textId="77777777" w:rsidR="00DD2C2C" w:rsidRDefault="00DD2C2C" w:rsidP="00DD2C2C">
            <w:pPr>
              <w:rPr>
                <w:rFonts w:eastAsia="SimSun" w:cs="Arial"/>
                <w:b/>
                <w:bCs/>
              </w:rPr>
            </w:pPr>
          </w:p>
        </w:tc>
      </w:tr>
      <w:tr w:rsidR="00DD2C2C" w14:paraId="60E36D03" w14:textId="77777777" w:rsidTr="00DD2C2C">
        <w:trPr>
          <w:trHeight w:val="230"/>
        </w:trPr>
        <w:tc>
          <w:tcPr>
            <w:tcW w:w="3539" w:type="dxa"/>
            <w:tcBorders>
              <w:top w:val="single" w:sz="4" w:space="0" w:color="auto"/>
              <w:left w:val="single" w:sz="4" w:space="0" w:color="auto"/>
              <w:bottom w:val="single" w:sz="4" w:space="0" w:color="auto"/>
              <w:right w:val="single" w:sz="4" w:space="0" w:color="auto"/>
            </w:tcBorders>
          </w:tcPr>
          <w:p w14:paraId="20FF6266" w14:textId="77777777" w:rsidR="00DD2C2C" w:rsidRDefault="00DD2C2C" w:rsidP="00DD2C2C">
            <w:pPr>
              <w:tabs>
                <w:tab w:val="left" w:pos="1327"/>
              </w:tabs>
              <w:ind w:left="420" w:hanging="420"/>
              <w:rPr>
                <w:rFonts w:eastAsia="SimSun" w:cs="Arial"/>
                <w:color w:val="FF0000"/>
              </w:rPr>
            </w:pPr>
            <w:r>
              <w:rPr>
                <w:rFonts w:eastAsia="SimSun" w:cs="Arial"/>
              </w:rPr>
              <w:t xml:space="preserve">1.11. Government approved an energy efficiency roadmap to reduce the energy demand </w:t>
            </w:r>
            <w:r>
              <w:rPr>
                <w:rFonts w:eastAsia="SimSun" w:cs="Arial"/>
              </w:rPr>
              <w:lastRenderedPageBreak/>
              <w:t>across the economy covering the following: (i) improving regulatory standards for energy efficiency, (ii) energy balance data management, (iii) energy savings targets by 2022 for high energy consuming enterprises.</w:t>
            </w:r>
          </w:p>
        </w:tc>
        <w:tc>
          <w:tcPr>
            <w:tcW w:w="3544" w:type="dxa"/>
            <w:tcBorders>
              <w:top w:val="single" w:sz="4" w:space="0" w:color="auto"/>
              <w:left w:val="single" w:sz="4" w:space="0" w:color="auto"/>
              <w:bottom w:val="single" w:sz="4" w:space="0" w:color="auto"/>
              <w:right w:val="single" w:sz="4" w:space="0" w:color="auto"/>
            </w:tcBorders>
          </w:tcPr>
          <w:p w14:paraId="006E9868" w14:textId="77777777" w:rsidR="00DD2C2C" w:rsidRDefault="00DD2C2C" w:rsidP="00DD2C2C">
            <w:pPr>
              <w:ind w:left="428" w:hanging="428"/>
              <w:rPr>
                <w:rFonts w:eastAsia="SimSun" w:cs="Arial"/>
                <w:color w:val="FF0000"/>
              </w:rPr>
            </w:pPr>
            <w:r>
              <w:rPr>
                <w:rFonts w:eastAsia="SimSun" w:cs="Arial"/>
              </w:rPr>
              <w:lastRenderedPageBreak/>
              <w:t xml:space="preserve">2.17. Government passed Resolution on measures to accelerate the rational use of energy resources </w:t>
            </w:r>
            <w:r>
              <w:rPr>
                <w:rFonts w:eastAsia="SimSun" w:cs="Arial"/>
              </w:rPr>
              <w:lastRenderedPageBreak/>
              <w:t>and introduction of modern energy-saving technologies.</w:t>
            </w:r>
          </w:p>
        </w:tc>
        <w:tc>
          <w:tcPr>
            <w:tcW w:w="2693" w:type="dxa"/>
            <w:tcBorders>
              <w:top w:val="single" w:sz="4" w:space="0" w:color="auto"/>
              <w:left w:val="single" w:sz="4" w:space="0" w:color="auto"/>
              <w:bottom w:val="single" w:sz="4" w:space="0" w:color="auto"/>
              <w:right w:val="single" w:sz="4" w:space="0" w:color="auto"/>
            </w:tcBorders>
          </w:tcPr>
          <w:p w14:paraId="2DD98DD9" w14:textId="77777777" w:rsidR="00DD2C2C" w:rsidRDefault="00DD2C2C" w:rsidP="00DD2C2C">
            <w:pPr>
              <w:spacing w:after="240"/>
              <w:rPr>
                <w:rFonts w:cs="Arial"/>
                <w:bCs/>
                <w:u w:val="single"/>
              </w:rPr>
            </w:pPr>
            <w:r>
              <w:rPr>
                <w:rFonts w:cs="Arial"/>
                <w:bCs/>
                <w:u w:val="single"/>
              </w:rPr>
              <w:lastRenderedPageBreak/>
              <w:t>Objective:</w:t>
            </w:r>
            <w:r>
              <w:rPr>
                <w:rFonts w:cs="Arial"/>
                <w:bCs/>
              </w:rPr>
              <w:t xml:space="preserve"> Energy efficiency requirements for domestic </w:t>
            </w:r>
            <w:r>
              <w:rPr>
                <w:rFonts w:cs="Arial"/>
                <w:bCs/>
              </w:rPr>
              <w:lastRenderedPageBreak/>
              <w:t>industries are adopted and implemented</w:t>
            </w:r>
          </w:p>
          <w:p w14:paraId="0E237CED" w14:textId="77777777" w:rsidR="00DD2C2C" w:rsidRDefault="00DD2C2C" w:rsidP="00DD2C2C">
            <w:pPr>
              <w:spacing w:after="240"/>
              <w:jc w:val="both"/>
              <w:rPr>
                <w:rFonts w:cs="Arial"/>
                <w:bCs/>
                <w:u w:val="single"/>
              </w:rPr>
            </w:pPr>
            <w:r>
              <w:rPr>
                <w:rFonts w:cs="Arial"/>
                <w:bCs/>
                <w:u w:val="single"/>
              </w:rPr>
              <w:t>Follow-up:</w:t>
            </w:r>
          </w:p>
          <w:p w14:paraId="027C4CD5" w14:textId="77777777" w:rsidR="00DD2C2C" w:rsidRDefault="00DD2C2C" w:rsidP="00DD2C2C">
            <w:pPr>
              <w:spacing w:after="240"/>
              <w:jc w:val="both"/>
              <w:rPr>
                <w:rFonts w:cs="Arial"/>
                <w:bCs/>
              </w:rPr>
            </w:pPr>
            <w:r>
              <w:rPr>
                <w:rFonts w:cs="Arial"/>
                <w:bCs/>
              </w:rPr>
              <w:t>-Status of roadmap for implementation of energy efficiency requirements in industry.</w:t>
            </w:r>
          </w:p>
          <w:p w14:paraId="759C3019" w14:textId="77777777" w:rsidR="00DD2C2C" w:rsidRDefault="00DD2C2C" w:rsidP="00DD2C2C">
            <w:pPr>
              <w:rPr>
                <w:rFonts w:eastAsia="SimSun" w:cs="Arial"/>
                <w:color w:val="FF0000"/>
              </w:rPr>
            </w:pPr>
            <w:r>
              <w:rPr>
                <w:rFonts w:cs="Arial"/>
              </w:rPr>
              <w:t>-Status of decree on the energy audit on the industrial company.</w:t>
            </w:r>
          </w:p>
        </w:tc>
        <w:tc>
          <w:tcPr>
            <w:tcW w:w="2268" w:type="dxa"/>
            <w:vMerge w:val="restart"/>
            <w:tcBorders>
              <w:top w:val="single" w:sz="4" w:space="0" w:color="auto"/>
              <w:left w:val="single" w:sz="4" w:space="0" w:color="auto"/>
              <w:bottom w:val="single" w:sz="4" w:space="0" w:color="auto"/>
              <w:right w:val="single" w:sz="4" w:space="0" w:color="auto"/>
            </w:tcBorders>
          </w:tcPr>
          <w:p w14:paraId="03EE37CC" w14:textId="77777777" w:rsidR="00DD2C2C" w:rsidRDefault="00DD2C2C" w:rsidP="00DD2C2C">
            <w:pPr>
              <w:ind w:left="288"/>
              <w:rPr>
                <w:rFonts w:eastAsia="SimSun" w:cs="Arial"/>
                <w:color w:val="FF0000"/>
              </w:rPr>
            </w:pPr>
          </w:p>
        </w:tc>
        <w:tc>
          <w:tcPr>
            <w:tcW w:w="2126" w:type="dxa"/>
            <w:vMerge/>
            <w:tcBorders>
              <w:left w:val="single" w:sz="4" w:space="0" w:color="auto"/>
            </w:tcBorders>
          </w:tcPr>
          <w:p w14:paraId="64DF2D8D" w14:textId="77777777" w:rsidR="00DD2C2C" w:rsidRDefault="00DD2C2C" w:rsidP="00DD2C2C">
            <w:pPr>
              <w:ind w:left="288"/>
              <w:rPr>
                <w:rFonts w:eastAsia="SimSun" w:cs="Arial"/>
                <w:color w:val="FF0000"/>
              </w:rPr>
            </w:pPr>
          </w:p>
        </w:tc>
      </w:tr>
      <w:tr w:rsidR="00DD2C2C" w14:paraId="54A0DACD" w14:textId="77777777" w:rsidTr="00DD2C2C">
        <w:tc>
          <w:tcPr>
            <w:tcW w:w="3539" w:type="dxa"/>
            <w:tcBorders>
              <w:top w:val="single" w:sz="4" w:space="0" w:color="auto"/>
              <w:left w:val="single" w:sz="4" w:space="0" w:color="auto"/>
              <w:bottom w:val="single" w:sz="4" w:space="0" w:color="auto"/>
              <w:right w:val="single" w:sz="4" w:space="0" w:color="auto"/>
            </w:tcBorders>
          </w:tcPr>
          <w:p w14:paraId="0FD9F06C" w14:textId="77777777" w:rsidR="00DD2C2C" w:rsidRDefault="00DD2C2C" w:rsidP="00DD2C2C">
            <w:pPr>
              <w:tabs>
                <w:tab w:val="left" w:pos="1327"/>
              </w:tabs>
              <w:ind w:left="420" w:hanging="420"/>
              <w:rPr>
                <w:rFonts w:eastAsia="SimSun" w:cs="Arial"/>
                <w:color w:val="FF0000"/>
              </w:rPr>
            </w:pPr>
            <w:r>
              <w:rPr>
                <w:rFonts w:eastAsia="SimSun" w:cs="Arial"/>
              </w:rPr>
              <w:lastRenderedPageBreak/>
              <w:t>1.12. To reduce power consumption for space heating in urban areas and to improve the efficiency of heat networks, the government approved an action plan for the improvement of energy efficiency in the heat supply system for Tashkent city, covering the following: (i) introduction of billing and advanced metering system for individual households; (ii) conducting energy audit on heat supply system; and (iii) exploring the suitability of the PPP modality.</w:t>
            </w:r>
          </w:p>
        </w:tc>
        <w:tc>
          <w:tcPr>
            <w:tcW w:w="3544" w:type="dxa"/>
            <w:tcBorders>
              <w:top w:val="single" w:sz="4" w:space="0" w:color="auto"/>
              <w:left w:val="single" w:sz="4" w:space="0" w:color="auto"/>
              <w:bottom w:val="single" w:sz="4" w:space="0" w:color="auto"/>
              <w:right w:val="single" w:sz="4" w:space="0" w:color="auto"/>
            </w:tcBorders>
          </w:tcPr>
          <w:p w14:paraId="36E91B07" w14:textId="77777777" w:rsidR="00DD2C2C" w:rsidRDefault="00DD2C2C" w:rsidP="00DD2C2C">
            <w:pPr>
              <w:ind w:left="510"/>
              <w:rPr>
                <w:rFonts w:eastAsia="SimSun" w:cs="Arial"/>
                <w:color w:val="FF0000"/>
              </w:rPr>
            </w:pPr>
          </w:p>
        </w:tc>
        <w:tc>
          <w:tcPr>
            <w:tcW w:w="2693" w:type="dxa"/>
          </w:tcPr>
          <w:p w14:paraId="27BEB370" w14:textId="77777777" w:rsidR="00DD2C2C" w:rsidRDefault="00DD2C2C" w:rsidP="00DD2C2C">
            <w:pPr>
              <w:pStyle w:val="Corpsdetexte"/>
              <w:jc w:val="left"/>
              <w:rPr>
                <w:sz w:val="20"/>
                <w:u w:val="single"/>
                <w:lang w:val="en-US"/>
              </w:rPr>
            </w:pPr>
            <w:r>
              <w:rPr>
                <w:sz w:val="20"/>
                <w:u w:val="single"/>
                <w:lang w:val="en-US"/>
              </w:rPr>
              <w:t xml:space="preserve">Objective: </w:t>
            </w:r>
            <w:r>
              <w:rPr>
                <w:sz w:val="20"/>
                <w:lang w:val="en-US"/>
              </w:rPr>
              <w:t>Develop ambitious plan and roadmap for energy efficiency in district heating</w:t>
            </w:r>
          </w:p>
          <w:p w14:paraId="59F685A2" w14:textId="77777777" w:rsidR="00DD2C2C" w:rsidRDefault="00DD2C2C" w:rsidP="00DD2C2C">
            <w:pPr>
              <w:pStyle w:val="Corpsdetexte"/>
              <w:rPr>
                <w:sz w:val="20"/>
                <w:u w:val="single"/>
                <w:lang w:val="en-US"/>
              </w:rPr>
            </w:pPr>
            <w:r>
              <w:rPr>
                <w:sz w:val="20"/>
                <w:u w:val="single"/>
                <w:lang w:val="en-US"/>
              </w:rPr>
              <w:t>Follow-up :</w:t>
            </w:r>
          </w:p>
          <w:p w14:paraId="61718FA9" w14:textId="77777777" w:rsidR="00DD2C2C" w:rsidRDefault="00DD2C2C" w:rsidP="00DD2C2C">
            <w:pPr>
              <w:pStyle w:val="Corpsdetexte"/>
              <w:rPr>
                <w:sz w:val="20"/>
                <w:lang w:val="en-US"/>
              </w:rPr>
            </w:pPr>
            <w:r>
              <w:rPr>
                <w:sz w:val="20"/>
                <w:lang w:val="en-US"/>
              </w:rPr>
              <w:t>-Status of Program on the development of District Heating System</w:t>
            </w:r>
          </w:p>
          <w:p w14:paraId="5CA1313E" w14:textId="77777777" w:rsidR="00DD2C2C" w:rsidRDefault="00DD2C2C" w:rsidP="00DD2C2C">
            <w:pPr>
              <w:jc w:val="both"/>
              <w:rPr>
                <w:rFonts w:eastAsia="SimSun" w:cs="Arial"/>
                <w:color w:val="FF0000"/>
              </w:rPr>
            </w:pPr>
            <w:r>
              <w:rPr>
                <w:rFonts w:cs="Arial"/>
              </w:rPr>
              <w:t>-Status of setting energy efficiency targets for main cities urban network.</w:t>
            </w:r>
          </w:p>
        </w:tc>
        <w:tc>
          <w:tcPr>
            <w:tcW w:w="2268" w:type="dxa"/>
            <w:vMerge/>
          </w:tcPr>
          <w:p w14:paraId="2EEAF21D" w14:textId="77777777" w:rsidR="00DD2C2C" w:rsidRDefault="00DD2C2C" w:rsidP="00DD2C2C">
            <w:pPr>
              <w:numPr>
                <w:ilvl w:val="0"/>
                <w:numId w:val="32"/>
              </w:numPr>
              <w:spacing w:line="240" w:lineRule="auto"/>
              <w:jc w:val="both"/>
              <w:rPr>
                <w:rFonts w:eastAsia="SimSun" w:cs="Arial"/>
                <w:color w:val="FF0000"/>
              </w:rPr>
            </w:pPr>
          </w:p>
        </w:tc>
        <w:tc>
          <w:tcPr>
            <w:tcW w:w="2126" w:type="dxa"/>
            <w:vMerge/>
            <w:tcBorders>
              <w:left w:val="single" w:sz="4" w:space="0" w:color="auto"/>
              <w:bottom w:val="single" w:sz="4" w:space="0" w:color="auto"/>
            </w:tcBorders>
          </w:tcPr>
          <w:p w14:paraId="06570D2B" w14:textId="77777777" w:rsidR="00DD2C2C" w:rsidRDefault="00DD2C2C" w:rsidP="00DD2C2C">
            <w:pPr>
              <w:ind w:left="288"/>
              <w:rPr>
                <w:rFonts w:eastAsia="SimSun" w:cs="Arial"/>
                <w:color w:val="FF0000"/>
              </w:rPr>
            </w:pPr>
          </w:p>
        </w:tc>
      </w:tr>
    </w:tbl>
    <w:p w14:paraId="39F6BC72" w14:textId="77777777" w:rsidR="00DD2C2C" w:rsidRDefault="00DD2C2C" w:rsidP="00DD2C2C">
      <w:pPr>
        <w:jc w:val="both"/>
        <w:rPr>
          <w:rFonts w:eastAsia="SimSun"/>
          <w:color w:val="000000"/>
          <w:sz w:val="2"/>
          <w:szCs w:val="2"/>
        </w:rPr>
      </w:pPr>
      <w:r>
        <w:rPr>
          <w:rFonts w:eastAsia="SimSun"/>
          <w:color w:val="000000"/>
          <w:sz w:val="2"/>
          <w:szCs w:val="2"/>
        </w:rPr>
        <w:lastRenderedPageBreak/>
        <w:br w:type="textWrapping" w:clear="all"/>
      </w:r>
    </w:p>
    <w:tbl>
      <w:tblPr>
        <w:tblW w:w="14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bottom w:w="14" w:type="dxa"/>
        </w:tblCellMar>
        <w:tblLook w:val="04A0" w:firstRow="1" w:lastRow="0" w:firstColumn="1" w:lastColumn="0" w:noHBand="0" w:noVBand="1"/>
      </w:tblPr>
      <w:tblGrid>
        <w:gridCol w:w="14130"/>
      </w:tblGrid>
      <w:tr w:rsidR="00DD2C2C" w14:paraId="1B6EC3D2" w14:textId="77777777" w:rsidTr="00DD2C2C">
        <w:trPr>
          <w:jc w:val="center"/>
        </w:trPr>
        <w:tc>
          <w:tcPr>
            <w:tcW w:w="14130" w:type="dxa"/>
          </w:tcPr>
          <w:p w14:paraId="49A83050" w14:textId="77777777" w:rsidR="00DD2C2C" w:rsidRDefault="00DD2C2C" w:rsidP="00DD2C2C">
            <w:pPr>
              <w:rPr>
                <w:rFonts w:eastAsia="SimSun" w:cs="Arial"/>
                <w:b/>
                <w:color w:val="000000"/>
              </w:rPr>
            </w:pPr>
            <w:r>
              <w:rPr>
                <w:rFonts w:eastAsia="SimSun" w:cs="Arial"/>
                <w:b/>
                <w:color w:val="000000"/>
              </w:rPr>
              <w:t>Budget Support</w:t>
            </w:r>
          </w:p>
          <w:p w14:paraId="5452512A" w14:textId="77777777" w:rsidR="00DD2C2C" w:rsidRDefault="00DD2C2C" w:rsidP="00DD2C2C">
            <w:pPr>
              <w:rPr>
                <w:rFonts w:eastAsia="MS Mincho" w:cs="Arial"/>
                <w:color w:val="FF0000"/>
                <w:lang w:eastAsia="ja-JP"/>
              </w:rPr>
            </w:pPr>
            <w:r>
              <w:rPr>
                <w:rFonts w:eastAsia="SimSun" w:cs="Arial"/>
                <w:b/>
                <w:color w:val="000000"/>
              </w:rPr>
              <w:t>Subprogram 1:</w:t>
            </w:r>
          </w:p>
          <w:p w14:paraId="7500ABDF" w14:textId="77777777" w:rsidR="00DD2C2C" w:rsidRDefault="00DD2C2C" w:rsidP="00DD2C2C">
            <w:pPr>
              <w:rPr>
                <w:rFonts w:eastAsia="MS PGothic" w:cs="Arial"/>
                <w:color w:val="000000"/>
              </w:rPr>
            </w:pPr>
            <w:r>
              <w:rPr>
                <w:rFonts w:eastAsia="MS PGothic" w:cs="Arial"/>
                <w:color w:val="000000"/>
              </w:rPr>
              <w:t>ADB: $</w:t>
            </w:r>
            <w:r>
              <w:rPr>
                <w:rFonts w:eastAsia="MS PGothic" w:cs="Arial"/>
              </w:rPr>
              <w:t>200 million (regular OCR loan)</w:t>
            </w:r>
          </w:p>
          <w:p w14:paraId="35CE6E44" w14:textId="77777777" w:rsidR="00DD2C2C" w:rsidRDefault="00DD2C2C" w:rsidP="00DD2C2C">
            <w:pPr>
              <w:rPr>
                <w:rFonts w:eastAsia="MS PGothic" w:cs="Arial"/>
                <w:color w:val="000000"/>
              </w:rPr>
            </w:pPr>
            <w:r>
              <w:rPr>
                <w:rFonts w:eastAsia="MS PGothic" w:cs="Arial"/>
                <w:color w:val="000000"/>
              </w:rPr>
              <w:t>AFD: EURO 150 million (loan)</w:t>
            </w:r>
          </w:p>
          <w:p w14:paraId="4B69020A" w14:textId="77777777" w:rsidR="00DD2C2C" w:rsidRDefault="00DD2C2C" w:rsidP="00DD2C2C">
            <w:pPr>
              <w:rPr>
                <w:rFonts w:eastAsia="MS PGothic" w:cs="Arial"/>
                <w:color w:val="000000"/>
              </w:rPr>
            </w:pPr>
          </w:p>
          <w:p w14:paraId="16802396" w14:textId="77777777" w:rsidR="00DD2C2C" w:rsidRDefault="00DD2C2C" w:rsidP="00DD2C2C">
            <w:pPr>
              <w:rPr>
                <w:rFonts w:eastAsia="MS PGothic" w:cs="Arial"/>
                <w:b/>
                <w:bCs/>
              </w:rPr>
            </w:pPr>
            <w:r>
              <w:rPr>
                <w:rFonts w:eastAsia="MS PGothic" w:cs="Arial"/>
                <w:b/>
                <w:bCs/>
              </w:rPr>
              <w:t>Subprogram 2:</w:t>
            </w:r>
          </w:p>
          <w:p w14:paraId="4CE1DED3" w14:textId="77777777" w:rsidR="00DD2C2C" w:rsidRDefault="00DD2C2C" w:rsidP="00DD2C2C">
            <w:pPr>
              <w:rPr>
                <w:rFonts w:eastAsia="MS PGothic" w:cs="Arial"/>
                <w:color w:val="000000"/>
              </w:rPr>
            </w:pPr>
            <w:r>
              <w:rPr>
                <w:rFonts w:eastAsia="MS PGothic" w:cs="Arial"/>
                <w:color w:val="000000"/>
              </w:rPr>
              <w:t>ADB: $300 million (regular OCR loan)</w:t>
            </w:r>
          </w:p>
          <w:p w14:paraId="102E1A60" w14:textId="77777777" w:rsidR="00DD2C2C" w:rsidRDefault="00DD2C2C" w:rsidP="00DD2C2C">
            <w:pPr>
              <w:rPr>
                <w:rFonts w:eastAsia="MS PGothic" w:cs="Arial"/>
                <w:color w:val="000000"/>
              </w:rPr>
            </w:pPr>
            <w:r>
              <w:rPr>
                <w:rFonts w:eastAsia="MS PGothic" w:cs="Arial"/>
                <w:color w:val="000000"/>
              </w:rPr>
              <w:t>AFD: EURO 100 million (loan)</w:t>
            </w:r>
          </w:p>
          <w:p w14:paraId="53B6808F" w14:textId="77777777" w:rsidR="00DD2C2C" w:rsidRDefault="00DD2C2C" w:rsidP="00DD2C2C">
            <w:pPr>
              <w:rPr>
                <w:rFonts w:eastAsia="SimSun" w:cs="Arial"/>
                <w:color w:val="000000"/>
              </w:rPr>
            </w:pPr>
          </w:p>
        </w:tc>
      </w:tr>
    </w:tbl>
    <w:p w14:paraId="035B08EA" w14:textId="77777777" w:rsidR="00DD2C2C" w:rsidRDefault="00DD2C2C" w:rsidP="00DD2C2C">
      <w:pPr>
        <w:jc w:val="both"/>
        <w:rPr>
          <w:rFonts w:eastAsia="SimSun"/>
          <w:color w:val="000000"/>
          <w:sz w:val="18"/>
          <w:szCs w:val="18"/>
        </w:rPr>
      </w:pPr>
      <w:r>
        <w:rPr>
          <w:rFonts w:eastAsia="SimSun"/>
          <w:color w:val="000000"/>
          <w:sz w:val="18"/>
          <w:szCs w:val="18"/>
        </w:rPr>
        <w:t>A = assumption, ADB = Asian Development Bank, AFD = Agence Francaise de Developpement, G = gigawatt, GHG = greenhouse gas, JSC = Joint Stock Company, MOE = Ministry of Economy, NDC = national determined contributions, NEGU = National Electric Grid of Uzbekistan, OCR = ordinary capital resources, PPP = public-private partnership, R = risk, RE = renewable energy, REPN = Regional Electrical Power Networks, SCADA = supervisory control and data acquisition, TPP = Thermal Power Plants.</w:t>
      </w:r>
    </w:p>
    <w:p w14:paraId="5671A045" w14:textId="77777777" w:rsidR="00DD2C2C" w:rsidRDefault="00DD2C2C" w:rsidP="00DD2C2C">
      <w:pPr>
        <w:ind w:left="180" w:hanging="180"/>
        <w:jc w:val="both"/>
        <w:rPr>
          <w:rFonts w:eastAsia="MS PGothic" w:cs="Arial"/>
          <w:sz w:val="18"/>
          <w:szCs w:val="18"/>
        </w:rPr>
      </w:pPr>
      <w:bookmarkStart w:id="151" w:name="_Hlk167364325"/>
      <w:r>
        <w:rPr>
          <w:rFonts w:eastAsia="MS PGothic" w:cs="Arial"/>
          <w:sz w:val="18"/>
          <w:szCs w:val="18"/>
          <w:vertAlign w:val="superscript"/>
        </w:rPr>
        <w:t>a</w:t>
      </w:r>
      <w:r>
        <w:rPr>
          <w:rFonts w:eastAsia="MS PGothic" w:cs="Arial"/>
          <w:sz w:val="18"/>
          <w:szCs w:val="18"/>
        </w:rPr>
        <w:tab/>
        <w:t xml:space="preserve">Government of Uzbekistan. 2019. Presidential Decree No. 4249: </w:t>
      </w:r>
      <w:r>
        <w:rPr>
          <w:rFonts w:eastAsia="MS PGothic" w:cs="Arial"/>
          <w:i/>
          <w:iCs/>
          <w:sz w:val="18"/>
          <w:szCs w:val="18"/>
        </w:rPr>
        <w:t>On the Strategy for Further Development and Reform of the Electric Power Industry of the Republic of Uzbekistan</w:t>
      </w:r>
      <w:r>
        <w:rPr>
          <w:rFonts w:eastAsia="MS PGothic" w:cs="Arial"/>
          <w:sz w:val="18"/>
          <w:szCs w:val="18"/>
        </w:rPr>
        <w:t>. Tashkent.</w:t>
      </w:r>
      <w:bookmarkEnd w:id="151"/>
    </w:p>
    <w:p w14:paraId="601E57CC" w14:textId="77777777" w:rsidR="00DD2C2C" w:rsidRDefault="00DD2C2C" w:rsidP="00DD2C2C">
      <w:pPr>
        <w:ind w:left="180" w:hanging="180"/>
        <w:jc w:val="both"/>
        <w:rPr>
          <w:rFonts w:eastAsia="MS PGothic" w:cs="Arial"/>
          <w:sz w:val="18"/>
          <w:szCs w:val="18"/>
        </w:rPr>
      </w:pPr>
      <w:r>
        <w:rPr>
          <w:rFonts w:eastAsia="MS PGothic" w:cs="Arial"/>
          <w:sz w:val="18"/>
          <w:szCs w:val="18"/>
          <w:vertAlign w:val="superscript"/>
        </w:rPr>
        <w:t>b</w:t>
      </w:r>
      <w:r>
        <w:rPr>
          <w:rFonts w:eastAsia="MS PGothic" w:cs="Arial"/>
          <w:sz w:val="18"/>
          <w:szCs w:val="18"/>
        </w:rPr>
        <w:tab/>
        <w:t>As of December 2023, 8%.</w:t>
      </w:r>
    </w:p>
    <w:p w14:paraId="071B1A0F" w14:textId="77777777" w:rsidR="00DD2C2C" w:rsidRDefault="00DD2C2C" w:rsidP="00DD2C2C">
      <w:pPr>
        <w:ind w:left="180" w:hanging="180"/>
        <w:jc w:val="both"/>
        <w:rPr>
          <w:rFonts w:eastAsia="MS PGothic" w:cs="Arial"/>
          <w:sz w:val="18"/>
          <w:szCs w:val="18"/>
        </w:rPr>
      </w:pPr>
      <w:r>
        <w:rPr>
          <w:rFonts w:eastAsia="MS PGothic" w:cs="Arial"/>
          <w:sz w:val="18"/>
          <w:szCs w:val="18"/>
          <w:vertAlign w:val="superscript"/>
        </w:rPr>
        <w:t>c</w:t>
      </w:r>
      <w:r>
        <w:rPr>
          <w:rFonts w:eastAsia="MS PGothic" w:cs="Arial"/>
          <w:sz w:val="18"/>
          <w:szCs w:val="18"/>
        </w:rPr>
        <w:tab/>
        <w:t>In December 2023, the government appointed the first head of the regulatory body and, in January 2024, approved the measures to organize activities for developing and regulating the electricity market through Presidential Resolution 28.</w:t>
      </w:r>
      <w:r>
        <w:rPr>
          <w:rFonts w:eastAsia="SimSun" w:cs="Arial"/>
          <w:color w:val="000000"/>
        </w:rPr>
        <w:t xml:space="preserve"> </w:t>
      </w:r>
      <w:r>
        <w:rPr>
          <w:rFonts w:eastAsia="MS PGothic" w:cs="Arial"/>
          <w:sz w:val="18"/>
          <w:szCs w:val="18"/>
        </w:rPr>
        <w:t>In April 2024, the government, through Cabinet of Minister’s Resolution 252, approved the Charter of the Regulator, defining the key roles and responsibilities of the regulator as an independent body.</w:t>
      </w:r>
    </w:p>
    <w:p w14:paraId="35C368F9" w14:textId="77777777" w:rsidR="00DD2C2C" w:rsidRDefault="00DD2C2C" w:rsidP="00DD2C2C">
      <w:pPr>
        <w:ind w:left="180" w:hanging="180"/>
        <w:jc w:val="both"/>
        <w:rPr>
          <w:rFonts w:eastAsia="MS PGothic" w:cs="Arial"/>
          <w:sz w:val="18"/>
          <w:szCs w:val="18"/>
        </w:rPr>
      </w:pPr>
      <w:r>
        <w:rPr>
          <w:rFonts w:eastAsia="MS PGothic" w:cs="Arial"/>
          <w:sz w:val="18"/>
          <w:szCs w:val="18"/>
          <w:vertAlign w:val="superscript"/>
        </w:rPr>
        <w:t>d</w:t>
      </w:r>
      <w:r>
        <w:rPr>
          <w:rFonts w:eastAsia="MS PGothic" w:cs="Arial"/>
          <w:sz w:val="18"/>
          <w:szCs w:val="18"/>
        </w:rPr>
        <w:t xml:space="preserve">  As of December 2022,</w:t>
      </w:r>
      <w:r>
        <w:rPr>
          <w:rFonts w:eastAsia="Arial" w:cs="Arial"/>
        </w:rPr>
        <w:t xml:space="preserve"> </w:t>
      </w:r>
      <w:r>
        <w:rPr>
          <w:rFonts w:eastAsia="MS PGothic" w:cs="Arial"/>
          <w:sz w:val="18"/>
          <w:szCs w:val="18"/>
        </w:rPr>
        <w:t>0.96 JSC REPN, 0.92 JSC NEGU, and 1.06 for JSC TPP</w:t>
      </w:r>
    </w:p>
    <w:p w14:paraId="249EE2CA" w14:textId="77777777" w:rsidR="00DD2C2C" w:rsidRDefault="00DD2C2C" w:rsidP="00DD2C2C">
      <w:pPr>
        <w:ind w:left="180" w:hanging="180"/>
        <w:jc w:val="both"/>
        <w:rPr>
          <w:rFonts w:eastAsia="MS PGothic" w:cs="Arial"/>
          <w:sz w:val="18"/>
          <w:szCs w:val="18"/>
        </w:rPr>
      </w:pPr>
      <w:r>
        <w:rPr>
          <w:rFonts w:eastAsia="MS PGothic" w:cs="Arial"/>
          <w:sz w:val="18"/>
          <w:szCs w:val="18"/>
          <w:vertAlign w:val="superscript"/>
        </w:rPr>
        <w:t>e</w:t>
      </w:r>
      <w:r>
        <w:rPr>
          <w:rFonts w:eastAsia="MS PGothic" w:cs="Arial"/>
          <w:sz w:val="18"/>
          <w:szCs w:val="18"/>
        </w:rPr>
        <w:tab/>
        <w:t>As of December 2022, 97.8% for REPN</w:t>
      </w:r>
    </w:p>
    <w:p w14:paraId="7E6F1A0C" w14:textId="77777777" w:rsidR="00DD2C2C" w:rsidRDefault="00DD2C2C" w:rsidP="00DD2C2C">
      <w:pPr>
        <w:ind w:left="180" w:hanging="180"/>
        <w:jc w:val="both"/>
        <w:rPr>
          <w:rFonts w:eastAsia="MS PGothic" w:cs="Arial"/>
          <w:sz w:val="18"/>
          <w:szCs w:val="18"/>
        </w:rPr>
      </w:pPr>
      <w:r>
        <w:rPr>
          <w:rFonts w:eastAsia="MS PGothic" w:cs="Arial"/>
          <w:sz w:val="18"/>
          <w:szCs w:val="18"/>
          <w:vertAlign w:val="superscript"/>
        </w:rPr>
        <w:t>f</w:t>
      </w:r>
      <w:r>
        <w:rPr>
          <w:rFonts w:eastAsia="MS PGothic" w:cs="Arial"/>
          <w:sz w:val="18"/>
          <w:szCs w:val="18"/>
        </w:rPr>
        <w:tab/>
        <w:t xml:space="preserve">To strengthen the relationship between policy reforms and expected outcome, subprogram 2 added one new outcome indicators to capture progress on improvement in energy mix. </w:t>
      </w:r>
    </w:p>
    <w:p w14:paraId="0747472F" w14:textId="77777777" w:rsidR="00DD2C2C" w:rsidRDefault="00DD2C2C" w:rsidP="00DD2C2C">
      <w:pPr>
        <w:ind w:left="180" w:hanging="180"/>
        <w:jc w:val="both"/>
        <w:rPr>
          <w:rFonts w:eastAsia="MS PGothic" w:cs="Arial"/>
          <w:sz w:val="18"/>
          <w:szCs w:val="18"/>
        </w:rPr>
      </w:pPr>
      <w:r>
        <w:rPr>
          <w:rFonts w:eastAsia="MS PGothic" w:cs="Arial"/>
          <w:sz w:val="18"/>
          <w:szCs w:val="18"/>
          <w:vertAlign w:val="superscript"/>
        </w:rPr>
        <w:t>g</w:t>
      </w:r>
      <w:r>
        <w:rPr>
          <w:rFonts w:eastAsia="MS PGothic" w:cs="Arial"/>
          <w:sz w:val="18"/>
          <w:szCs w:val="18"/>
        </w:rPr>
        <w:t xml:space="preserve">   As of December 2023, 8.3% excluding hydropower</w:t>
      </w:r>
    </w:p>
    <w:p w14:paraId="54827D43" w14:textId="77777777" w:rsidR="00DD2C2C" w:rsidRDefault="00DD2C2C" w:rsidP="00DD2C2C">
      <w:pPr>
        <w:ind w:left="180" w:hanging="180"/>
        <w:jc w:val="both"/>
        <w:rPr>
          <w:rFonts w:eastAsia="MS PGothic" w:cs="Arial"/>
          <w:sz w:val="18"/>
          <w:szCs w:val="18"/>
        </w:rPr>
      </w:pPr>
    </w:p>
    <w:p w14:paraId="2D0C4D1B" w14:textId="77777777" w:rsidR="00DD2C2C" w:rsidRDefault="00DD2C2C" w:rsidP="00DD2C2C">
      <w:pPr>
        <w:rPr>
          <w:u w:val="single"/>
        </w:rPr>
      </w:pPr>
    </w:p>
    <w:p w14:paraId="4BF6CF83" w14:textId="77777777" w:rsidR="00DD2C2C" w:rsidRDefault="00DD2C2C" w:rsidP="00DD2C2C">
      <w:pPr>
        <w:rPr>
          <w:u w:val="single"/>
        </w:rPr>
        <w:sectPr w:rsidR="00DD2C2C">
          <w:pgSz w:w="16840" w:h="11900" w:orient="landscape"/>
          <w:pgMar w:top="1134" w:right="1134" w:bottom="1120" w:left="680" w:header="1134" w:footer="680" w:gutter="0"/>
          <w:cols w:space="720"/>
        </w:sectPr>
      </w:pPr>
    </w:p>
    <w:p w14:paraId="5683B219" w14:textId="77777777" w:rsidR="00DD2C2C" w:rsidRDefault="00DD2C2C" w:rsidP="00DD2C2C">
      <w:pPr>
        <w:keepNext/>
        <w:ind w:firstLine="720"/>
        <w:jc w:val="center"/>
        <w:outlineLvl w:val="0"/>
        <w:rPr>
          <w:rFonts w:eastAsia="SimSun" w:cs="Arial"/>
          <w:b/>
          <w:caps/>
          <w:color w:val="000000"/>
        </w:rPr>
      </w:pPr>
      <w:r>
        <w:rPr>
          <w:rFonts w:eastAsia="SimSun" w:cs="Arial"/>
          <w:b/>
          <w:caps/>
          <w:color w:val="000000"/>
        </w:rPr>
        <w:lastRenderedPageBreak/>
        <w:t>Annex 2: Methodological framework for the Activity n°3</w:t>
      </w:r>
    </w:p>
    <w:p w14:paraId="15545D4C" w14:textId="77777777" w:rsidR="00DD2C2C" w:rsidRDefault="00DD2C2C" w:rsidP="00DD2C2C">
      <w:pPr>
        <w:spacing w:before="120"/>
        <w:jc w:val="both"/>
        <w:rPr>
          <w:lang w:val="en-US"/>
        </w:rPr>
      </w:pPr>
      <w:r>
        <w:rPr>
          <w:lang w:val="en-US"/>
        </w:rPr>
        <w:t>The evaluation will seek to assess the extent to which the objectives of the initiative have been achieved. To do this, the evaluators will base themselves on the PBL approach. If the approach appears incomplete or inadequate, they will have to reconstruct it. The approach is made up of all the activities implemented (funds, technical cooperation activities, policy dialogue), the monitoring method adopted (including indicators), the direct achievements in terms of the policy process, the achievements relating to the formulation and implementation of Uzbekistan's energy policy, the expected results and effects, and the hypotheses that explain how the activities led to the effects in the context of the intervention.</w:t>
      </w:r>
    </w:p>
    <w:p w14:paraId="608BFBE2" w14:textId="77777777" w:rsidR="00DD2C2C" w:rsidRDefault="00DD2C2C" w:rsidP="00DD2C2C">
      <w:pPr>
        <w:spacing w:before="120"/>
        <w:rPr>
          <w:lang w:val="en-US"/>
        </w:rPr>
      </w:pPr>
      <w:r>
        <w:rPr>
          <w:lang w:val="en-US"/>
        </w:rPr>
        <w:t>To facilitate this step, the evaluators can refer to the budget support effects chain described in the evaluation framework of the OECD method, which can be summarized as follows:</w:t>
      </w:r>
    </w:p>
    <w:p w14:paraId="754AEDAE" w14:textId="77777777" w:rsidR="00DD2C2C" w:rsidRDefault="00DD2C2C" w:rsidP="00DD2C2C">
      <w:pPr>
        <w:numPr>
          <w:ilvl w:val="0"/>
          <w:numId w:val="45"/>
        </w:numPr>
        <w:spacing w:before="120" w:line="240" w:lineRule="auto"/>
        <w:jc w:val="both"/>
        <w:rPr>
          <w:lang w:val="en-US"/>
        </w:rPr>
      </w:pPr>
      <w:r>
        <w:rPr>
          <w:b/>
          <w:lang w:val="en-US"/>
        </w:rPr>
        <w:t xml:space="preserve">Inputs: </w:t>
      </w:r>
      <w:r>
        <w:rPr>
          <w:lang w:val="en-US"/>
        </w:rPr>
        <w:t>transfer of funds, public policy dialogue and performance indicators, and technical cooperation activities.</w:t>
      </w:r>
    </w:p>
    <w:p w14:paraId="568D3195" w14:textId="77777777" w:rsidR="00DD2C2C" w:rsidRDefault="00DD2C2C" w:rsidP="00DD2C2C">
      <w:pPr>
        <w:numPr>
          <w:ilvl w:val="0"/>
          <w:numId w:val="45"/>
        </w:numPr>
        <w:spacing w:before="120" w:line="240" w:lineRule="auto"/>
        <w:jc w:val="both"/>
        <w:rPr>
          <w:lang w:val="en-US"/>
        </w:rPr>
      </w:pPr>
      <w:r>
        <w:rPr>
          <w:b/>
          <w:lang w:val="en-US"/>
        </w:rPr>
        <w:t xml:space="preserve">Direct outputs: </w:t>
      </w:r>
      <w:r>
        <w:rPr>
          <w:lang w:val="en-US"/>
        </w:rPr>
        <w:t>improving the relationship between external support and the national budget and public policy processes. Direct outputs can be interpreted in terms of opportunities created for the government: creation of budgetary space, production of knowledge or opportunities for dialogue to improve policy formulation, etc.</w:t>
      </w:r>
    </w:p>
    <w:p w14:paraId="01B40743" w14:textId="77777777" w:rsidR="00DD2C2C" w:rsidRDefault="00DD2C2C" w:rsidP="00DD2C2C">
      <w:pPr>
        <w:numPr>
          <w:ilvl w:val="0"/>
          <w:numId w:val="45"/>
        </w:numPr>
        <w:spacing w:before="120" w:line="240" w:lineRule="auto"/>
        <w:jc w:val="both"/>
        <w:rPr>
          <w:lang w:val="en-US"/>
        </w:rPr>
      </w:pPr>
      <w:r>
        <w:rPr>
          <w:b/>
          <w:lang w:val="en-US"/>
        </w:rPr>
        <w:t xml:space="preserve">Indirect outputs: </w:t>
      </w:r>
      <w:r>
        <w:rPr>
          <w:lang w:val="en-US"/>
        </w:rPr>
        <w:t>expected positive changes in the quality of public policy, the soundness of institutions, the quality of public spending and improvements in the delivery of public services.</w:t>
      </w:r>
    </w:p>
    <w:p w14:paraId="7287388E" w14:textId="77777777" w:rsidR="00DD2C2C" w:rsidRDefault="00DD2C2C" w:rsidP="00DD2C2C">
      <w:pPr>
        <w:numPr>
          <w:ilvl w:val="0"/>
          <w:numId w:val="45"/>
        </w:numPr>
        <w:spacing w:before="120" w:line="240" w:lineRule="auto"/>
        <w:jc w:val="both"/>
        <w:rPr>
          <w:lang w:val="en-US"/>
        </w:rPr>
      </w:pPr>
      <w:r>
        <w:rPr>
          <w:b/>
          <w:lang w:val="en-US"/>
        </w:rPr>
        <w:t xml:space="preserve">Results: </w:t>
      </w:r>
      <w:r>
        <w:rPr>
          <w:lang w:val="en-US"/>
        </w:rPr>
        <w:t>expected positive effects at the level of beneficiaries, service users and economic actors, due to improved public policy management and service delivery.</w:t>
      </w:r>
    </w:p>
    <w:p w14:paraId="489187AA" w14:textId="77777777" w:rsidR="00DD2C2C" w:rsidRDefault="00DD2C2C" w:rsidP="00DD2C2C">
      <w:pPr>
        <w:numPr>
          <w:ilvl w:val="0"/>
          <w:numId w:val="45"/>
        </w:numPr>
        <w:spacing w:before="120" w:line="240" w:lineRule="auto"/>
        <w:jc w:val="both"/>
        <w:rPr>
          <w:lang w:val="en-US"/>
        </w:rPr>
      </w:pPr>
      <w:r>
        <w:rPr>
          <w:b/>
          <w:lang w:val="en-US"/>
        </w:rPr>
        <w:t xml:space="preserve">Impacts: </w:t>
      </w:r>
      <w:r>
        <w:rPr>
          <w:lang w:val="en-US"/>
        </w:rPr>
        <w:t>expected positive effects on sustainable and inclusive economic growth, poverty reduction, etc.</w:t>
      </w:r>
    </w:p>
    <w:p w14:paraId="120E5AB4" w14:textId="77777777" w:rsidR="00DD2C2C" w:rsidRDefault="00DD2C2C" w:rsidP="00DD2C2C">
      <w:pPr>
        <w:tabs>
          <w:tab w:val="left" w:pos="0"/>
        </w:tabs>
        <w:spacing w:before="120"/>
        <w:jc w:val="both"/>
        <w:rPr>
          <w:lang w:val="en-US"/>
        </w:rPr>
      </w:pPr>
      <w:r>
        <w:rPr>
          <w:lang w:val="en-US"/>
        </w:rPr>
        <w:t>The OECD method proposes a methodological approach to evaluating budget support based on three stages, which makes it possible to analyse the contribution of budget support to the results and impacts of the public policy supported:</w:t>
      </w:r>
    </w:p>
    <w:p w14:paraId="4BBA6BFA" w14:textId="77777777" w:rsidR="00DD2C2C" w:rsidRDefault="00DD2C2C" w:rsidP="00DD2C2C">
      <w:pPr>
        <w:numPr>
          <w:ilvl w:val="0"/>
          <w:numId w:val="46"/>
        </w:numPr>
        <w:tabs>
          <w:tab w:val="left" w:pos="0"/>
        </w:tabs>
        <w:spacing w:before="120" w:line="240" w:lineRule="auto"/>
        <w:jc w:val="both"/>
        <w:rPr>
          <w:lang w:val="en-US"/>
        </w:rPr>
      </w:pPr>
      <w:r>
        <w:rPr>
          <w:lang w:val="en-US"/>
        </w:rPr>
        <w:t>Stage 1: assessing budget support inputs and their effects on direct and indirect outputs.</w:t>
      </w:r>
    </w:p>
    <w:p w14:paraId="49CD45B0" w14:textId="77777777" w:rsidR="00DD2C2C" w:rsidRDefault="00DD2C2C" w:rsidP="00DD2C2C">
      <w:pPr>
        <w:numPr>
          <w:ilvl w:val="0"/>
          <w:numId w:val="46"/>
        </w:numPr>
        <w:tabs>
          <w:tab w:val="left" w:pos="0"/>
        </w:tabs>
        <w:spacing w:before="120" w:line="240" w:lineRule="auto"/>
        <w:jc w:val="both"/>
        <w:rPr>
          <w:lang w:val="en-US"/>
        </w:rPr>
      </w:pPr>
      <w:r>
        <w:rPr>
          <w:lang w:val="en-US"/>
        </w:rPr>
        <w:t>Stage 2: evaluating the results and impact of the public policy supported.</w:t>
      </w:r>
    </w:p>
    <w:p w14:paraId="62F7520B" w14:textId="77777777" w:rsidR="00DD2C2C" w:rsidRDefault="00DD2C2C" w:rsidP="00DD2C2C">
      <w:pPr>
        <w:numPr>
          <w:ilvl w:val="0"/>
          <w:numId w:val="46"/>
        </w:numPr>
        <w:tabs>
          <w:tab w:val="left" w:pos="0"/>
        </w:tabs>
        <w:spacing w:before="120" w:line="240" w:lineRule="auto"/>
        <w:jc w:val="both"/>
        <w:rPr>
          <w:lang w:val="en-US"/>
        </w:rPr>
      </w:pPr>
      <w:r>
        <w:rPr>
          <w:lang w:val="en-US"/>
        </w:rPr>
        <w:t>Stage 3: identify how budget support has contributed to the results and impacts identified. This stage links stages 1 and 2 and rules on the causal links between budget support and the results and impacts of the public policy supported.</w:t>
      </w:r>
    </w:p>
    <w:p w14:paraId="4513596C" w14:textId="77777777" w:rsidR="00DD2C2C" w:rsidRDefault="00DD2C2C" w:rsidP="00DD2C2C">
      <w:pPr>
        <w:rPr>
          <w:lang w:val="en-US"/>
        </w:rPr>
      </w:pPr>
    </w:p>
    <w:p w14:paraId="125A4D84" w14:textId="77777777" w:rsidR="00DD2C2C" w:rsidRDefault="00DD2C2C" w:rsidP="00DD2C2C">
      <w:pPr>
        <w:jc w:val="both"/>
        <w:rPr>
          <w:u w:val="single"/>
          <w:lang w:val="en-US"/>
        </w:rPr>
      </w:pPr>
    </w:p>
    <w:p w14:paraId="6AF01661" w14:textId="2C801B98" w:rsidR="00DD2C2C" w:rsidRPr="00436E95" w:rsidRDefault="00DD2C2C" w:rsidP="00DD2C2C">
      <w:pPr>
        <w:pStyle w:val="v"/>
        <w:widowControl w:val="0"/>
        <w:spacing w:before="600" w:after="240"/>
        <w:ind w:left="357" w:firstLine="0"/>
        <w:jc w:val="left"/>
        <w:outlineLvl w:val="0"/>
        <w:rPr>
          <w:rFonts w:asciiTheme="minorHAnsi" w:hAnsiTheme="minorHAnsi"/>
          <w:b/>
          <w:caps/>
          <w:sz w:val="24"/>
        </w:rPr>
      </w:pPr>
    </w:p>
    <w:sectPr w:rsidR="00DD2C2C" w:rsidRPr="00436E95" w:rsidSect="00DD2C2C">
      <w:headerReference w:type="default" r:id="rId33"/>
      <w:footerReference w:type="even" r:id="rId34"/>
      <w:pgSz w:w="11900" w:h="16840"/>
      <w:pgMar w:top="1134" w:right="1120" w:bottom="680" w:left="1134" w:header="1134" w:footer="68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8C9745" w14:textId="77777777" w:rsidR="00DD2C2C" w:rsidRDefault="00DD2C2C">
      <w:r>
        <w:separator/>
      </w:r>
    </w:p>
  </w:endnote>
  <w:endnote w:type="continuationSeparator" w:id="0">
    <w:p w14:paraId="07B93389" w14:textId="77777777" w:rsidR="00DD2C2C" w:rsidRDefault="00DD2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w Cen MT">
    <w:panose1 w:val="020B06020201040206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DD2C2C" w:rsidRPr="00EE0FDD" w:rsidRDefault="00DD2C2C"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5CAB0BBF" w:rsidR="00DD2C2C" w:rsidRPr="00263FD0" w:rsidRDefault="00DD2C2C"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D4773">
              <w:rPr>
                <w:rFonts w:asciiTheme="minorHAnsi" w:hAnsiTheme="minorHAnsi"/>
                <w:noProof/>
                <w:sz w:val="22"/>
                <w:szCs w:val="22"/>
                <w:lang w:val="en"/>
              </w:rPr>
              <w:t>19</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D4773">
              <w:rPr>
                <w:rFonts w:asciiTheme="minorHAnsi" w:hAnsiTheme="minorHAnsi"/>
                <w:noProof/>
                <w:sz w:val="22"/>
                <w:szCs w:val="22"/>
                <w:lang w:val="en"/>
              </w:rPr>
              <w:t>37</w:t>
            </w:r>
            <w:r>
              <w:rPr>
                <w:rFonts w:asciiTheme="minorHAnsi" w:hAnsiTheme="minorHAnsi"/>
                <w:sz w:val="22"/>
                <w:szCs w:val="22"/>
                <w:lang w:val="en"/>
              </w:rPr>
              <w:fldChar w:fldCharType="end"/>
            </w:r>
          </w:p>
        </w:sdtContent>
      </w:sdt>
      <w:p w14:paraId="7D12BE79" w14:textId="7F3D7026" w:rsidR="00DD2C2C" w:rsidRPr="00FF1F8E" w:rsidRDefault="00DD2C2C"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DD2C2C" w:rsidRPr="00EE0FDD" w:rsidRDefault="00DD2C2C"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212589F5" w:rsidR="00DD2C2C" w:rsidRPr="00263FD0" w:rsidRDefault="00DD2C2C"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D4773">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D4773">
                  <w:rPr>
                    <w:rFonts w:asciiTheme="minorHAnsi" w:hAnsiTheme="minorHAnsi"/>
                    <w:noProof/>
                    <w:sz w:val="22"/>
                    <w:szCs w:val="22"/>
                    <w:lang w:val="en"/>
                  </w:rPr>
                  <w:t>37</w:t>
                </w:r>
                <w:r>
                  <w:rPr>
                    <w:rFonts w:asciiTheme="minorHAnsi" w:hAnsiTheme="minorHAnsi"/>
                    <w:sz w:val="22"/>
                    <w:szCs w:val="22"/>
                    <w:lang w:val="en"/>
                  </w:rPr>
                  <w:fldChar w:fldCharType="end"/>
                </w:r>
              </w:p>
              <w:p w14:paraId="3FBAA432" w14:textId="01D4D023" w:rsidR="00DD2C2C" w:rsidRPr="0036169C" w:rsidRDefault="00DD2C2C"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DD2C2C" w:rsidRDefault="00DD2C2C"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DD2C2C" w:rsidRPr="0036169C" w:rsidRDefault="00DD2C2C"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7AD29" w14:textId="5ADCBA8C" w:rsidR="00DD2C2C" w:rsidRDefault="00DD2C2C">
    <w:pPr>
      <w:pStyle w:val="Pieddepage"/>
      <w:jc w:val="center"/>
      <w:rPr>
        <w:rFonts w:asciiTheme="majorHAnsi" w:eastAsiaTheme="majorEastAsia" w:hAnsiTheme="majorHAnsi" w:cstheme="majorBidi"/>
      </w:rPr>
    </w:pPr>
    <w:r>
      <w:rPr>
        <w:rFonts w:asciiTheme="majorHAnsi" w:hAnsiTheme="majorHAnsi"/>
      </w:rPr>
      <w:t xml:space="preserve">Page </w:t>
    </w:r>
    <w:r>
      <w:rPr>
        <w:rFonts w:asciiTheme="majorHAnsi" w:eastAsiaTheme="majorEastAsia" w:hAnsiTheme="majorHAnsi" w:cstheme="majorBidi"/>
        <w:b/>
      </w:rPr>
      <w:fldChar w:fldCharType="begin"/>
    </w:r>
    <w:r>
      <w:rPr>
        <w:rFonts w:asciiTheme="majorHAnsi" w:eastAsiaTheme="majorEastAsia" w:hAnsiTheme="majorHAnsi" w:cstheme="majorBidi"/>
        <w:b/>
      </w:rPr>
      <w:instrText>PAGE  \* Arabic  \* MERGEFORMAT</w:instrText>
    </w:r>
    <w:r>
      <w:rPr>
        <w:rFonts w:asciiTheme="majorHAnsi" w:eastAsiaTheme="majorEastAsia" w:hAnsiTheme="majorHAnsi" w:cstheme="majorBidi"/>
        <w:b/>
      </w:rPr>
      <w:fldChar w:fldCharType="separate"/>
    </w:r>
    <w:r w:rsidR="006D4773">
      <w:rPr>
        <w:rFonts w:asciiTheme="majorHAnsi" w:eastAsiaTheme="majorEastAsia" w:hAnsiTheme="majorHAnsi" w:cstheme="majorBidi"/>
        <w:b/>
        <w:noProof/>
      </w:rPr>
      <w:t>35</w:t>
    </w:r>
    <w:r>
      <w:rPr>
        <w:rFonts w:asciiTheme="majorHAnsi" w:eastAsiaTheme="majorEastAsia" w:hAnsiTheme="majorHAnsi" w:cstheme="majorBidi"/>
        <w:b/>
      </w:rPr>
      <w:fldChar w:fldCharType="end"/>
    </w:r>
    <w:r>
      <w:rPr>
        <w:rFonts w:asciiTheme="majorHAnsi" w:hAnsiTheme="majorHAnsi"/>
      </w:rPr>
      <w:t xml:space="preserve"> of </w:t>
    </w:r>
    <w:r>
      <w:rPr>
        <w:rFonts w:asciiTheme="majorHAnsi" w:eastAsiaTheme="majorEastAsia" w:hAnsiTheme="majorHAnsi" w:cstheme="majorBidi"/>
        <w:b/>
      </w:rPr>
      <w:fldChar w:fldCharType="begin"/>
    </w:r>
    <w:r>
      <w:rPr>
        <w:rFonts w:asciiTheme="majorHAnsi" w:eastAsiaTheme="majorEastAsia" w:hAnsiTheme="majorHAnsi" w:cstheme="majorBidi"/>
        <w:b/>
      </w:rPr>
      <w:instrText>NUMPAGES  \* Arabic  \* MERGEFORMAT</w:instrText>
    </w:r>
    <w:r>
      <w:rPr>
        <w:rFonts w:asciiTheme="majorHAnsi" w:eastAsiaTheme="majorEastAsia" w:hAnsiTheme="majorHAnsi" w:cstheme="majorBidi"/>
        <w:b/>
      </w:rPr>
      <w:fldChar w:fldCharType="separate"/>
    </w:r>
    <w:r w:rsidR="006D4773">
      <w:rPr>
        <w:rFonts w:asciiTheme="majorHAnsi" w:eastAsiaTheme="majorEastAsia" w:hAnsiTheme="majorHAnsi" w:cstheme="majorBidi"/>
        <w:b/>
        <w:noProof/>
      </w:rPr>
      <w:t>37</w:t>
    </w:r>
    <w:r>
      <w:rPr>
        <w:rFonts w:asciiTheme="majorHAnsi" w:eastAsiaTheme="majorEastAsia" w:hAnsiTheme="majorHAnsi" w:cstheme="majorBidi"/>
        <w:b/>
      </w:rPr>
      <w:fldChar w:fldCharType="end"/>
    </w:r>
  </w:p>
  <w:p w14:paraId="52FAD4A9" w14:textId="77777777" w:rsidR="00DD2C2C" w:rsidRDefault="00DD2C2C">
    <w:pPr>
      <w:pStyle w:val="Pieddepage"/>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DD2C2C" w:rsidRDefault="00DD2C2C">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AB6A17" w14:textId="77777777" w:rsidR="00DD2C2C" w:rsidRDefault="00DD2C2C">
      <w:r>
        <w:separator/>
      </w:r>
    </w:p>
  </w:footnote>
  <w:footnote w:type="continuationSeparator" w:id="0">
    <w:p w14:paraId="2D61C068" w14:textId="77777777" w:rsidR="00DD2C2C" w:rsidRDefault="00DD2C2C">
      <w:r>
        <w:continuationSeparator/>
      </w:r>
    </w:p>
  </w:footnote>
  <w:footnote w:id="1">
    <w:p w14:paraId="3C4F3CA5" w14:textId="77777777" w:rsidR="00DD2C2C" w:rsidRPr="0050283E" w:rsidRDefault="00DD2C2C"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DD2C2C" w:rsidRDefault="00DD2C2C"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DD2C2C" w:rsidRDefault="00DD2C2C"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DD2C2C" w:rsidRDefault="00DD2C2C"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DD2C2C" w:rsidRDefault="00DD2C2C">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DD2C2C" w:rsidRDefault="00DD2C2C"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DD2C2C" w:rsidRDefault="00DD2C2C"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DD2C2C" w:rsidRPr="00707B69" w:rsidRDefault="00DD2C2C"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DD2C2C" w:rsidRPr="00AC48DD" w:rsidRDefault="00DD2C2C"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DD2C2C" w:rsidRPr="00F13E6E" w:rsidRDefault="00DD2C2C"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DD2C2C" w:rsidRPr="00AC48DD" w:rsidRDefault="00DD2C2C"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DD2C2C" w:rsidRPr="00707B69" w:rsidRDefault="00DD2C2C"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DD2C2C" w:rsidRPr="00AC48DD" w:rsidRDefault="00DD2C2C"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DD2C2C" w:rsidRDefault="00DD2C2C"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DD2C2C" w:rsidRPr="00AC48DD" w:rsidRDefault="00DD2C2C"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C8D28" w14:textId="77777777" w:rsidR="00DD2C2C" w:rsidRPr="009E6842" w:rsidRDefault="00DD2C2C" w:rsidP="00DD2C2C">
    <w:pPr>
      <w:pStyle w:val="En-tte"/>
      <w:pBdr>
        <w:bottom w:val="single" w:sz="24" w:space="0" w:color="622423" w:themeColor="accent2" w:themeShade="7F"/>
      </w:pBdr>
      <w:rPr>
        <w:rFonts w:asciiTheme="majorHAnsi" w:eastAsiaTheme="majorEastAsia" w:hAnsiTheme="majorHAnsi" w:cstheme="majorBidi"/>
        <w:sz w:val="32"/>
        <w:szCs w:val="32"/>
        <w:u w:val="single"/>
      </w:rPr>
    </w:pPr>
    <w:r>
      <w:rPr>
        <w:noProof/>
      </w:rPr>
      <w:drawing>
        <wp:anchor distT="0" distB="0" distL="114300" distR="114300" simplePos="0" relativeHeight="251659264" behindDoc="0" locked="0" layoutInCell="1" allowOverlap="1" wp14:anchorId="260AC5F8" wp14:editId="065979F6">
          <wp:simplePos x="0" y="0"/>
          <wp:positionH relativeFrom="column">
            <wp:posOffset>-155851</wp:posOffset>
          </wp:positionH>
          <wp:positionV relativeFrom="paragraph">
            <wp:posOffset>-585221</wp:posOffset>
          </wp:positionV>
          <wp:extent cx="1167800" cy="597877"/>
          <wp:effectExtent l="0" t="0" r="0" b="0"/>
          <wp:wrapNone/>
          <wp:docPr id="1" name="Image 1" descr="C:\Users\hakim.bejaoui\Desktop\Logo Expertise France - Fond 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kim.bejaoui\Desktop\Logo Expertise France - Fond blanc.jpg"/>
                  <pic:cNvPicPr>
                    <a:picLocks noChangeAspect="1"/>
                  </pic:cNvPicPr>
                </pic:nvPicPr>
                <pic:blipFill>
                  <a:blip r:embed="rId1" cstate="print">
                    <a:extLst>
                      <a:ext uri="{28A0092B-C50C-407E-A947-70E740481C1C}">
                        <a14:useLocalDpi xmlns:a14="http://schemas.microsoft.com/office/drawing/2010/main" val="0"/>
                      </a:ext>
                    </a:extLst>
                  </a:blip>
                  <a:stretch/>
                </pic:blipFill>
                <pic:spPr bwMode="auto">
                  <a:xfrm>
                    <a:off x="0" y="0"/>
                    <a:ext cx="1167800" cy="59787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DD2C2C" w:rsidRPr="00707B69" w:rsidRDefault="00DD2C2C"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DD2C2C" w:rsidRPr="00AC48DD" w:rsidRDefault="00DD2C2C"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DD2C2C" w:rsidRDefault="00DD2C2C"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DD2C2C" w:rsidRPr="00996FEA" w:rsidRDefault="00DD2C2C"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6417A1"/>
    <w:multiLevelType w:val="multilevel"/>
    <w:tmpl w:val="5FF003AE"/>
    <w:lvl w:ilvl="0">
      <w:numFmt w:val="bullet"/>
      <w:lvlText w:val="•"/>
      <w:lvlJc w:val="left"/>
      <w:pPr>
        <w:ind w:left="720" w:hanging="720"/>
      </w:pPr>
      <w:rPr>
        <w:rFonts w:ascii="Tw Cen MT" w:eastAsia="Times New Roman" w:hAnsi="Tw Cen MT"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02967633"/>
    <w:multiLevelType w:val="multilevel"/>
    <w:tmpl w:val="996421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CF3138"/>
    <w:multiLevelType w:val="multilevel"/>
    <w:tmpl w:val="F0523224"/>
    <w:lvl w:ilvl="0">
      <w:start w:val="1"/>
      <w:numFmt w:val="lowerRoman"/>
      <w:lvlText w:val="%1)"/>
      <w:lvlJc w:val="left"/>
      <w:pPr>
        <w:ind w:left="1008" w:hanging="720"/>
      </w:pPr>
      <w:rPr>
        <w:rFonts w:hint="default"/>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15:restartNumberingAfterBreak="0">
    <w:nsid w:val="07D23D10"/>
    <w:multiLevelType w:val="multilevel"/>
    <w:tmpl w:val="A3B6EBA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7D47AAC"/>
    <w:multiLevelType w:val="multilevel"/>
    <w:tmpl w:val="C250ED2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B1D07AA"/>
    <w:multiLevelType w:val="multilevel"/>
    <w:tmpl w:val="6AF4ABD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9" w15:restartNumberingAfterBreak="0">
    <w:nsid w:val="0C2D3AC6"/>
    <w:multiLevelType w:val="multilevel"/>
    <w:tmpl w:val="13F88F3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48306FA"/>
    <w:multiLevelType w:val="multilevel"/>
    <w:tmpl w:val="A4782D0C"/>
    <w:lvl w:ilvl="0">
      <w:numFmt w:val="bullet"/>
      <w:lvlText w:val="•"/>
      <w:lvlJc w:val="left"/>
      <w:pPr>
        <w:ind w:left="720" w:hanging="720"/>
      </w:pPr>
      <w:rPr>
        <w:rFonts w:ascii="Tw Cen MT" w:eastAsia="Times New Roman" w:hAnsi="Tw Cen MT"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3" w15:restartNumberingAfterBreak="0">
    <w:nsid w:val="166734A8"/>
    <w:multiLevelType w:val="multilevel"/>
    <w:tmpl w:val="9AF41AA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start w:val="1"/>
      <w:numFmt w:val="bullet"/>
      <w:lvlText w:val="o"/>
      <w:lvlJc w:val="left"/>
      <w:pPr>
        <w:ind w:left="2001" w:hanging="360"/>
      </w:pPr>
      <w:rPr>
        <w:rFonts w:ascii="Courier New" w:hAnsi="Courier New" w:cs="Courier New" w:hint="default"/>
      </w:rPr>
    </w:lvl>
    <w:lvl w:ilvl="2" w:tplc="040C0005">
      <w:start w:val="1"/>
      <w:numFmt w:val="bullet"/>
      <w:lvlText w:val=""/>
      <w:lvlJc w:val="left"/>
      <w:pPr>
        <w:ind w:left="2721" w:hanging="360"/>
      </w:pPr>
      <w:rPr>
        <w:rFonts w:ascii="Wingdings" w:hAnsi="Wingdings" w:hint="default"/>
      </w:rPr>
    </w:lvl>
    <w:lvl w:ilvl="3" w:tplc="040C0001">
      <w:start w:val="1"/>
      <w:numFmt w:val="bullet"/>
      <w:lvlText w:val=""/>
      <w:lvlJc w:val="left"/>
      <w:pPr>
        <w:ind w:left="3441" w:hanging="360"/>
      </w:pPr>
      <w:rPr>
        <w:rFonts w:ascii="Symbol" w:hAnsi="Symbol" w:hint="default"/>
      </w:rPr>
    </w:lvl>
    <w:lvl w:ilvl="4" w:tplc="040C0003">
      <w:start w:val="1"/>
      <w:numFmt w:val="bullet"/>
      <w:lvlText w:val="o"/>
      <w:lvlJc w:val="left"/>
      <w:pPr>
        <w:ind w:left="4161" w:hanging="360"/>
      </w:pPr>
      <w:rPr>
        <w:rFonts w:ascii="Courier New" w:hAnsi="Courier New" w:cs="Courier New" w:hint="default"/>
      </w:rPr>
    </w:lvl>
    <w:lvl w:ilvl="5" w:tplc="040C0005">
      <w:start w:val="1"/>
      <w:numFmt w:val="bullet"/>
      <w:lvlText w:val=""/>
      <w:lvlJc w:val="left"/>
      <w:pPr>
        <w:ind w:left="4881" w:hanging="360"/>
      </w:pPr>
      <w:rPr>
        <w:rFonts w:ascii="Wingdings" w:hAnsi="Wingdings" w:hint="default"/>
      </w:rPr>
    </w:lvl>
    <w:lvl w:ilvl="6" w:tplc="040C0001">
      <w:start w:val="1"/>
      <w:numFmt w:val="bullet"/>
      <w:lvlText w:val=""/>
      <w:lvlJc w:val="left"/>
      <w:pPr>
        <w:ind w:left="5601" w:hanging="360"/>
      </w:pPr>
      <w:rPr>
        <w:rFonts w:ascii="Symbol" w:hAnsi="Symbol" w:hint="default"/>
      </w:rPr>
    </w:lvl>
    <w:lvl w:ilvl="7" w:tplc="040C0003">
      <w:start w:val="1"/>
      <w:numFmt w:val="bullet"/>
      <w:lvlText w:val="o"/>
      <w:lvlJc w:val="left"/>
      <w:pPr>
        <w:ind w:left="6321" w:hanging="360"/>
      </w:pPr>
      <w:rPr>
        <w:rFonts w:ascii="Courier New" w:hAnsi="Courier New" w:cs="Courier New" w:hint="default"/>
      </w:rPr>
    </w:lvl>
    <w:lvl w:ilvl="8" w:tplc="040C0005">
      <w:start w:val="1"/>
      <w:numFmt w:val="bullet"/>
      <w:lvlText w:val=""/>
      <w:lvlJc w:val="left"/>
      <w:pPr>
        <w:ind w:left="7041" w:hanging="360"/>
      </w:pPr>
      <w:rPr>
        <w:rFonts w:ascii="Wingdings" w:hAnsi="Wingdings" w:hint="default"/>
      </w:rPr>
    </w:lvl>
  </w:abstractNum>
  <w:abstractNum w:abstractNumId="16"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7" w15:restartNumberingAfterBreak="0">
    <w:nsid w:val="20DF3983"/>
    <w:multiLevelType w:val="multilevel"/>
    <w:tmpl w:val="100CEF3C"/>
    <w:lvl w:ilvl="0">
      <w:start w:val="2"/>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8"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26F4218F"/>
    <w:multiLevelType w:val="multilevel"/>
    <w:tmpl w:val="412A3D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89F2628"/>
    <w:multiLevelType w:val="multilevel"/>
    <w:tmpl w:val="F04AD77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20235F"/>
    <w:multiLevelType w:val="multilevel"/>
    <w:tmpl w:val="5F90A1F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F132F96"/>
    <w:multiLevelType w:val="multilevel"/>
    <w:tmpl w:val="8A28CBAC"/>
    <w:lvl w:ilvl="0">
      <w:start w:val="1"/>
      <w:numFmt w:val="decimal"/>
      <w:lvlText w:val="%1."/>
      <w:lvlJc w:val="left"/>
      <w:pPr>
        <w:ind w:left="360" w:hanging="360"/>
      </w:pPr>
      <w:rPr>
        <w:rFonts w:ascii="Arial" w:hAnsi="Arial" w:cs="Arial" w:hint="default"/>
        <w:b/>
      </w:rPr>
    </w:lvl>
    <w:lvl w:ilvl="1">
      <w:start w:val="1"/>
      <w:numFmt w:val="decimal"/>
      <w:lvlText w:val="%1.%2."/>
      <w:lvlJc w:val="left"/>
      <w:pPr>
        <w:ind w:left="360" w:hanging="360"/>
      </w:pPr>
      <w:rPr>
        <w:rFonts w:ascii="Arial" w:hAnsi="Arial" w:cs="Arial" w:hint="default"/>
        <w:b w:val="0"/>
        <w:bCs/>
        <w:i w:val="0"/>
        <w:iCs/>
        <w:color w:val="000000" w:themeColor="text1"/>
        <w:sz w:val="20"/>
        <w:szCs w:val="20"/>
      </w:rPr>
    </w:lvl>
    <w:lvl w:ilvl="2">
      <w:start w:val="1"/>
      <w:numFmt w:val="decimal"/>
      <w:lvlText w:val="%1.%2.%3."/>
      <w:lvlJc w:val="left"/>
      <w:pPr>
        <w:ind w:left="720" w:hanging="720"/>
      </w:pPr>
      <w:rPr>
        <w:rFonts w:ascii="Arial" w:hAnsi="Arial" w:cs="Arial" w:hint="default"/>
        <w:b/>
      </w:rPr>
    </w:lvl>
    <w:lvl w:ilvl="3">
      <w:start w:val="1"/>
      <w:numFmt w:val="decimal"/>
      <w:lvlText w:val="%1.%2.%3.%4."/>
      <w:lvlJc w:val="left"/>
      <w:pPr>
        <w:ind w:left="720" w:hanging="720"/>
      </w:pPr>
      <w:rPr>
        <w:rFonts w:ascii="Arial" w:hAnsi="Arial" w:cs="Arial" w:hint="default"/>
        <w:b/>
      </w:rPr>
    </w:lvl>
    <w:lvl w:ilvl="4">
      <w:start w:val="1"/>
      <w:numFmt w:val="decimal"/>
      <w:lvlText w:val="%1.%2.%3.%4.%5."/>
      <w:lvlJc w:val="left"/>
      <w:pPr>
        <w:ind w:left="1080" w:hanging="1080"/>
      </w:pPr>
      <w:rPr>
        <w:rFonts w:ascii="Arial" w:hAnsi="Arial" w:cs="Arial" w:hint="default"/>
        <w:b/>
      </w:rPr>
    </w:lvl>
    <w:lvl w:ilvl="5">
      <w:start w:val="1"/>
      <w:numFmt w:val="decimal"/>
      <w:lvlText w:val="%1.%2.%3.%4.%5.%6."/>
      <w:lvlJc w:val="left"/>
      <w:pPr>
        <w:ind w:left="1080" w:hanging="1080"/>
      </w:pPr>
      <w:rPr>
        <w:rFonts w:ascii="Arial" w:hAnsi="Arial" w:cs="Arial" w:hint="default"/>
        <w:b/>
      </w:rPr>
    </w:lvl>
    <w:lvl w:ilvl="6">
      <w:start w:val="1"/>
      <w:numFmt w:val="decimal"/>
      <w:lvlText w:val="%1.%2.%3.%4.%5.%6.%7."/>
      <w:lvlJc w:val="left"/>
      <w:pPr>
        <w:ind w:left="1080" w:hanging="1080"/>
      </w:pPr>
      <w:rPr>
        <w:rFonts w:ascii="Arial" w:hAnsi="Arial" w:cs="Arial" w:hint="default"/>
        <w:b/>
      </w:rPr>
    </w:lvl>
    <w:lvl w:ilvl="7">
      <w:start w:val="1"/>
      <w:numFmt w:val="decimal"/>
      <w:lvlText w:val="%1.%2.%3.%4.%5.%6.%7.%8."/>
      <w:lvlJc w:val="left"/>
      <w:pPr>
        <w:ind w:left="1440" w:hanging="1440"/>
      </w:pPr>
      <w:rPr>
        <w:rFonts w:ascii="Arial" w:hAnsi="Arial" w:cs="Arial" w:hint="default"/>
        <w:b/>
      </w:rPr>
    </w:lvl>
    <w:lvl w:ilvl="8">
      <w:start w:val="1"/>
      <w:numFmt w:val="decimal"/>
      <w:lvlText w:val="%1.%2.%3.%4.%5.%6.%7.%8.%9."/>
      <w:lvlJc w:val="left"/>
      <w:pPr>
        <w:ind w:left="1440" w:hanging="1440"/>
      </w:pPr>
      <w:rPr>
        <w:rFonts w:ascii="Arial" w:hAnsi="Arial" w:cs="Arial" w:hint="default"/>
        <w:b/>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6F51A11"/>
    <w:multiLevelType w:val="multilevel"/>
    <w:tmpl w:val="8EB06E0E"/>
    <w:lvl w:ilvl="0">
      <w:start w:val="1"/>
      <w:numFmt w:val="decimal"/>
      <w:pStyle w:val="Titre1"/>
      <w:lvlText w:val="ARTICLE %1."/>
      <w:lvlJc w:val="left"/>
      <w:pPr>
        <w:ind w:left="720" w:hanging="360"/>
      </w:pPr>
      <w:rPr>
        <w:rFonts w:ascii="Times New Roman" w:hAnsi="Times New Roman" w:cs="Times New Roman"/>
        <w:b w:val="0"/>
        <w:bCs w:val="0"/>
        <w:i w:val="0"/>
        <w:iCs w:val="0"/>
        <w:caps w:val="0"/>
        <w:smallCaps w:val="0"/>
        <w:strike w:val="0"/>
        <w:vanish w:val="0"/>
        <w:color w:val="000000"/>
        <w:spacing w:val="0"/>
        <w:position w:val="0"/>
        <w:u w:val="none"/>
        <w:vertAlign w:val="baseline"/>
        <w14:textOutline w14:w="0" w14:cap="rnd" w14:cmpd="sng" w14:algn="ctr">
          <w14:noFill/>
          <w14:prstDash w14:val="solid"/>
          <w14:bevel/>
        </w14:textOutline>
        <w14:ligatures w14:val="none"/>
      </w:rPr>
    </w:lvl>
    <w:lvl w:ilvl="1">
      <w:start w:val="1"/>
      <w:numFmt w:val="decimal"/>
      <w:pStyle w:val="Titre2"/>
      <w:isLgl/>
      <w:lvlText w:val="%1.%2"/>
      <w:lvlJc w:val="left"/>
      <w:pPr>
        <w:tabs>
          <w:tab w:val="num" w:pos="928"/>
        </w:tabs>
        <w:ind w:left="928" w:hanging="360"/>
      </w:pPr>
      <w:rPr>
        <w:rFonts w:cs="Times New Roman" w:hint="default"/>
      </w:rPr>
    </w:lvl>
    <w:lvl w:ilvl="2">
      <w:start w:val="1"/>
      <w:numFmt w:val="none"/>
      <w:pStyle w:val="Titre3"/>
      <w:isLgl/>
      <w:lvlText w:val=""/>
      <w:lvlJc w:val="left"/>
      <w:pPr>
        <w:tabs>
          <w:tab w:val="num" w:pos="1496"/>
        </w:tabs>
        <w:ind w:left="1496" w:hanging="720"/>
      </w:pPr>
      <w:rPr>
        <w:rFonts w:cs="Times New Roman" w:hint="default"/>
      </w:rPr>
    </w:lvl>
    <w:lvl w:ilvl="3">
      <w:start w:val="1"/>
      <w:numFmt w:val="decimal"/>
      <w:isLgl/>
      <w:lvlText w:val="%1.%2.%3.%4"/>
      <w:lvlJc w:val="left"/>
      <w:pPr>
        <w:tabs>
          <w:tab w:val="num" w:pos="1704"/>
        </w:tabs>
        <w:ind w:left="1704" w:hanging="720"/>
      </w:pPr>
      <w:rPr>
        <w:rFonts w:cs="Times New Roman" w:hint="default"/>
      </w:rPr>
    </w:lvl>
    <w:lvl w:ilvl="4">
      <w:start w:val="1"/>
      <w:numFmt w:val="decimal"/>
      <w:isLgl/>
      <w:lvlText w:val="%1.%2.%3.%4.%5"/>
      <w:lvlJc w:val="left"/>
      <w:pPr>
        <w:tabs>
          <w:tab w:val="num" w:pos="2272"/>
        </w:tabs>
        <w:ind w:left="2272" w:hanging="1080"/>
      </w:pPr>
      <w:rPr>
        <w:rFonts w:cs="Times New Roman" w:hint="default"/>
      </w:rPr>
    </w:lvl>
    <w:lvl w:ilvl="5">
      <w:start w:val="1"/>
      <w:numFmt w:val="decimal"/>
      <w:isLgl/>
      <w:lvlText w:val="%1.%2.%3.%4.%5.%6"/>
      <w:lvlJc w:val="left"/>
      <w:pPr>
        <w:tabs>
          <w:tab w:val="num" w:pos="2480"/>
        </w:tabs>
        <w:ind w:left="2480" w:hanging="1080"/>
      </w:pPr>
      <w:rPr>
        <w:rFonts w:cs="Times New Roman" w:hint="default"/>
      </w:rPr>
    </w:lvl>
    <w:lvl w:ilvl="6">
      <w:start w:val="1"/>
      <w:numFmt w:val="decimal"/>
      <w:isLgl/>
      <w:lvlText w:val="%1.%2.%3.%4.%5.%6.%7"/>
      <w:lvlJc w:val="left"/>
      <w:pPr>
        <w:tabs>
          <w:tab w:val="num" w:pos="3048"/>
        </w:tabs>
        <w:ind w:left="3048" w:hanging="1440"/>
      </w:pPr>
      <w:rPr>
        <w:rFonts w:cs="Times New Roman" w:hint="default"/>
      </w:rPr>
    </w:lvl>
    <w:lvl w:ilvl="7">
      <w:start w:val="1"/>
      <w:numFmt w:val="decimal"/>
      <w:isLgl/>
      <w:lvlText w:val="%1.%2.%3.%4.%5.%6.%7.%8"/>
      <w:lvlJc w:val="left"/>
      <w:pPr>
        <w:tabs>
          <w:tab w:val="num" w:pos="3256"/>
        </w:tabs>
        <w:ind w:left="3256" w:hanging="1440"/>
      </w:pPr>
      <w:rPr>
        <w:rFonts w:cs="Times New Roman" w:hint="default"/>
      </w:rPr>
    </w:lvl>
    <w:lvl w:ilvl="8">
      <w:start w:val="1"/>
      <w:numFmt w:val="decimal"/>
      <w:isLgl/>
      <w:lvlText w:val="%1.%2.%3.%4.%5.%6.%7.%8.%9"/>
      <w:lvlJc w:val="left"/>
      <w:pPr>
        <w:tabs>
          <w:tab w:val="num" w:pos="3824"/>
        </w:tabs>
        <w:ind w:left="3824" w:hanging="1800"/>
      </w:pPr>
      <w:rPr>
        <w:rFonts w:cs="Times New Roman"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DE705B4"/>
    <w:multiLevelType w:val="multilevel"/>
    <w:tmpl w:val="1A1AA49A"/>
    <w:lvl w:ilvl="0">
      <w:start w:val="1"/>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6EF6F95"/>
    <w:multiLevelType w:val="hybridMultilevel"/>
    <w:tmpl w:val="D88E4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BB93201"/>
    <w:multiLevelType w:val="multilevel"/>
    <w:tmpl w:val="1766E1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F553982"/>
    <w:multiLevelType w:val="multilevel"/>
    <w:tmpl w:val="C4FEB7BE"/>
    <w:lvl w:ilvl="0">
      <w:start w:val="1"/>
      <w:numFmt w:val="lowerLetter"/>
      <w:lvlText w:val="%1."/>
      <w:lvlJc w:val="left"/>
      <w:pPr>
        <w:ind w:left="288" w:hanging="288"/>
      </w:pPr>
      <w:rPr>
        <w:rFonts w:ascii="Arial" w:hAnsi="Arial" w:cs="Arial" w:hint="default"/>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02D1024"/>
    <w:multiLevelType w:val="multilevel"/>
    <w:tmpl w:val="DA60352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614E2960"/>
    <w:multiLevelType w:val="multilevel"/>
    <w:tmpl w:val="13F8735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63A57FE1"/>
    <w:multiLevelType w:val="multilevel"/>
    <w:tmpl w:val="6A48B19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9774CB2"/>
    <w:multiLevelType w:val="multilevel"/>
    <w:tmpl w:val="226623B6"/>
    <w:lvl w:ilvl="0">
      <w:start w:val="2"/>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AF16E57"/>
    <w:multiLevelType w:val="multilevel"/>
    <w:tmpl w:val="7D0E13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764C0A9C"/>
    <w:multiLevelType w:val="multilevel"/>
    <w:tmpl w:val="47A057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2B0A29"/>
    <w:multiLevelType w:val="multilevel"/>
    <w:tmpl w:val="06E247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93129B3"/>
    <w:multiLevelType w:val="multilevel"/>
    <w:tmpl w:val="06040582"/>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7C79057F"/>
    <w:multiLevelType w:val="multilevel"/>
    <w:tmpl w:val="1F14CC5E"/>
    <w:lvl w:ilvl="0">
      <w:start w:val="1"/>
      <w:numFmt w:val="decimal"/>
      <w:lvlText w:val="%1."/>
      <w:lvlJc w:val="left"/>
      <w:pPr>
        <w:tabs>
          <w:tab w:val="num" w:pos="720"/>
        </w:tabs>
        <w:ind w:left="720" w:hanging="360"/>
      </w:pPr>
      <w:rPr>
        <w:rFonts w:hint="default"/>
        <w:b/>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E9F7E7B"/>
    <w:multiLevelType w:val="multilevel"/>
    <w:tmpl w:val="F90E31A6"/>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0"/>
  </w:num>
  <w:num w:numId="3">
    <w:abstractNumId w:val="33"/>
  </w:num>
  <w:num w:numId="4">
    <w:abstractNumId w:val="8"/>
  </w:num>
  <w:num w:numId="5">
    <w:abstractNumId w:val="27"/>
  </w:num>
  <w:num w:numId="6">
    <w:abstractNumId w:val="14"/>
  </w:num>
  <w:num w:numId="7">
    <w:abstractNumId w:val="21"/>
  </w:num>
  <w:num w:numId="8">
    <w:abstractNumId w:val="24"/>
  </w:num>
  <w:num w:numId="9">
    <w:abstractNumId w:val="37"/>
  </w:num>
  <w:num w:numId="10">
    <w:abstractNumId w:val="41"/>
  </w:num>
  <w:num w:numId="11">
    <w:abstractNumId w:val="29"/>
  </w:num>
  <w:num w:numId="12">
    <w:abstractNumId w:val="11"/>
  </w:num>
  <w:num w:numId="13">
    <w:abstractNumId w:val="36"/>
  </w:num>
  <w:num w:numId="14">
    <w:abstractNumId w:val="31"/>
  </w:num>
  <w:num w:numId="15">
    <w:abstractNumId w:val="26"/>
  </w:num>
  <w:num w:numId="16">
    <w:abstractNumId w:val="44"/>
  </w:num>
  <w:num w:numId="17">
    <w:abstractNumId w:val="38"/>
  </w:num>
  <w:num w:numId="18">
    <w:abstractNumId w:val="16"/>
  </w:num>
  <w:num w:numId="19">
    <w:abstractNumId w:val="38"/>
  </w:num>
  <w:num w:numId="20">
    <w:abstractNumId w:val="18"/>
  </w:num>
  <w:num w:numId="21">
    <w:abstractNumId w:val="13"/>
  </w:num>
  <w:num w:numId="22">
    <w:abstractNumId w:val="43"/>
  </w:num>
  <w:num w:numId="23">
    <w:abstractNumId w:val="19"/>
  </w:num>
  <w:num w:numId="24">
    <w:abstractNumId w:val="45"/>
  </w:num>
  <w:num w:numId="25">
    <w:abstractNumId w:val="32"/>
  </w:num>
  <w:num w:numId="26">
    <w:abstractNumId w:val="3"/>
  </w:num>
  <w:num w:numId="27">
    <w:abstractNumId w:val="30"/>
  </w:num>
  <w:num w:numId="28">
    <w:abstractNumId w:val="9"/>
  </w:num>
  <w:num w:numId="29">
    <w:abstractNumId w:val="49"/>
  </w:num>
  <w:num w:numId="30">
    <w:abstractNumId w:val="40"/>
  </w:num>
  <w:num w:numId="31">
    <w:abstractNumId w:val="23"/>
  </w:num>
  <w:num w:numId="32">
    <w:abstractNumId w:val="34"/>
  </w:num>
  <w:num w:numId="33">
    <w:abstractNumId w:val="4"/>
  </w:num>
  <w:num w:numId="34">
    <w:abstractNumId w:val="17"/>
  </w:num>
  <w:num w:numId="35">
    <w:abstractNumId w:val="28"/>
  </w:num>
  <w:num w:numId="36">
    <w:abstractNumId w:val="46"/>
  </w:num>
  <w:num w:numId="37">
    <w:abstractNumId w:val="7"/>
  </w:num>
  <w:num w:numId="38">
    <w:abstractNumId w:val="35"/>
  </w:num>
  <w:num w:numId="39">
    <w:abstractNumId w:val="12"/>
  </w:num>
  <w:num w:numId="40">
    <w:abstractNumId w:val="20"/>
  </w:num>
  <w:num w:numId="41">
    <w:abstractNumId w:val="2"/>
  </w:num>
  <w:num w:numId="42">
    <w:abstractNumId w:val="6"/>
  </w:num>
  <w:num w:numId="43">
    <w:abstractNumId w:val="5"/>
  </w:num>
  <w:num w:numId="44">
    <w:abstractNumId w:val="47"/>
  </w:num>
  <w:num w:numId="45">
    <w:abstractNumId w:val="48"/>
  </w:num>
  <w:num w:numId="46">
    <w:abstractNumId w:val="42"/>
  </w:num>
  <w:num w:numId="47">
    <w:abstractNumId w:val="22"/>
  </w:num>
  <w:num w:numId="48">
    <w:abstractNumId w:val="39"/>
  </w:num>
  <w:num w:numId="49">
    <w:abstractNumId w:val="15"/>
  </w:num>
  <w:num w:numId="50">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228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0272"/>
    <w:rsid w:val="0005065B"/>
    <w:rsid w:val="00051787"/>
    <w:rsid w:val="00052394"/>
    <w:rsid w:val="000569A8"/>
    <w:rsid w:val="00056A40"/>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1AE5"/>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66D6E"/>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40"/>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67BC0"/>
    <w:rsid w:val="00370EDB"/>
    <w:rsid w:val="00375751"/>
    <w:rsid w:val="003805AF"/>
    <w:rsid w:val="00384921"/>
    <w:rsid w:val="00390537"/>
    <w:rsid w:val="00390629"/>
    <w:rsid w:val="00390DD2"/>
    <w:rsid w:val="003927B5"/>
    <w:rsid w:val="00393970"/>
    <w:rsid w:val="00394DF1"/>
    <w:rsid w:val="00397AA1"/>
    <w:rsid w:val="003A4792"/>
    <w:rsid w:val="003A61A4"/>
    <w:rsid w:val="003A7AB0"/>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0492A"/>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A7397"/>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27F1"/>
    <w:rsid w:val="00643326"/>
    <w:rsid w:val="00643E40"/>
    <w:rsid w:val="00644EB5"/>
    <w:rsid w:val="00645FEE"/>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3A9B"/>
    <w:rsid w:val="006A6224"/>
    <w:rsid w:val="006B60B4"/>
    <w:rsid w:val="006B620A"/>
    <w:rsid w:val="006C182E"/>
    <w:rsid w:val="006D0BFE"/>
    <w:rsid w:val="006D26AA"/>
    <w:rsid w:val="006D3BE8"/>
    <w:rsid w:val="006D4773"/>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1BB"/>
    <w:rsid w:val="0080375E"/>
    <w:rsid w:val="00804BED"/>
    <w:rsid w:val="008066ED"/>
    <w:rsid w:val="00806C74"/>
    <w:rsid w:val="00815BE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8F2B87"/>
    <w:rsid w:val="008F3A11"/>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05B6"/>
    <w:rsid w:val="00964820"/>
    <w:rsid w:val="0097249F"/>
    <w:rsid w:val="00973B1D"/>
    <w:rsid w:val="00974028"/>
    <w:rsid w:val="009766DB"/>
    <w:rsid w:val="00984461"/>
    <w:rsid w:val="009879A2"/>
    <w:rsid w:val="00990C19"/>
    <w:rsid w:val="00996094"/>
    <w:rsid w:val="00996FEA"/>
    <w:rsid w:val="009A4D19"/>
    <w:rsid w:val="009A549E"/>
    <w:rsid w:val="009A61BD"/>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679F"/>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38F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3B8D"/>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656E8"/>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1B92"/>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2C2C"/>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054E"/>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23FC"/>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B97"/>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uiPriority w:val="99"/>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uiPriority w:val="99"/>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 w:type="paragraph" w:styleId="Sansinterligne">
    <w:name w:val="No Spacing"/>
    <w:uiPriority w:val="1"/>
    <w:qFormat/>
    <w:rsid w:val="003A7AB0"/>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887572429">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1852110">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08971500">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21" Type="http://schemas.openxmlformats.org/officeDocument/2006/relationships/hyperlink" Target="https://www.sanctionsmap.eu"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hyperlink" Target="https://thedocs.worldbank.org/en/doc/593381437494441178-0290022015/render/ProgramforResultsPforRDirectiveJuly2015.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32" Type="http://schemas.openxmlformats.org/officeDocument/2006/relationships/footer" Target="footer3.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yperlink" Target="https://thedocs.worldbank.org/en/doc/687061437494014317-0290022015/original/ProgramforResultsFinancingPforRPolicyJuly2015.pdf" TargetMode="Externa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hyperlink" Target="https://www.worldbank.org/en/projects-operations/environmental-and-social-framework/brief/environmental-and-social-standards" TargetMode="External"/><Relationship Id="rId35" Type="http://schemas.openxmlformats.org/officeDocument/2006/relationships/fontTable" Target="fontTable.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37647-47B4-4C3E-954E-87F170D71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46</TotalTime>
  <Pages>37</Pages>
  <Words>10848</Words>
  <Characters>66175</Characters>
  <Application>Microsoft Office Word</Application>
  <DocSecurity>0</DocSecurity>
  <Lines>551</Lines>
  <Paragraphs>153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76870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Hakim BEJAOUI</cp:lastModifiedBy>
  <cp:revision>8</cp:revision>
  <cp:lastPrinted>2014-11-19T14:39:00Z</cp:lastPrinted>
  <dcterms:created xsi:type="dcterms:W3CDTF">2025-02-26T10:43:00Z</dcterms:created>
  <dcterms:modified xsi:type="dcterms:W3CDTF">2025-02-28T14:02:00Z</dcterms:modified>
</cp:coreProperties>
</file>