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429893568"/>
        <w:docPartObj>
          <w:docPartGallery w:val="Cover Pages"/>
          <w:docPartUnique/>
        </w:docPartObj>
      </w:sdtPr>
      <w:sdtEndPr>
        <w:rPr>
          <w:sz w:val="22"/>
        </w:rPr>
      </w:sdtEndPr>
      <w:sdtContent>
        <w:p w14:paraId="6AA85F26" w14:textId="31DDB13B" w:rsidR="004A521A" w:rsidRDefault="0097211B">
          <w:pPr>
            <w:pStyle w:val="Sansinterligne"/>
            <w:rPr>
              <w:sz w:val="2"/>
            </w:rPr>
          </w:pPr>
          <w:r w:rsidRPr="0097211B">
            <w:rPr>
              <w:rFonts w:ascii="Verdana" w:eastAsia="Tahoma" w:hAnsi="Verdana" w:cs="Tahoma"/>
              <w:noProof/>
              <w:kern w:val="0"/>
              <w:sz w:val="18"/>
              <w:lang w:eastAsia="fr-FR"/>
              <w14:ligatures w14:val="none"/>
            </w:rPr>
            <w:drawing>
              <wp:anchor distT="0" distB="0" distL="114300" distR="114300" simplePos="0" relativeHeight="251662336" behindDoc="0" locked="0" layoutInCell="1" allowOverlap="1" wp14:anchorId="7A38BDF4" wp14:editId="72209850">
                <wp:simplePos x="0" y="0"/>
                <wp:positionH relativeFrom="column">
                  <wp:posOffset>2091055</wp:posOffset>
                </wp:positionH>
                <wp:positionV relativeFrom="paragraph">
                  <wp:posOffset>0</wp:posOffset>
                </wp:positionV>
                <wp:extent cx="1847850" cy="1874647"/>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_SOMME_V_RV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874647"/>
                        </a:xfrm>
                        <a:prstGeom prst="rect">
                          <a:avLst/>
                        </a:prstGeom>
                      </pic:spPr>
                    </pic:pic>
                  </a:graphicData>
                </a:graphic>
              </wp:anchor>
            </w:drawing>
          </w:r>
        </w:p>
        <w:p w14:paraId="58571E27" w14:textId="510982C8" w:rsidR="004A521A" w:rsidRDefault="004A521A">
          <w:r>
            <w:rPr>
              <w:noProof/>
              <w:lang w:eastAsia="fr-FR"/>
            </w:rPr>
            <mc:AlternateContent>
              <mc:Choice Requires="wps">
                <w:drawing>
                  <wp:anchor distT="0" distB="0" distL="114300" distR="114300" simplePos="0" relativeHeight="251661312" behindDoc="0" locked="0" layoutInCell="1" allowOverlap="1" wp14:anchorId="212CA6D8" wp14:editId="49097CCB">
                    <wp:simplePos x="0" y="0"/>
                    <wp:positionH relativeFrom="page">
                      <wp:align>center</wp:align>
                    </wp:positionH>
                    <wp:positionV relativeFrom="margin">
                      <wp:align>top</wp:align>
                    </wp:positionV>
                    <wp:extent cx="5943600" cy="914400"/>
                    <wp:effectExtent l="0" t="0" r="0" b="3810"/>
                    <wp:wrapNone/>
                    <wp:docPr id="62" name="Zone de texte 15"/>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2855" w14:textId="3FCDBE01" w:rsidR="004A521A" w:rsidRDefault="004A52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212CA6D8" id="_x0000_t202" coordsize="21600,21600" o:spt="202" path="m,l,21600r21600,l21600,xe">
                    <v:stroke joinstyle="miter"/>
                    <v:path gradientshapeok="t" o:connecttype="rect"/>
                  </v:shapetype>
                  <v:shape id="Zone de texte 15"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p w14:paraId="443D2855" w14:textId="3FCDBE01" w:rsidR="004A521A" w:rsidRDefault="004A521A"/>
                      </w:txbxContent>
                    </v:textbox>
                    <w10:wrap anchorx="page" anchory="margin"/>
                  </v:shape>
                </w:pict>
              </mc:Fallback>
            </mc:AlternateContent>
          </w:r>
        </w:p>
        <w:p w14:paraId="1B97C081" w14:textId="5496013D" w:rsidR="004A521A" w:rsidRPr="004A521A" w:rsidRDefault="004A521A" w:rsidP="004A521A">
          <w:pPr>
            <w:widowControl w:val="0"/>
            <w:autoSpaceDE w:val="0"/>
            <w:autoSpaceDN w:val="0"/>
            <w:adjustRightInd w:val="0"/>
            <w:spacing w:before="8" w:after="200" w:line="220" w:lineRule="exact"/>
            <w:jc w:val="both"/>
            <w:rPr>
              <w:rFonts w:ascii="Arial" w:eastAsia="Times New Roman" w:hAnsi="Arial" w:cs="Arial"/>
              <w:kern w:val="0"/>
              <w14:ligatures w14:val="none"/>
            </w:rPr>
          </w:pPr>
        </w:p>
        <w:p w14:paraId="2CC7F6D0" w14:textId="676C47C5" w:rsidR="004A521A" w:rsidRDefault="004A521A" w:rsidP="004A521A">
          <w:pPr>
            <w:spacing w:after="200" w:line="276" w:lineRule="auto"/>
            <w:jc w:val="center"/>
            <w:rPr>
              <w:rFonts w:ascii="Arial" w:eastAsia="Times New Roman" w:hAnsi="Arial" w:cs="Arial"/>
              <w:kern w:val="0"/>
              <w:sz w:val="28"/>
              <w:szCs w:val="28"/>
              <w:highlight w:val="yellow"/>
              <w14:ligatures w14:val="none"/>
            </w:rPr>
          </w:pPr>
        </w:p>
        <w:p w14:paraId="540F13C4" w14:textId="5A84C09A" w:rsidR="004A521A" w:rsidRDefault="004A521A" w:rsidP="004A521A">
          <w:pPr>
            <w:spacing w:after="200" w:line="276" w:lineRule="auto"/>
            <w:jc w:val="center"/>
            <w:rPr>
              <w:rFonts w:ascii="Arial" w:eastAsia="Times New Roman" w:hAnsi="Arial" w:cs="Arial"/>
              <w:kern w:val="0"/>
              <w:sz w:val="28"/>
              <w:szCs w:val="28"/>
              <w:highlight w:val="yellow"/>
              <w14:ligatures w14:val="none"/>
            </w:rPr>
          </w:pPr>
        </w:p>
        <w:p w14:paraId="0B959939" w14:textId="77777777" w:rsidR="004A521A" w:rsidRDefault="004A521A" w:rsidP="004A521A">
          <w:pPr>
            <w:spacing w:after="200" w:line="276" w:lineRule="auto"/>
            <w:jc w:val="center"/>
            <w:rPr>
              <w:rFonts w:ascii="Arial" w:eastAsia="Times New Roman" w:hAnsi="Arial" w:cs="Arial"/>
              <w:kern w:val="0"/>
              <w:sz w:val="28"/>
              <w:szCs w:val="28"/>
              <w:highlight w:val="yellow"/>
              <w14:ligatures w14:val="none"/>
            </w:rPr>
          </w:pPr>
        </w:p>
        <w:p w14:paraId="19A1F03F" w14:textId="77777777" w:rsidR="004A521A" w:rsidRDefault="004A521A" w:rsidP="004A521A">
          <w:pPr>
            <w:spacing w:after="200" w:line="276" w:lineRule="auto"/>
            <w:jc w:val="center"/>
            <w:rPr>
              <w:rFonts w:ascii="Arial" w:eastAsia="Times New Roman" w:hAnsi="Arial" w:cs="Arial"/>
              <w:kern w:val="0"/>
              <w:sz w:val="28"/>
              <w:szCs w:val="28"/>
              <w:highlight w:val="yellow"/>
              <w14:ligatures w14:val="none"/>
            </w:rPr>
          </w:pPr>
        </w:p>
        <w:p w14:paraId="0CCD6BAA" w14:textId="77777777" w:rsidR="0097211B" w:rsidRDefault="0097211B" w:rsidP="004A521A">
          <w:pPr>
            <w:spacing w:after="200" w:line="276" w:lineRule="auto"/>
            <w:jc w:val="center"/>
            <w:rPr>
              <w:rFonts w:ascii="Arial" w:eastAsia="Times New Roman" w:hAnsi="Arial" w:cs="Arial"/>
              <w:kern w:val="0"/>
              <w:sz w:val="28"/>
              <w:szCs w:val="28"/>
              <w:highlight w:val="yellow"/>
              <w14:ligatures w14:val="none"/>
            </w:rPr>
          </w:pPr>
        </w:p>
        <w:p w14:paraId="27C0D42E" w14:textId="26D36228" w:rsidR="004A521A" w:rsidRDefault="004A521A" w:rsidP="004A521A">
          <w:pPr>
            <w:spacing w:after="200" w:line="276" w:lineRule="auto"/>
            <w:jc w:val="center"/>
            <w:rPr>
              <w:rFonts w:ascii="Arial" w:eastAsia="Times New Roman" w:hAnsi="Arial" w:cs="Arial"/>
              <w:b/>
              <w:bCs/>
              <w:kern w:val="0"/>
              <w:sz w:val="28"/>
              <w:szCs w:val="28"/>
              <w14:ligatures w14:val="none"/>
            </w:rPr>
          </w:pPr>
          <w:r w:rsidRPr="004A521A">
            <w:rPr>
              <w:rFonts w:ascii="Arial" w:eastAsia="Times New Roman" w:hAnsi="Arial" w:cs="Arial"/>
              <w:b/>
              <w:bCs/>
              <w:kern w:val="0"/>
              <w:sz w:val="28"/>
              <w:szCs w:val="28"/>
              <w14:ligatures w14:val="none"/>
            </w:rPr>
            <w:t xml:space="preserve">SYSTEME D’ACQUIDTION DYNAMIQUE </w:t>
          </w:r>
        </w:p>
        <w:p w14:paraId="64E588BC" w14:textId="77777777" w:rsidR="004A521A" w:rsidRPr="004A521A" w:rsidRDefault="004A521A" w:rsidP="004A521A">
          <w:pPr>
            <w:spacing w:after="200" w:line="276" w:lineRule="auto"/>
            <w:jc w:val="center"/>
            <w:rPr>
              <w:rFonts w:ascii="Arial" w:eastAsia="Times New Roman" w:hAnsi="Arial" w:cs="Arial"/>
              <w:b/>
              <w:bCs/>
              <w:kern w:val="0"/>
              <w:sz w:val="28"/>
              <w:szCs w:val="28"/>
              <w14:ligatures w14:val="none"/>
            </w:rPr>
          </w:pPr>
        </w:p>
        <w:p w14:paraId="2B98AED8" w14:textId="77777777" w:rsidR="004A521A" w:rsidRPr="00490E81" w:rsidRDefault="004A521A" w:rsidP="004A521A">
          <w:pPr>
            <w:pBdr>
              <w:top w:val="single" w:sz="4" w:space="1" w:color="auto"/>
              <w:left w:val="single" w:sz="4" w:space="4" w:color="auto"/>
              <w:bottom w:val="single" w:sz="4" w:space="1" w:color="auto"/>
              <w:right w:val="single" w:sz="4" w:space="4" w:color="auto"/>
            </w:pBdr>
            <w:spacing w:after="200" w:line="276" w:lineRule="auto"/>
            <w:jc w:val="center"/>
            <w:rPr>
              <w:rFonts w:ascii="Arial" w:eastAsia="Times New Roman" w:hAnsi="Arial" w:cs="Arial"/>
              <w:b/>
              <w:kern w:val="0"/>
              <w:sz w:val="40"/>
              <w:szCs w:val="40"/>
              <w14:ligatures w14:val="none"/>
            </w:rPr>
          </w:pPr>
          <w:r w:rsidRPr="00490E81">
            <w:rPr>
              <w:rFonts w:ascii="Arial" w:eastAsia="Times New Roman" w:hAnsi="Arial" w:cs="Arial"/>
              <w:b/>
              <w:bCs/>
              <w:spacing w:val="-1"/>
              <w:kern w:val="0"/>
              <w:position w:val="-1"/>
              <w:sz w:val="40"/>
              <w:szCs w:val="40"/>
              <w14:ligatures w14:val="none"/>
            </w:rPr>
            <w:t>Règlement de consultation</w:t>
          </w:r>
        </w:p>
        <w:p w14:paraId="1B786EE9" w14:textId="77777777" w:rsidR="004A521A" w:rsidRPr="00490E81" w:rsidRDefault="004A521A" w:rsidP="004A521A">
          <w:pPr>
            <w:widowControl w:val="0"/>
            <w:autoSpaceDE w:val="0"/>
            <w:autoSpaceDN w:val="0"/>
            <w:adjustRightInd w:val="0"/>
            <w:spacing w:after="200" w:line="200" w:lineRule="exact"/>
            <w:jc w:val="both"/>
            <w:rPr>
              <w:rFonts w:ascii="Arial" w:eastAsia="Times New Roman" w:hAnsi="Arial" w:cs="Arial"/>
              <w:kern w:val="0"/>
              <w:sz w:val="20"/>
              <w14:ligatures w14:val="none"/>
            </w:rPr>
          </w:pPr>
        </w:p>
        <w:p w14:paraId="76439D55" w14:textId="77777777" w:rsidR="004A521A" w:rsidRPr="00490E81" w:rsidRDefault="004A521A" w:rsidP="004A521A">
          <w:pPr>
            <w:spacing w:after="0" w:line="276" w:lineRule="auto"/>
            <w:jc w:val="center"/>
            <w:rPr>
              <w:rFonts w:ascii="Arial" w:eastAsia="Times New Roman" w:hAnsi="Arial" w:cs="Arial"/>
              <w:noProof/>
              <w:kern w:val="0"/>
              <w:sz w:val="28"/>
              <w14:ligatures w14:val="none"/>
            </w:rPr>
          </w:pPr>
          <w:r w:rsidRPr="00490E81">
            <w:rPr>
              <w:rFonts w:ascii="Arial" w:eastAsia="Times New Roman" w:hAnsi="Arial" w:cs="Arial"/>
              <w:noProof/>
              <w:kern w:val="0"/>
              <w:sz w:val="28"/>
              <w14:ligatures w14:val="none"/>
            </w:rPr>
            <w:t>Date et heure limites de réception des offres</w:t>
          </w:r>
        </w:p>
        <w:p w14:paraId="1AF7CB07" w14:textId="68A7199D" w:rsidR="004A521A" w:rsidRPr="00490E81" w:rsidRDefault="004A521A" w:rsidP="004A521A">
          <w:pPr>
            <w:spacing w:after="0" w:line="276" w:lineRule="auto"/>
            <w:jc w:val="center"/>
            <w:rPr>
              <w:rFonts w:ascii="Arial" w:eastAsia="Times New Roman" w:hAnsi="Arial" w:cs="Arial"/>
              <w:b/>
              <w:bCs/>
              <w:noProof/>
              <w:color w:val="FF0000"/>
              <w:kern w:val="0"/>
              <w:sz w:val="28"/>
              <w14:ligatures w14:val="none"/>
            </w:rPr>
          </w:pPr>
          <w:r w:rsidRPr="00DB1430">
            <w:rPr>
              <w:rFonts w:ascii="Arial" w:eastAsia="Times New Roman" w:hAnsi="Arial" w:cs="Arial"/>
              <w:b/>
              <w:bCs/>
              <w:noProof/>
              <w:color w:val="FF0000"/>
              <w:kern w:val="0"/>
              <w:sz w:val="28"/>
              <w14:ligatures w14:val="none"/>
            </w:rPr>
            <w:t xml:space="preserve">Le </w:t>
          </w:r>
          <w:r w:rsidR="00DB1430" w:rsidRPr="00DB1430">
            <w:rPr>
              <w:rFonts w:ascii="Arial" w:eastAsia="Times New Roman" w:hAnsi="Arial" w:cs="Arial"/>
              <w:b/>
              <w:bCs/>
              <w:noProof/>
              <w:color w:val="FF0000"/>
              <w:kern w:val="0"/>
              <w:sz w:val="28"/>
              <w14:ligatures w14:val="none"/>
            </w:rPr>
            <w:t>3</w:t>
          </w:r>
          <w:r w:rsidR="00017E9E">
            <w:rPr>
              <w:rFonts w:ascii="Arial" w:eastAsia="Times New Roman" w:hAnsi="Arial" w:cs="Arial"/>
              <w:b/>
              <w:bCs/>
              <w:noProof/>
              <w:color w:val="FF0000"/>
              <w:kern w:val="0"/>
              <w:sz w:val="28"/>
              <w14:ligatures w14:val="none"/>
            </w:rPr>
            <w:t>1 octobre 2027</w:t>
          </w:r>
          <w:r w:rsidRPr="00DB1430">
            <w:rPr>
              <w:rFonts w:ascii="Arial" w:eastAsia="Times New Roman" w:hAnsi="Arial" w:cs="Arial"/>
              <w:b/>
              <w:bCs/>
              <w:noProof/>
              <w:color w:val="FF0000"/>
              <w:kern w:val="0"/>
              <w:sz w:val="28"/>
              <w14:ligatures w14:val="none"/>
            </w:rPr>
            <w:t xml:space="preserve">  à 12h00</w:t>
          </w:r>
        </w:p>
        <w:p w14:paraId="1071C105" w14:textId="77777777" w:rsidR="004A521A" w:rsidRPr="00490E81" w:rsidRDefault="004A521A" w:rsidP="00DB1430">
          <w:pPr>
            <w:spacing w:after="0" w:line="240" w:lineRule="auto"/>
            <w:rPr>
              <w:rFonts w:ascii="Arial" w:eastAsia="Times New Roman" w:hAnsi="Arial" w:cs="Arial"/>
              <w:noProof/>
              <w:kern w:val="0"/>
              <w:sz w:val="32"/>
              <w:szCs w:val="32"/>
              <w14:ligatures w14:val="none"/>
            </w:rPr>
          </w:pPr>
        </w:p>
        <w:p w14:paraId="77069948" w14:textId="77777777" w:rsidR="004A521A" w:rsidRPr="00490E81" w:rsidRDefault="004A521A" w:rsidP="004A521A">
          <w:pPr>
            <w:spacing w:after="0" w:line="240" w:lineRule="auto"/>
            <w:jc w:val="center"/>
            <w:rPr>
              <w:rFonts w:ascii="Arial" w:eastAsia="Times New Roman" w:hAnsi="Arial" w:cs="Arial"/>
              <w:noProof/>
              <w:kern w:val="0"/>
              <w:sz w:val="32"/>
              <w:szCs w:val="32"/>
              <w14:ligatures w14:val="none"/>
            </w:rPr>
          </w:pPr>
        </w:p>
        <w:p w14:paraId="351EAC9A" w14:textId="2D52F598" w:rsidR="00DB1430" w:rsidRDefault="004A521A" w:rsidP="00DB1430">
          <w:pPr>
            <w:spacing w:after="0" w:line="240" w:lineRule="auto"/>
            <w:jc w:val="center"/>
            <w:rPr>
              <w:rFonts w:ascii="Arial" w:eastAsia="Times New Roman" w:hAnsi="Arial" w:cs="Arial"/>
              <w:noProof/>
              <w:kern w:val="0"/>
              <w:sz w:val="32"/>
              <w:szCs w:val="32"/>
              <w14:ligatures w14:val="none"/>
            </w:rPr>
          </w:pPr>
          <w:r w:rsidRPr="00DB1430">
            <w:rPr>
              <w:rFonts w:ascii="Arial" w:eastAsia="Times New Roman" w:hAnsi="Arial" w:cs="Arial"/>
              <w:noProof/>
              <w:kern w:val="0"/>
              <w:sz w:val="32"/>
              <w:szCs w:val="32"/>
              <w14:ligatures w14:val="none"/>
            </w:rPr>
            <w:t>Marché n°2025</w:t>
          </w:r>
          <w:r w:rsidR="0097211B">
            <w:rPr>
              <w:rFonts w:ascii="Arial" w:eastAsia="Times New Roman" w:hAnsi="Arial" w:cs="Arial"/>
              <w:noProof/>
              <w:kern w:val="0"/>
              <w:sz w:val="32"/>
              <w:szCs w:val="32"/>
              <w14:ligatures w14:val="none"/>
            </w:rPr>
            <w:t>-11</w:t>
          </w:r>
        </w:p>
        <w:p w14:paraId="79ADDEBE" w14:textId="77777777" w:rsidR="00DB1430" w:rsidRPr="00490E81" w:rsidRDefault="00DB1430" w:rsidP="004A521A">
          <w:pPr>
            <w:spacing w:after="0" w:line="240" w:lineRule="auto"/>
            <w:jc w:val="center"/>
            <w:rPr>
              <w:rFonts w:ascii="Arial" w:eastAsia="Times New Roman" w:hAnsi="Arial" w:cs="Arial"/>
              <w:noProof/>
              <w:kern w:val="0"/>
              <w:sz w:val="32"/>
              <w:szCs w:val="32"/>
              <w14:ligatures w14:val="none"/>
            </w:rPr>
          </w:pPr>
        </w:p>
        <w:p w14:paraId="7279D9CA" w14:textId="473A6F2C" w:rsidR="004A521A" w:rsidRPr="00DB1430" w:rsidRDefault="00DB1430" w:rsidP="004A521A">
          <w:pPr>
            <w:spacing w:after="0" w:line="240" w:lineRule="auto"/>
            <w:jc w:val="center"/>
            <w:rPr>
              <w:rFonts w:ascii="Arial" w:eastAsia="Times New Roman" w:hAnsi="Arial" w:cs="Arial"/>
              <w:b/>
              <w:bCs/>
              <w:noProof/>
              <w:kern w:val="0"/>
              <w:sz w:val="32"/>
              <w:szCs w:val="32"/>
              <w14:ligatures w14:val="none"/>
            </w:rPr>
          </w:pPr>
          <w:r w:rsidRPr="00DB1430">
            <w:rPr>
              <w:rFonts w:ascii="Arial" w:eastAsia="Times New Roman" w:hAnsi="Arial" w:cs="Arial"/>
              <w:b/>
              <w:bCs/>
              <w:noProof/>
              <w:kern w:val="0"/>
              <w:sz w:val="32"/>
              <w:szCs w:val="32"/>
              <w14:ligatures w14:val="none"/>
            </w:rPr>
            <w:t>***</w:t>
          </w:r>
        </w:p>
        <w:p w14:paraId="74EE5B5B" w14:textId="77777777" w:rsidR="004A521A" w:rsidRPr="00490E81" w:rsidRDefault="004A521A" w:rsidP="004A521A">
          <w:pPr>
            <w:spacing w:after="0" w:line="240" w:lineRule="auto"/>
            <w:jc w:val="both"/>
            <w:rPr>
              <w:rFonts w:ascii="Arial" w:eastAsia="Times New Roman" w:hAnsi="Arial" w:cs="Arial"/>
              <w:noProof/>
              <w:kern w:val="0"/>
              <w:sz w:val="32"/>
              <w:szCs w:val="32"/>
              <w14:ligatures w14:val="none"/>
            </w:rPr>
          </w:pPr>
        </w:p>
        <w:p w14:paraId="133F5DA1" w14:textId="594D6CD0" w:rsidR="004A521A" w:rsidRPr="0097211B" w:rsidRDefault="004A521A" w:rsidP="0097211B">
          <w:pPr>
            <w:spacing w:after="0" w:line="240" w:lineRule="auto"/>
            <w:jc w:val="center"/>
            <w:rPr>
              <w:rFonts w:ascii="Arial" w:eastAsia="Times New Roman" w:hAnsi="Arial" w:cs="Arial"/>
              <w:b/>
              <w:bCs/>
              <w:noProof/>
              <w:kern w:val="0"/>
              <w:sz w:val="32"/>
              <w:szCs w:val="32"/>
              <w:u w:val="single"/>
              <w14:ligatures w14:val="none"/>
            </w:rPr>
          </w:pPr>
          <w:r w:rsidRPr="0097211B">
            <w:rPr>
              <w:rFonts w:ascii="Arial" w:eastAsia="Times New Roman" w:hAnsi="Arial" w:cs="Arial"/>
              <w:b/>
              <w:bCs/>
              <w:noProof/>
              <w:kern w:val="0"/>
              <w:sz w:val="32"/>
              <w:szCs w:val="32"/>
              <w14:ligatures w14:val="none"/>
            </w:rPr>
            <w:t>Location de</w:t>
          </w:r>
          <w:r w:rsidR="00473895" w:rsidRPr="0097211B">
            <w:rPr>
              <w:rFonts w:ascii="Arial" w:eastAsia="Times New Roman" w:hAnsi="Arial" w:cs="Arial"/>
              <w:b/>
              <w:bCs/>
              <w:noProof/>
              <w:kern w:val="0"/>
              <w:sz w:val="32"/>
              <w:szCs w:val="32"/>
              <w14:ligatures w14:val="none"/>
            </w:rPr>
            <w:t xml:space="preserve"> </w:t>
          </w:r>
          <w:r w:rsidR="0097211B" w:rsidRPr="0097211B">
            <w:rPr>
              <w:rFonts w:ascii="Arial" w:eastAsia="Times New Roman" w:hAnsi="Arial" w:cs="Arial"/>
              <w:b/>
              <w:bCs/>
              <w:noProof/>
              <w:kern w:val="0"/>
              <w:sz w:val="32"/>
              <w:szCs w:val="32"/>
              <w14:ligatures w14:val="none"/>
            </w:rPr>
            <w:t xml:space="preserve">solution de robot autonome et matériels  de pulvérisation ciblée </w:t>
          </w:r>
          <w:r w:rsidRPr="0097211B">
            <w:rPr>
              <w:rFonts w:ascii="Arial" w:eastAsia="Times New Roman" w:hAnsi="Arial" w:cs="Arial"/>
              <w:b/>
              <w:bCs/>
              <w:noProof/>
              <w:kern w:val="0"/>
              <w:sz w:val="32"/>
              <w:szCs w:val="32"/>
              <w14:ligatures w14:val="none"/>
            </w:rPr>
            <w:t xml:space="preserve"> </w:t>
          </w:r>
        </w:p>
        <w:p w14:paraId="00F79254" w14:textId="77777777" w:rsidR="004A521A" w:rsidRPr="00490E81" w:rsidRDefault="004A521A" w:rsidP="004A521A">
          <w:pPr>
            <w:spacing w:after="0" w:line="240" w:lineRule="auto"/>
            <w:jc w:val="both"/>
            <w:rPr>
              <w:rFonts w:ascii="Arial" w:eastAsia="Times New Roman" w:hAnsi="Arial" w:cs="Arial"/>
              <w:b/>
              <w:bCs/>
              <w:noProof/>
              <w:kern w:val="0"/>
              <w:sz w:val="32"/>
              <w:szCs w:val="32"/>
              <w:u w:val="single"/>
              <w14:ligatures w14:val="none"/>
            </w:rPr>
          </w:pPr>
        </w:p>
        <w:p w14:paraId="34B553C5" w14:textId="77777777" w:rsidR="004A521A" w:rsidRPr="00490E81" w:rsidRDefault="004A521A" w:rsidP="004A521A">
          <w:pPr>
            <w:spacing w:after="0" w:line="240" w:lineRule="auto"/>
            <w:jc w:val="both"/>
            <w:rPr>
              <w:rFonts w:ascii="Arial" w:eastAsia="Times New Roman" w:hAnsi="Arial" w:cs="Arial"/>
              <w:b/>
              <w:bCs/>
              <w:noProof/>
              <w:kern w:val="0"/>
              <w:sz w:val="32"/>
              <w:szCs w:val="32"/>
              <w:u w:val="single"/>
              <w14:ligatures w14:val="none"/>
            </w:rPr>
          </w:pPr>
        </w:p>
        <w:p w14:paraId="2B5B6956" w14:textId="77777777" w:rsidR="004A521A" w:rsidRPr="00490E81" w:rsidRDefault="004A521A" w:rsidP="004A521A">
          <w:pPr>
            <w:spacing w:after="0" w:line="240" w:lineRule="auto"/>
            <w:jc w:val="both"/>
            <w:rPr>
              <w:rFonts w:ascii="Arial" w:eastAsia="Times New Roman" w:hAnsi="Arial" w:cs="Arial"/>
              <w:b/>
              <w:bCs/>
              <w:noProof/>
              <w:kern w:val="0"/>
              <w:sz w:val="32"/>
              <w:szCs w:val="32"/>
              <w:u w:val="single"/>
              <w14:ligatures w14:val="none"/>
            </w:rPr>
          </w:pPr>
        </w:p>
        <w:p w14:paraId="6CE4D321" w14:textId="77777777" w:rsidR="004A521A" w:rsidRPr="00490E81" w:rsidRDefault="004A521A" w:rsidP="004A521A">
          <w:pPr>
            <w:spacing w:after="0" w:line="240" w:lineRule="auto"/>
            <w:jc w:val="both"/>
            <w:rPr>
              <w:rFonts w:ascii="Arial" w:eastAsia="Times New Roman" w:hAnsi="Arial" w:cs="Arial"/>
              <w:b/>
              <w:bCs/>
              <w:noProof/>
              <w:kern w:val="0"/>
              <w:sz w:val="32"/>
              <w:szCs w:val="32"/>
              <w:u w:val="single"/>
              <w14:ligatures w14:val="none"/>
            </w:rPr>
          </w:pPr>
        </w:p>
        <w:p w14:paraId="21849B1A" w14:textId="77777777" w:rsidR="004A521A" w:rsidRPr="00490E81" w:rsidRDefault="004A521A" w:rsidP="004A521A">
          <w:pPr>
            <w:spacing w:after="0" w:line="240" w:lineRule="auto"/>
            <w:jc w:val="both"/>
            <w:rPr>
              <w:rFonts w:ascii="Arial" w:eastAsia="Times New Roman" w:hAnsi="Arial" w:cs="Arial"/>
              <w:b/>
              <w:bCs/>
              <w:noProof/>
              <w:kern w:val="0"/>
              <w:sz w:val="32"/>
              <w:szCs w:val="32"/>
              <w:u w:val="single"/>
              <w14:ligatures w14:val="none"/>
            </w:rPr>
          </w:pPr>
        </w:p>
        <w:p w14:paraId="773F0B49" w14:textId="77777777" w:rsidR="004A521A" w:rsidRPr="00490E81" w:rsidRDefault="004A521A" w:rsidP="004A521A">
          <w:pPr>
            <w:spacing w:after="0" w:line="240" w:lineRule="auto"/>
            <w:jc w:val="both"/>
            <w:rPr>
              <w:rFonts w:ascii="Arial" w:eastAsia="Times New Roman" w:hAnsi="Arial" w:cs="Arial"/>
              <w:b/>
              <w:bCs/>
              <w:noProof/>
              <w:kern w:val="0"/>
              <w:sz w:val="32"/>
              <w:szCs w:val="32"/>
              <w:u w:val="single"/>
              <w14:ligatures w14:val="none"/>
            </w:rPr>
          </w:pPr>
          <w:r w:rsidRPr="00490E81">
            <w:rPr>
              <w:rFonts w:ascii="Arial" w:eastAsia="Times New Roman" w:hAnsi="Arial" w:cs="Arial"/>
              <w:b/>
              <w:bCs/>
              <w:noProof/>
              <w:kern w:val="0"/>
              <w:sz w:val="32"/>
              <w:szCs w:val="32"/>
              <w:u w:val="single"/>
              <w14:ligatures w14:val="none"/>
            </w:rPr>
            <w:t>Pouvoir adjudicateur :</w:t>
          </w:r>
        </w:p>
        <w:p w14:paraId="48A0DD5D" w14:textId="36227824" w:rsidR="004A521A" w:rsidRPr="00490E81" w:rsidRDefault="004A521A" w:rsidP="004A521A">
          <w:pPr>
            <w:widowControl w:val="0"/>
            <w:autoSpaceDE w:val="0"/>
            <w:autoSpaceDN w:val="0"/>
            <w:adjustRightInd w:val="0"/>
            <w:spacing w:after="0" w:line="240" w:lineRule="auto"/>
            <w:jc w:val="both"/>
            <w:rPr>
              <w:rFonts w:ascii="Arial" w:eastAsia="Times New Roman" w:hAnsi="Arial" w:cs="Arial"/>
              <w:kern w:val="0"/>
              <w:sz w:val="32"/>
              <w14:ligatures w14:val="none"/>
            </w:rPr>
          </w:pPr>
          <w:r w:rsidRPr="00490E81">
            <w:rPr>
              <w:rFonts w:ascii="Arial" w:eastAsia="Times New Roman" w:hAnsi="Arial" w:cs="Arial"/>
              <w:kern w:val="0"/>
              <w:sz w:val="32"/>
              <w14:ligatures w14:val="none"/>
            </w:rPr>
            <w:t>Chambre d’</w:t>
          </w:r>
          <w:r>
            <w:rPr>
              <w:rFonts w:ascii="Arial" w:eastAsia="Times New Roman" w:hAnsi="Arial" w:cs="Arial"/>
              <w:kern w:val="0"/>
              <w:sz w:val="32"/>
              <w14:ligatures w14:val="none"/>
            </w:rPr>
            <w:t>a</w:t>
          </w:r>
          <w:r w:rsidRPr="00490E81">
            <w:rPr>
              <w:rFonts w:ascii="Arial" w:eastAsia="Times New Roman" w:hAnsi="Arial" w:cs="Arial"/>
              <w:kern w:val="0"/>
              <w:sz w:val="32"/>
              <w14:ligatures w14:val="none"/>
            </w:rPr>
            <w:t xml:space="preserve">griculture </w:t>
          </w:r>
          <w:r>
            <w:rPr>
              <w:rFonts w:ascii="Arial" w:eastAsia="Times New Roman" w:hAnsi="Arial" w:cs="Arial"/>
              <w:kern w:val="0"/>
              <w:sz w:val="32"/>
              <w14:ligatures w14:val="none"/>
            </w:rPr>
            <w:t>de la Somme</w:t>
          </w:r>
        </w:p>
        <w:p w14:paraId="15B3AFBC" w14:textId="77777777" w:rsidR="0097211B" w:rsidRDefault="004A521A" w:rsidP="004A521A">
          <w:pPr>
            <w:widowControl w:val="0"/>
            <w:autoSpaceDE w:val="0"/>
            <w:autoSpaceDN w:val="0"/>
            <w:adjustRightInd w:val="0"/>
            <w:spacing w:after="0" w:line="240" w:lineRule="auto"/>
            <w:jc w:val="both"/>
            <w:rPr>
              <w:rFonts w:ascii="Arial" w:eastAsia="Times New Roman" w:hAnsi="Arial" w:cs="Arial"/>
              <w:kern w:val="0"/>
              <w:sz w:val="32"/>
              <w14:ligatures w14:val="none"/>
            </w:rPr>
          </w:pPr>
          <w:r w:rsidRPr="00490E81">
            <w:rPr>
              <w:rFonts w:ascii="Arial" w:eastAsia="Times New Roman" w:hAnsi="Arial" w:cs="Arial"/>
              <w:kern w:val="0"/>
              <w:sz w:val="32"/>
              <w14:ligatures w14:val="none"/>
            </w:rPr>
            <w:t>Siège administratif :</w:t>
          </w:r>
        </w:p>
        <w:p w14:paraId="1BD5C2A9" w14:textId="77ABD267" w:rsidR="004A521A" w:rsidRPr="00490E81" w:rsidRDefault="004A521A" w:rsidP="004A521A">
          <w:pPr>
            <w:widowControl w:val="0"/>
            <w:autoSpaceDE w:val="0"/>
            <w:autoSpaceDN w:val="0"/>
            <w:adjustRightInd w:val="0"/>
            <w:spacing w:after="0" w:line="240" w:lineRule="auto"/>
            <w:jc w:val="both"/>
            <w:rPr>
              <w:rFonts w:ascii="Arial" w:eastAsia="Times New Roman" w:hAnsi="Arial" w:cs="Arial"/>
              <w:kern w:val="0"/>
              <w:sz w:val="32"/>
              <w14:ligatures w14:val="none"/>
            </w:rPr>
          </w:pPr>
          <w:r w:rsidRPr="00490E81">
            <w:rPr>
              <w:rFonts w:ascii="Arial" w:eastAsia="Times New Roman" w:hAnsi="Arial" w:cs="Arial"/>
              <w:kern w:val="0"/>
              <w:sz w:val="32"/>
              <w14:ligatures w14:val="none"/>
            </w:rPr>
            <w:t>19 Bis Rue Alexandre DUMAS</w:t>
          </w:r>
        </w:p>
        <w:p w14:paraId="0FC96ACD" w14:textId="50C6EE58" w:rsidR="004A521A" w:rsidRDefault="004A521A">
          <w:r w:rsidRPr="00490E81">
            <w:rPr>
              <w:rFonts w:ascii="Arial" w:eastAsia="Times New Roman" w:hAnsi="Arial" w:cs="Arial"/>
              <w:kern w:val="0"/>
              <w:sz w:val="32"/>
              <w14:ligatures w14:val="none"/>
            </w:rPr>
            <w:t>8009</w:t>
          </w:r>
          <w:r w:rsidR="00EB1196">
            <w:rPr>
              <w:rFonts w:ascii="Arial" w:eastAsia="Times New Roman" w:hAnsi="Arial" w:cs="Arial"/>
              <w:kern w:val="0"/>
              <w:sz w:val="32"/>
              <w14:ligatures w14:val="none"/>
            </w:rPr>
            <w:t>6</w:t>
          </w:r>
          <w:r w:rsidRPr="00490E81">
            <w:rPr>
              <w:rFonts w:ascii="Arial" w:eastAsia="Times New Roman" w:hAnsi="Arial" w:cs="Arial"/>
              <w:kern w:val="0"/>
              <w:sz w:val="32"/>
              <w14:ligatures w14:val="none"/>
            </w:rPr>
            <w:t xml:space="preserve"> Amiens Cedex</w:t>
          </w:r>
          <w:r w:rsidR="00EB1196">
            <w:rPr>
              <w:rFonts w:ascii="Arial" w:eastAsia="Times New Roman" w:hAnsi="Arial" w:cs="Arial"/>
              <w:kern w:val="0"/>
              <w:sz w:val="32"/>
              <w14:ligatures w14:val="none"/>
            </w:rPr>
            <w:t xml:space="preserve"> 3</w:t>
          </w:r>
          <w:r>
            <w:rPr>
              <w:rFonts w:ascii="Arial" w:eastAsia="Times New Roman" w:hAnsi="Arial" w:cs="Arial"/>
              <w:kern w:val="0"/>
              <w:sz w:val="18"/>
              <w:szCs w:val="18"/>
              <w:lang w:eastAsia="fr-FR"/>
              <w14:ligatures w14:val="none"/>
            </w:rPr>
            <w:br w:type="page"/>
          </w:r>
        </w:p>
      </w:sdtContent>
    </w:sdt>
    <w:sdt>
      <w:sdtPr>
        <w:rPr>
          <w:rFonts w:asciiTheme="minorHAnsi" w:eastAsiaTheme="minorHAnsi" w:hAnsiTheme="minorHAnsi" w:cstheme="minorBidi"/>
          <w:color w:val="auto"/>
          <w:kern w:val="2"/>
          <w:sz w:val="22"/>
          <w:szCs w:val="22"/>
          <w:lang w:eastAsia="en-US"/>
          <w14:ligatures w14:val="standardContextual"/>
        </w:rPr>
        <w:id w:val="-1995402644"/>
        <w:docPartObj>
          <w:docPartGallery w:val="Table of Contents"/>
          <w:docPartUnique/>
        </w:docPartObj>
      </w:sdtPr>
      <w:sdtEndPr>
        <w:rPr>
          <w:b/>
          <w:bCs/>
        </w:rPr>
      </w:sdtEndPr>
      <w:sdtContent>
        <w:p w14:paraId="7CBEA056" w14:textId="37757F06" w:rsidR="00351F3E" w:rsidRPr="004A521A" w:rsidRDefault="00351F3E" w:rsidP="00073708">
          <w:pPr>
            <w:pStyle w:val="En-ttedetabledesmatires"/>
            <w:rPr>
              <w:rFonts w:asciiTheme="minorHAnsi" w:eastAsiaTheme="minorHAnsi" w:hAnsiTheme="minorHAnsi" w:cstheme="minorBidi"/>
              <w:color w:val="auto"/>
              <w:kern w:val="2"/>
              <w:sz w:val="22"/>
              <w:szCs w:val="22"/>
              <w:lang w:eastAsia="en-US"/>
              <w14:ligatures w14:val="standardContextual"/>
            </w:rPr>
          </w:pPr>
          <w:r>
            <w:t>Table des matières</w:t>
          </w:r>
        </w:p>
        <w:p w14:paraId="75DBE3C7" w14:textId="0CBF27AA" w:rsidR="005B009C" w:rsidRDefault="00351F3E">
          <w:pPr>
            <w:pStyle w:val="TM1"/>
            <w:tabs>
              <w:tab w:val="right" w:leader="dot" w:pos="9062"/>
            </w:tabs>
            <w:rPr>
              <w:rFonts w:eastAsiaTheme="minorEastAsia"/>
              <w:noProof/>
              <w:sz w:val="24"/>
              <w:szCs w:val="24"/>
              <w:lang w:eastAsia="fr-FR"/>
            </w:rPr>
          </w:pPr>
          <w:r>
            <w:fldChar w:fldCharType="begin"/>
          </w:r>
          <w:r>
            <w:instrText xml:space="preserve"> TOC \o "1-3" \h \z \u </w:instrText>
          </w:r>
          <w:r>
            <w:fldChar w:fldCharType="separate"/>
          </w:r>
          <w:hyperlink w:anchor="_Toc191036148" w:history="1">
            <w:r w:rsidR="005B009C" w:rsidRPr="001F641C">
              <w:rPr>
                <w:rStyle w:val="Lienhypertexte"/>
                <w:noProof/>
              </w:rPr>
              <w:t>Article 1. OBJET DE LA CONSULTATION – DIPOSITION GENERALES</w:t>
            </w:r>
            <w:r w:rsidR="005B009C">
              <w:rPr>
                <w:noProof/>
                <w:webHidden/>
              </w:rPr>
              <w:tab/>
            </w:r>
            <w:r w:rsidR="005B009C">
              <w:rPr>
                <w:noProof/>
                <w:webHidden/>
              </w:rPr>
              <w:fldChar w:fldCharType="begin"/>
            </w:r>
            <w:r w:rsidR="005B009C">
              <w:rPr>
                <w:noProof/>
                <w:webHidden/>
              </w:rPr>
              <w:instrText xml:space="preserve"> PAGEREF _Toc191036148 \h </w:instrText>
            </w:r>
            <w:r w:rsidR="005B009C">
              <w:rPr>
                <w:noProof/>
                <w:webHidden/>
              </w:rPr>
            </w:r>
            <w:r w:rsidR="005B009C">
              <w:rPr>
                <w:noProof/>
                <w:webHidden/>
              </w:rPr>
              <w:fldChar w:fldCharType="separate"/>
            </w:r>
            <w:r w:rsidR="005B009C">
              <w:rPr>
                <w:noProof/>
                <w:webHidden/>
              </w:rPr>
              <w:t>1</w:t>
            </w:r>
            <w:r w:rsidR="005B009C">
              <w:rPr>
                <w:noProof/>
                <w:webHidden/>
              </w:rPr>
              <w:fldChar w:fldCharType="end"/>
            </w:r>
          </w:hyperlink>
        </w:p>
        <w:p w14:paraId="0FBE471A" w14:textId="7EF2E6F0" w:rsidR="005B009C" w:rsidRDefault="009B0C11">
          <w:pPr>
            <w:pStyle w:val="TM1"/>
            <w:tabs>
              <w:tab w:val="right" w:leader="dot" w:pos="9062"/>
            </w:tabs>
            <w:rPr>
              <w:rFonts w:eastAsiaTheme="minorEastAsia"/>
              <w:noProof/>
              <w:sz w:val="24"/>
              <w:szCs w:val="24"/>
              <w:lang w:eastAsia="fr-FR"/>
            </w:rPr>
          </w:pPr>
          <w:hyperlink w:anchor="_Toc191036149" w:history="1">
            <w:r w:rsidR="005B009C" w:rsidRPr="001F641C">
              <w:rPr>
                <w:rStyle w:val="Lienhypertexte"/>
                <w:noProof/>
              </w:rPr>
              <w:t>Article 2. MODALITE DE FONCTIONNEMENT DU SYSTEME D’ACQUISITION DYNAMIQUE</w:t>
            </w:r>
            <w:r w:rsidR="005B009C">
              <w:rPr>
                <w:noProof/>
                <w:webHidden/>
              </w:rPr>
              <w:tab/>
            </w:r>
            <w:r w:rsidR="005B009C">
              <w:rPr>
                <w:noProof/>
                <w:webHidden/>
              </w:rPr>
              <w:fldChar w:fldCharType="begin"/>
            </w:r>
            <w:r w:rsidR="005B009C">
              <w:rPr>
                <w:noProof/>
                <w:webHidden/>
              </w:rPr>
              <w:instrText xml:space="preserve"> PAGEREF _Toc191036149 \h </w:instrText>
            </w:r>
            <w:r w:rsidR="005B009C">
              <w:rPr>
                <w:noProof/>
                <w:webHidden/>
              </w:rPr>
            </w:r>
            <w:r w:rsidR="005B009C">
              <w:rPr>
                <w:noProof/>
                <w:webHidden/>
              </w:rPr>
              <w:fldChar w:fldCharType="separate"/>
            </w:r>
            <w:r w:rsidR="005B009C">
              <w:rPr>
                <w:noProof/>
                <w:webHidden/>
              </w:rPr>
              <w:t>1</w:t>
            </w:r>
            <w:r w:rsidR="005B009C">
              <w:rPr>
                <w:noProof/>
                <w:webHidden/>
              </w:rPr>
              <w:fldChar w:fldCharType="end"/>
            </w:r>
          </w:hyperlink>
        </w:p>
        <w:p w14:paraId="11BA6306" w14:textId="6569F9F9" w:rsidR="005B009C" w:rsidRDefault="009B0C11">
          <w:pPr>
            <w:pStyle w:val="TM1"/>
            <w:tabs>
              <w:tab w:val="right" w:leader="dot" w:pos="9062"/>
            </w:tabs>
            <w:rPr>
              <w:rFonts w:eastAsiaTheme="minorEastAsia"/>
              <w:noProof/>
              <w:sz w:val="24"/>
              <w:szCs w:val="24"/>
              <w:lang w:eastAsia="fr-FR"/>
            </w:rPr>
          </w:pPr>
          <w:hyperlink w:anchor="_Toc191036150" w:history="1">
            <w:r w:rsidR="005B009C" w:rsidRPr="001F641C">
              <w:rPr>
                <w:rStyle w:val="Lienhypertexte"/>
                <w:noProof/>
              </w:rPr>
              <w:t>Article 3. DOSSIER DE CONSULTATION DES ENTREPRISES</w:t>
            </w:r>
            <w:r w:rsidR="005B009C">
              <w:rPr>
                <w:noProof/>
                <w:webHidden/>
              </w:rPr>
              <w:tab/>
            </w:r>
            <w:r w:rsidR="005B009C">
              <w:rPr>
                <w:noProof/>
                <w:webHidden/>
              </w:rPr>
              <w:fldChar w:fldCharType="begin"/>
            </w:r>
            <w:r w:rsidR="005B009C">
              <w:rPr>
                <w:noProof/>
                <w:webHidden/>
              </w:rPr>
              <w:instrText xml:space="preserve"> PAGEREF _Toc191036150 \h </w:instrText>
            </w:r>
            <w:r w:rsidR="005B009C">
              <w:rPr>
                <w:noProof/>
                <w:webHidden/>
              </w:rPr>
            </w:r>
            <w:r w:rsidR="005B009C">
              <w:rPr>
                <w:noProof/>
                <w:webHidden/>
              </w:rPr>
              <w:fldChar w:fldCharType="separate"/>
            </w:r>
            <w:r w:rsidR="005B009C">
              <w:rPr>
                <w:noProof/>
                <w:webHidden/>
              </w:rPr>
              <w:t>3</w:t>
            </w:r>
            <w:r w:rsidR="005B009C">
              <w:rPr>
                <w:noProof/>
                <w:webHidden/>
              </w:rPr>
              <w:fldChar w:fldCharType="end"/>
            </w:r>
          </w:hyperlink>
        </w:p>
        <w:p w14:paraId="3675A7F6" w14:textId="7DD9631B" w:rsidR="005B009C" w:rsidRDefault="009B0C11">
          <w:pPr>
            <w:pStyle w:val="TM1"/>
            <w:tabs>
              <w:tab w:val="right" w:leader="dot" w:pos="9062"/>
            </w:tabs>
            <w:rPr>
              <w:rFonts w:eastAsiaTheme="minorEastAsia"/>
              <w:noProof/>
              <w:sz w:val="24"/>
              <w:szCs w:val="24"/>
              <w:lang w:eastAsia="fr-FR"/>
            </w:rPr>
          </w:pPr>
          <w:hyperlink w:anchor="_Toc191036151" w:history="1">
            <w:r w:rsidR="005B009C" w:rsidRPr="001F641C">
              <w:rPr>
                <w:rStyle w:val="Lienhypertexte"/>
                <w:noProof/>
              </w:rPr>
              <w:t>Article 4. PRESENTATION DES CANDIDATURES ET DES OFFRES</w:t>
            </w:r>
            <w:r w:rsidR="005B009C">
              <w:rPr>
                <w:noProof/>
                <w:webHidden/>
              </w:rPr>
              <w:tab/>
            </w:r>
            <w:r w:rsidR="005B009C">
              <w:rPr>
                <w:noProof/>
                <w:webHidden/>
              </w:rPr>
              <w:fldChar w:fldCharType="begin"/>
            </w:r>
            <w:r w:rsidR="005B009C">
              <w:rPr>
                <w:noProof/>
                <w:webHidden/>
              </w:rPr>
              <w:instrText xml:space="preserve"> PAGEREF _Toc191036151 \h </w:instrText>
            </w:r>
            <w:r w:rsidR="005B009C">
              <w:rPr>
                <w:noProof/>
                <w:webHidden/>
              </w:rPr>
            </w:r>
            <w:r w:rsidR="005B009C">
              <w:rPr>
                <w:noProof/>
                <w:webHidden/>
              </w:rPr>
              <w:fldChar w:fldCharType="separate"/>
            </w:r>
            <w:r w:rsidR="005B009C">
              <w:rPr>
                <w:noProof/>
                <w:webHidden/>
              </w:rPr>
              <w:t>3</w:t>
            </w:r>
            <w:r w:rsidR="005B009C">
              <w:rPr>
                <w:noProof/>
                <w:webHidden/>
              </w:rPr>
              <w:fldChar w:fldCharType="end"/>
            </w:r>
          </w:hyperlink>
        </w:p>
        <w:p w14:paraId="5AB9467B" w14:textId="6DC749FD" w:rsidR="005B009C" w:rsidRDefault="009B0C11">
          <w:pPr>
            <w:pStyle w:val="TM1"/>
            <w:tabs>
              <w:tab w:val="right" w:leader="dot" w:pos="9062"/>
            </w:tabs>
            <w:rPr>
              <w:rFonts w:eastAsiaTheme="minorEastAsia"/>
              <w:noProof/>
              <w:sz w:val="24"/>
              <w:szCs w:val="24"/>
              <w:lang w:eastAsia="fr-FR"/>
            </w:rPr>
          </w:pPr>
          <w:hyperlink w:anchor="_Toc191036152" w:history="1">
            <w:r w:rsidR="005B009C" w:rsidRPr="001F641C">
              <w:rPr>
                <w:rStyle w:val="Lienhypertexte"/>
                <w:noProof/>
              </w:rPr>
              <w:t>Article 5. CONDITIONS DE REMISE DES CANDIDATURES</w:t>
            </w:r>
            <w:r w:rsidR="005B009C">
              <w:rPr>
                <w:noProof/>
                <w:webHidden/>
              </w:rPr>
              <w:tab/>
            </w:r>
            <w:r w:rsidR="005B009C">
              <w:rPr>
                <w:noProof/>
                <w:webHidden/>
              </w:rPr>
              <w:fldChar w:fldCharType="begin"/>
            </w:r>
            <w:r w:rsidR="005B009C">
              <w:rPr>
                <w:noProof/>
                <w:webHidden/>
              </w:rPr>
              <w:instrText xml:space="preserve"> PAGEREF _Toc191036152 \h </w:instrText>
            </w:r>
            <w:r w:rsidR="005B009C">
              <w:rPr>
                <w:noProof/>
                <w:webHidden/>
              </w:rPr>
            </w:r>
            <w:r w:rsidR="005B009C">
              <w:rPr>
                <w:noProof/>
                <w:webHidden/>
              </w:rPr>
              <w:fldChar w:fldCharType="separate"/>
            </w:r>
            <w:r w:rsidR="005B009C">
              <w:rPr>
                <w:noProof/>
                <w:webHidden/>
              </w:rPr>
              <w:t>3</w:t>
            </w:r>
            <w:r w:rsidR="005B009C">
              <w:rPr>
                <w:noProof/>
                <w:webHidden/>
              </w:rPr>
              <w:fldChar w:fldCharType="end"/>
            </w:r>
          </w:hyperlink>
        </w:p>
        <w:p w14:paraId="10D1CCC8" w14:textId="09C08A49" w:rsidR="005B009C" w:rsidRDefault="009B0C11">
          <w:pPr>
            <w:pStyle w:val="TM1"/>
            <w:tabs>
              <w:tab w:val="right" w:leader="dot" w:pos="9062"/>
            </w:tabs>
            <w:rPr>
              <w:rFonts w:eastAsiaTheme="minorEastAsia"/>
              <w:noProof/>
              <w:sz w:val="24"/>
              <w:szCs w:val="24"/>
              <w:lang w:eastAsia="fr-FR"/>
            </w:rPr>
          </w:pPr>
          <w:hyperlink w:anchor="_Toc191036153" w:history="1">
            <w:r w:rsidR="005B009C" w:rsidRPr="001F641C">
              <w:rPr>
                <w:rStyle w:val="Lienhypertexte"/>
                <w:noProof/>
              </w:rPr>
              <w:t>Article 6. EXAMEN DES CANDIDATURES ADMISES DANS LE SAD</w:t>
            </w:r>
            <w:r w:rsidR="005B009C">
              <w:rPr>
                <w:noProof/>
                <w:webHidden/>
              </w:rPr>
              <w:tab/>
            </w:r>
            <w:r w:rsidR="005B009C">
              <w:rPr>
                <w:noProof/>
                <w:webHidden/>
              </w:rPr>
              <w:fldChar w:fldCharType="begin"/>
            </w:r>
            <w:r w:rsidR="005B009C">
              <w:rPr>
                <w:noProof/>
                <w:webHidden/>
              </w:rPr>
              <w:instrText xml:space="preserve"> PAGEREF _Toc191036153 \h </w:instrText>
            </w:r>
            <w:r w:rsidR="005B009C">
              <w:rPr>
                <w:noProof/>
                <w:webHidden/>
              </w:rPr>
            </w:r>
            <w:r w:rsidR="005B009C">
              <w:rPr>
                <w:noProof/>
                <w:webHidden/>
              </w:rPr>
              <w:fldChar w:fldCharType="separate"/>
            </w:r>
            <w:r w:rsidR="005B009C">
              <w:rPr>
                <w:noProof/>
                <w:webHidden/>
              </w:rPr>
              <w:t>4</w:t>
            </w:r>
            <w:r w:rsidR="005B009C">
              <w:rPr>
                <w:noProof/>
                <w:webHidden/>
              </w:rPr>
              <w:fldChar w:fldCharType="end"/>
            </w:r>
          </w:hyperlink>
        </w:p>
        <w:p w14:paraId="5BA9BDF1" w14:textId="1481D9FA" w:rsidR="005B009C" w:rsidRDefault="009B0C11">
          <w:pPr>
            <w:pStyle w:val="TM1"/>
            <w:tabs>
              <w:tab w:val="right" w:leader="dot" w:pos="9062"/>
            </w:tabs>
            <w:rPr>
              <w:rFonts w:eastAsiaTheme="minorEastAsia"/>
              <w:noProof/>
              <w:sz w:val="24"/>
              <w:szCs w:val="24"/>
              <w:lang w:eastAsia="fr-FR"/>
            </w:rPr>
          </w:pPr>
          <w:hyperlink w:anchor="_Toc191036154" w:history="1">
            <w:r w:rsidR="005B009C" w:rsidRPr="001F641C">
              <w:rPr>
                <w:rStyle w:val="Lienhypertexte"/>
                <w:noProof/>
              </w:rPr>
              <w:t>Article 7.  PASSATION DES MARCHES SPECIFIQUES</w:t>
            </w:r>
            <w:r w:rsidR="005B009C">
              <w:rPr>
                <w:noProof/>
                <w:webHidden/>
              </w:rPr>
              <w:tab/>
            </w:r>
            <w:r w:rsidR="005B009C">
              <w:rPr>
                <w:noProof/>
                <w:webHidden/>
              </w:rPr>
              <w:fldChar w:fldCharType="begin"/>
            </w:r>
            <w:r w:rsidR="005B009C">
              <w:rPr>
                <w:noProof/>
                <w:webHidden/>
              </w:rPr>
              <w:instrText xml:space="preserve"> PAGEREF _Toc191036154 \h </w:instrText>
            </w:r>
            <w:r w:rsidR="005B009C">
              <w:rPr>
                <w:noProof/>
                <w:webHidden/>
              </w:rPr>
            </w:r>
            <w:r w:rsidR="005B009C">
              <w:rPr>
                <w:noProof/>
                <w:webHidden/>
              </w:rPr>
              <w:fldChar w:fldCharType="separate"/>
            </w:r>
            <w:r w:rsidR="005B009C">
              <w:rPr>
                <w:noProof/>
                <w:webHidden/>
              </w:rPr>
              <w:t>5</w:t>
            </w:r>
            <w:r w:rsidR="005B009C">
              <w:rPr>
                <w:noProof/>
                <w:webHidden/>
              </w:rPr>
              <w:fldChar w:fldCharType="end"/>
            </w:r>
          </w:hyperlink>
        </w:p>
        <w:p w14:paraId="19E8A39D" w14:textId="3DFE56E0" w:rsidR="005B009C" w:rsidRDefault="009B0C11">
          <w:pPr>
            <w:pStyle w:val="TM1"/>
            <w:tabs>
              <w:tab w:val="right" w:leader="dot" w:pos="9062"/>
            </w:tabs>
            <w:rPr>
              <w:rFonts w:eastAsiaTheme="minorEastAsia"/>
              <w:noProof/>
              <w:sz w:val="24"/>
              <w:szCs w:val="24"/>
              <w:lang w:eastAsia="fr-FR"/>
            </w:rPr>
          </w:pPr>
          <w:hyperlink w:anchor="_Toc191036155" w:history="1">
            <w:r w:rsidR="005B009C" w:rsidRPr="001F641C">
              <w:rPr>
                <w:rStyle w:val="Lienhypertexte"/>
                <w:noProof/>
              </w:rPr>
              <w:t>Article 8. NON EXCLISIVITE DU SYSTEME D’ACQUISITION DYNAMIQUE</w:t>
            </w:r>
            <w:r w:rsidR="005B009C">
              <w:rPr>
                <w:noProof/>
                <w:webHidden/>
              </w:rPr>
              <w:tab/>
            </w:r>
            <w:r w:rsidR="005B009C">
              <w:rPr>
                <w:noProof/>
                <w:webHidden/>
              </w:rPr>
              <w:fldChar w:fldCharType="begin"/>
            </w:r>
            <w:r w:rsidR="005B009C">
              <w:rPr>
                <w:noProof/>
                <w:webHidden/>
              </w:rPr>
              <w:instrText xml:space="preserve"> PAGEREF _Toc191036155 \h </w:instrText>
            </w:r>
            <w:r w:rsidR="005B009C">
              <w:rPr>
                <w:noProof/>
                <w:webHidden/>
              </w:rPr>
            </w:r>
            <w:r w:rsidR="005B009C">
              <w:rPr>
                <w:noProof/>
                <w:webHidden/>
              </w:rPr>
              <w:fldChar w:fldCharType="separate"/>
            </w:r>
            <w:r w:rsidR="005B009C">
              <w:rPr>
                <w:noProof/>
                <w:webHidden/>
              </w:rPr>
              <w:t>7</w:t>
            </w:r>
            <w:r w:rsidR="005B009C">
              <w:rPr>
                <w:noProof/>
                <w:webHidden/>
              </w:rPr>
              <w:fldChar w:fldCharType="end"/>
            </w:r>
          </w:hyperlink>
        </w:p>
        <w:p w14:paraId="0CD98871" w14:textId="6BE10FA8" w:rsidR="005B009C" w:rsidRDefault="009B0C11">
          <w:pPr>
            <w:pStyle w:val="TM1"/>
            <w:tabs>
              <w:tab w:val="right" w:leader="dot" w:pos="9062"/>
            </w:tabs>
            <w:rPr>
              <w:rFonts w:eastAsiaTheme="minorEastAsia"/>
              <w:noProof/>
              <w:sz w:val="24"/>
              <w:szCs w:val="24"/>
              <w:lang w:eastAsia="fr-FR"/>
            </w:rPr>
          </w:pPr>
          <w:hyperlink w:anchor="_Toc191036156" w:history="1">
            <w:r w:rsidR="005B009C" w:rsidRPr="001F641C">
              <w:rPr>
                <w:rStyle w:val="Lienhypertexte"/>
                <w:noProof/>
              </w:rPr>
              <w:t>Article 9. ECHANGE AVEC LES OPERATEURS ECONOMIQUES</w:t>
            </w:r>
            <w:r w:rsidR="005B009C">
              <w:rPr>
                <w:noProof/>
                <w:webHidden/>
              </w:rPr>
              <w:tab/>
            </w:r>
            <w:r w:rsidR="005B009C">
              <w:rPr>
                <w:noProof/>
                <w:webHidden/>
              </w:rPr>
              <w:fldChar w:fldCharType="begin"/>
            </w:r>
            <w:r w:rsidR="005B009C">
              <w:rPr>
                <w:noProof/>
                <w:webHidden/>
              </w:rPr>
              <w:instrText xml:space="preserve"> PAGEREF _Toc191036156 \h </w:instrText>
            </w:r>
            <w:r w:rsidR="005B009C">
              <w:rPr>
                <w:noProof/>
                <w:webHidden/>
              </w:rPr>
            </w:r>
            <w:r w:rsidR="005B009C">
              <w:rPr>
                <w:noProof/>
                <w:webHidden/>
              </w:rPr>
              <w:fldChar w:fldCharType="separate"/>
            </w:r>
            <w:r w:rsidR="005B009C">
              <w:rPr>
                <w:noProof/>
                <w:webHidden/>
              </w:rPr>
              <w:t>7</w:t>
            </w:r>
            <w:r w:rsidR="005B009C">
              <w:rPr>
                <w:noProof/>
                <w:webHidden/>
              </w:rPr>
              <w:fldChar w:fldCharType="end"/>
            </w:r>
          </w:hyperlink>
        </w:p>
        <w:p w14:paraId="105418B1" w14:textId="305E7EA7" w:rsidR="005B009C" w:rsidRDefault="009B0C11">
          <w:pPr>
            <w:pStyle w:val="TM1"/>
            <w:tabs>
              <w:tab w:val="right" w:leader="dot" w:pos="9062"/>
            </w:tabs>
            <w:rPr>
              <w:rFonts w:eastAsiaTheme="minorEastAsia"/>
              <w:noProof/>
              <w:sz w:val="24"/>
              <w:szCs w:val="24"/>
              <w:lang w:eastAsia="fr-FR"/>
            </w:rPr>
          </w:pPr>
          <w:hyperlink w:anchor="_Toc191036157" w:history="1">
            <w:r w:rsidR="005B009C" w:rsidRPr="001F641C">
              <w:rPr>
                <w:rStyle w:val="Lienhypertexte"/>
                <w:noProof/>
              </w:rPr>
              <w:t>Article 10. RECOURS ET JURIDICTION COMPETENTE</w:t>
            </w:r>
            <w:r w:rsidR="005B009C">
              <w:rPr>
                <w:noProof/>
                <w:webHidden/>
              </w:rPr>
              <w:tab/>
            </w:r>
            <w:r w:rsidR="005B009C">
              <w:rPr>
                <w:noProof/>
                <w:webHidden/>
              </w:rPr>
              <w:fldChar w:fldCharType="begin"/>
            </w:r>
            <w:r w:rsidR="005B009C">
              <w:rPr>
                <w:noProof/>
                <w:webHidden/>
              </w:rPr>
              <w:instrText xml:space="preserve"> PAGEREF _Toc191036157 \h </w:instrText>
            </w:r>
            <w:r w:rsidR="005B009C">
              <w:rPr>
                <w:noProof/>
                <w:webHidden/>
              </w:rPr>
            </w:r>
            <w:r w:rsidR="005B009C">
              <w:rPr>
                <w:noProof/>
                <w:webHidden/>
              </w:rPr>
              <w:fldChar w:fldCharType="separate"/>
            </w:r>
            <w:r w:rsidR="005B009C">
              <w:rPr>
                <w:noProof/>
                <w:webHidden/>
              </w:rPr>
              <w:t>7</w:t>
            </w:r>
            <w:r w:rsidR="005B009C">
              <w:rPr>
                <w:noProof/>
                <w:webHidden/>
              </w:rPr>
              <w:fldChar w:fldCharType="end"/>
            </w:r>
          </w:hyperlink>
        </w:p>
        <w:p w14:paraId="381A0EFC" w14:textId="0543F647" w:rsidR="00351F3E" w:rsidRDefault="00351F3E">
          <w:r>
            <w:rPr>
              <w:b/>
              <w:bCs/>
            </w:rPr>
            <w:fldChar w:fldCharType="end"/>
          </w:r>
        </w:p>
      </w:sdtContent>
    </w:sdt>
    <w:p w14:paraId="277664DD" w14:textId="77777777" w:rsidR="00C565DF" w:rsidRDefault="00C565DF" w:rsidP="00C565DF">
      <w:bookmarkStart w:id="0" w:name="_Toc191036148"/>
    </w:p>
    <w:p w14:paraId="0A5C300D" w14:textId="77777777" w:rsidR="00C565DF" w:rsidRDefault="00C565DF" w:rsidP="00C565DF"/>
    <w:p w14:paraId="1F3E044B" w14:textId="77777777" w:rsidR="00C565DF" w:rsidRDefault="00C565DF" w:rsidP="00C565DF"/>
    <w:p w14:paraId="51950B89" w14:textId="77777777" w:rsidR="00C565DF" w:rsidRDefault="00C565DF" w:rsidP="00C565DF"/>
    <w:p w14:paraId="38C61BB6" w14:textId="77777777" w:rsidR="00C565DF" w:rsidRDefault="00C565DF" w:rsidP="00C565DF"/>
    <w:p w14:paraId="68EFD221" w14:textId="77777777" w:rsidR="00C565DF" w:rsidRDefault="00C565DF" w:rsidP="00C565DF"/>
    <w:p w14:paraId="385FB20E" w14:textId="77777777" w:rsidR="00C565DF" w:rsidRDefault="00C565DF" w:rsidP="00C565DF"/>
    <w:p w14:paraId="5D8773BF" w14:textId="77777777" w:rsidR="00C565DF" w:rsidRDefault="00C565DF" w:rsidP="00C565DF"/>
    <w:p w14:paraId="5CE6E80B" w14:textId="77777777" w:rsidR="00C565DF" w:rsidRDefault="00C565DF" w:rsidP="00C565DF"/>
    <w:p w14:paraId="1B20F46C" w14:textId="77777777" w:rsidR="00C565DF" w:rsidRDefault="00C565DF" w:rsidP="00C565DF"/>
    <w:p w14:paraId="6D7D4B89" w14:textId="77777777" w:rsidR="00C565DF" w:rsidRDefault="00C565DF" w:rsidP="00C565DF"/>
    <w:p w14:paraId="5874A651" w14:textId="77777777" w:rsidR="00C565DF" w:rsidRDefault="00C565DF" w:rsidP="00C565DF"/>
    <w:p w14:paraId="14DD4161" w14:textId="77777777" w:rsidR="00C565DF" w:rsidRDefault="00C565DF" w:rsidP="00C565DF"/>
    <w:p w14:paraId="3898D3EE" w14:textId="77777777" w:rsidR="00C565DF" w:rsidRDefault="00C565DF" w:rsidP="00C565DF"/>
    <w:p w14:paraId="5DF892F5" w14:textId="77777777" w:rsidR="00C565DF" w:rsidRDefault="00C565DF" w:rsidP="00C565DF"/>
    <w:p w14:paraId="129155FD" w14:textId="77777777" w:rsidR="00C565DF" w:rsidRDefault="00C565DF" w:rsidP="00C565DF"/>
    <w:p w14:paraId="4A0874E1" w14:textId="77777777" w:rsidR="00C565DF" w:rsidRDefault="00C565DF" w:rsidP="00C565DF"/>
    <w:p w14:paraId="4EE63FEB" w14:textId="77777777" w:rsidR="00C565DF" w:rsidRDefault="00C565DF" w:rsidP="00C565DF"/>
    <w:p w14:paraId="1191A84E" w14:textId="77777777" w:rsidR="00C565DF" w:rsidRPr="00C565DF" w:rsidRDefault="00C565DF" w:rsidP="00C565DF"/>
    <w:p w14:paraId="73758AEE" w14:textId="31EFBDE7" w:rsidR="0065200C" w:rsidRPr="0065200C" w:rsidRDefault="0065200C" w:rsidP="0065200C">
      <w:pPr>
        <w:pStyle w:val="Titre1"/>
      </w:pPr>
      <w:r>
        <w:lastRenderedPageBreak/>
        <w:t>PREAMBULE</w:t>
      </w:r>
    </w:p>
    <w:p w14:paraId="0D3F02CF" w14:textId="24FA56ED" w:rsidR="0065200C" w:rsidRPr="0065200C" w:rsidRDefault="0065200C" w:rsidP="0065200C">
      <w:pPr>
        <w:jc w:val="both"/>
        <w:rPr>
          <w:rFonts w:ascii="Aptos" w:eastAsia="Calibri" w:hAnsi="Aptos" w:cs="Times New Roman"/>
          <w:kern w:val="0"/>
          <w14:ligatures w14:val="none"/>
        </w:rPr>
      </w:pPr>
      <w:r w:rsidRPr="0065200C">
        <w:rPr>
          <w:rFonts w:ascii="Aptos" w:eastAsia="Calibri" w:hAnsi="Aptos" w:cs="Times New Roman"/>
          <w:kern w:val="0"/>
          <w14:ligatures w14:val="none"/>
        </w:rPr>
        <w:t>La consultation intervient dans le cadre du projet Interreg de 4 ans (financeur FEADER, démarrage avril 2024)</w:t>
      </w:r>
      <w:r w:rsidR="007618ED">
        <w:rPr>
          <w:rFonts w:ascii="Aptos" w:eastAsia="Calibri" w:hAnsi="Aptos" w:cs="Times New Roman"/>
          <w:kern w:val="0"/>
          <w14:ligatures w14:val="none"/>
        </w:rPr>
        <w:t xml:space="preserve"> ayant</w:t>
      </w:r>
      <w:r w:rsidRPr="0065200C">
        <w:rPr>
          <w:rFonts w:ascii="Aptos" w:eastAsia="Calibri" w:hAnsi="Aptos" w:cs="Times New Roman"/>
          <w:kern w:val="0"/>
          <w14:ligatures w14:val="none"/>
        </w:rPr>
        <w:t xml:space="preserve"> pour objectif de tester et évaluer des </w:t>
      </w:r>
      <w:r w:rsidR="0097211B">
        <w:rPr>
          <w:rFonts w:ascii="Aptos" w:eastAsia="Calibri" w:hAnsi="Aptos" w:cs="Times New Roman"/>
          <w:kern w:val="0"/>
          <w14:ligatures w14:val="none"/>
        </w:rPr>
        <w:t>Catégorie</w:t>
      </w:r>
      <w:r w:rsidRPr="0065200C">
        <w:rPr>
          <w:rFonts w:ascii="Aptos" w:eastAsia="Calibri" w:hAnsi="Aptos" w:cs="Times New Roman"/>
          <w:kern w:val="0"/>
          <w14:ligatures w14:val="none"/>
        </w:rPr>
        <w:t xml:space="preserve">s robotisées dans nos systèmes de cultures (pour les Hauts de France : betteraves sucrières, pommes de terre, légumes). </w:t>
      </w:r>
    </w:p>
    <w:p w14:paraId="7E353583" w14:textId="041B9A01" w:rsidR="0065200C" w:rsidRPr="0065200C" w:rsidRDefault="0065200C" w:rsidP="0065200C">
      <w:pPr>
        <w:jc w:val="both"/>
        <w:rPr>
          <w:rFonts w:ascii="Aptos" w:eastAsia="Calibri" w:hAnsi="Aptos" w:cs="Times New Roman"/>
          <w:kern w:val="0"/>
          <w14:ligatures w14:val="none"/>
        </w:rPr>
      </w:pPr>
      <w:r w:rsidRPr="0065200C">
        <w:rPr>
          <w:rFonts w:ascii="Aptos" w:eastAsia="Calibri" w:hAnsi="Aptos" w:cs="Times New Roman"/>
          <w:kern w:val="0"/>
          <w14:ligatures w14:val="none"/>
        </w:rPr>
        <w:t xml:space="preserve">Les premiers tests opérationnels débuteront au printemps </w:t>
      </w:r>
      <w:r w:rsidRPr="0065200C">
        <w:rPr>
          <w:rFonts w:ascii="Aptos" w:eastAsia="Calibri" w:hAnsi="Aptos" w:cs="Times New Roman"/>
          <w:bCs/>
          <w:kern w:val="0"/>
          <w14:ligatures w14:val="none"/>
        </w:rPr>
        <w:t>2025</w:t>
      </w:r>
      <w:r w:rsidRPr="0065200C">
        <w:rPr>
          <w:rFonts w:ascii="Aptos" w:eastAsia="Calibri" w:hAnsi="Aptos" w:cs="Times New Roman"/>
          <w:kern w:val="0"/>
          <w14:ligatures w14:val="none"/>
        </w:rPr>
        <w:t xml:space="preserve"> et s’étaleront sur une durée de </w:t>
      </w:r>
      <w:r w:rsidRPr="0065200C">
        <w:rPr>
          <w:rFonts w:ascii="Aptos" w:eastAsia="Calibri" w:hAnsi="Aptos" w:cs="Times New Roman"/>
          <w:bCs/>
          <w:kern w:val="0"/>
          <w14:ligatures w14:val="none"/>
        </w:rPr>
        <w:t>trois ans</w:t>
      </w:r>
      <w:r w:rsidRPr="0065200C">
        <w:rPr>
          <w:rFonts w:ascii="Aptos" w:eastAsia="Calibri" w:hAnsi="Aptos" w:cs="Times New Roman"/>
          <w:b/>
          <w:kern w:val="0"/>
          <w14:ligatures w14:val="none"/>
        </w:rPr>
        <w:t>.</w:t>
      </w:r>
    </w:p>
    <w:p w14:paraId="5175CDE3" w14:textId="5A2951D5" w:rsidR="00E675B2" w:rsidRDefault="009722C8" w:rsidP="00073708">
      <w:pPr>
        <w:pStyle w:val="Titre1"/>
      </w:pPr>
      <w:r>
        <w:t xml:space="preserve">Article 1. OBJET DE LA CONSULTATION </w:t>
      </w:r>
      <w:r w:rsidR="00B45389">
        <w:t>– DIPOSITION GENERALES</w:t>
      </w:r>
      <w:bookmarkEnd w:id="0"/>
    </w:p>
    <w:p w14:paraId="65A05681" w14:textId="529F2DF1" w:rsidR="009722C8" w:rsidRPr="00B45389" w:rsidRDefault="009722C8" w:rsidP="00351F3E">
      <w:pPr>
        <w:pStyle w:val="Sansinterligne"/>
        <w:numPr>
          <w:ilvl w:val="1"/>
          <w:numId w:val="6"/>
        </w:numPr>
        <w:jc w:val="both"/>
        <w:rPr>
          <w:u w:val="single"/>
        </w:rPr>
      </w:pPr>
      <w:r w:rsidRPr="00B45389">
        <w:rPr>
          <w:u w:val="single"/>
        </w:rPr>
        <w:t>Objet de la consultation</w:t>
      </w:r>
    </w:p>
    <w:p w14:paraId="48C86B1E" w14:textId="77777777" w:rsidR="00514435" w:rsidRPr="00B45389" w:rsidRDefault="00514435" w:rsidP="00351F3E">
      <w:pPr>
        <w:pStyle w:val="Sansinterligne"/>
        <w:ind w:left="1068"/>
        <w:jc w:val="both"/>
        <w:rPr>
          <w:u w:val="single"/>
        </w:rPr>
      </w:pPr>
    </w:p>
    <w:p w14:paraId="342A377B" w14:textId="707A2CFC" w:rsidR="00514435" w:rsidRDefault="00514435" w:rsidP="00351F3E">
      <w:pPr>
        <w:pStyle w:val="Sansinterligne"/>
        <w:jc w:val="both"/>
      </w:pPr>
      <w:r w:rsidRPr="00514435">
        <w:t xml:space="preserve">La consultation </w:t>
      </w:r>
      <w:r w:rsidR="00A6017F">
        <w:t xml:space="preserve">est un marché de service qui </w:t>
      </w:r>
      <w:r w:rsidRPr="00514435">
        <w:t>a pour objet la</w:t>
      </w:r>
      <w:r w:rsidR="00A6017F">
        <w:t xml:space="preserve"> location</w:t>
      </w:r>
      <w:r w:rsidR="0046665F" w:rsidRPr="0046665F">
        <w:rPr>
          <w:rFonts w:ascii="Verdana" w:eastAsia="Tahoma" w:hAnsi="Verdana" w:cs="Tahoma"/>
          <w:spacing w:val="-2"/>
          <w:kern w:val="0"/>
          <w:sz w:val="20"/>
          <w14:ligatures w14:val="none"/>
        </w:rPr>
        <w:t xml:space="preserve"> </w:t>
      </w:r>
      <w:r w:rsidR="0046665F" w:rsidRPr="0046665F">
        <w:rPr>
          <w:rFonts w:ascii="Verdana" w:eastAsia="Tahoma" w:hAnsi="Verdana" w:cs="Tahoma"/>
          <w:spacing w:val="-6"/>
          <w:kern w:val="0"/>
          <w:sz w:val="20"/>
          <w14:ligatures w14:val="none"/>
        </w:rPr>
        <w:t xml:space="preserve">de </w:t>
      </w:r>
      <w:r w:rsidR="0046665F" w:rsidRPr="0046665F">
        <w:rPr>
          <w:rFonts w:ascii="Verdana" w:eastAsia="Tahoma" w:hAnsi="Verdana" w:cs="Tahoma"/>
          <w:spacing w:val="-2"/>
          <w:kern w:val="0"/>
          <w:sz w:val="20"/>
          <w14:ligatures w14:val="none"/>
        </w:rPr>
        <w:t xml:space="preserve">robots autonomes </w:t>
      </w:r>
      <w:r w:rsidR="0046665F" w:rsidRPr="0046665F">
        <w:rPr>
          <w:rFonts w:ascii="Verdana" w:eastAsia="Tahoma" w:hAnsi="Verdana" w:cs="Tahoma"/>
          <w:spacing w:val="-6"/>
          <w:kern w:val="0"/>
          <w:sz w:val="20"/>
          <w14:ligatures w14:val="none"/>
        </w:rPr>
        <w:t>et</w:t>
      </w:r>
      <w:r w:rsidR="0046665F" w:rsidRPr="0046665F">
        <w:rPr>
          <w:rFonts w:ascii="Verdana" w:eastAsia="Tahoma" w:hAnsi="Verdana" w:cs="Tahoma"/>
          <w:kern w:val="0"/>
          <w:sz w:val="20"/>
          <w14:ligatures w14:val="none"/>
        </w:rPr>
        <w:t xml:space="preserve"> </w:t>
      </w:r>
      <w:r w:rsidR="0046665F" w:rsidRPr="0046665F">
        <w:rPr>
          <w:rFonts w:ascii="Verdana" w:eastAsia="Tahoma" w:hAnsi="Verdana" w:cs="Tahoma"/>
          <w:spacing w:val="-2"/>
          <w:kern w:val="0"/>
          <w:sz w:val="20"/>
          <w14:ligatures w14:val="none"/>
        </w:rPr>
        <w:t xml:space="preserve">matériel </w:t>
      </w:r>
      <w:r w:rsidR="0046665F" w:rsidRPr="0046665F">
        <w:rPr>
          <w:rFonts w:ascii="Verdana" w:eastAsia="Tahoma" w:hAnsi="Verdana" w:cs="Tahoma"/>
          <w:spacing w:val="-6"/>
          <w:kern w:val="0"/>
          <w:sz w:val="20"/>
          <w14:ligatures w14:val="none"/>
        </w:rPr>
        <w:t xml:space="preserve">de </w:t>
      </w:r>
      <w:r w:rsidR="0046665F" w:rsidRPr="0046665F">
        <w:rPr>
          <w:rFonts w:ascii="Verdana" w:eastAsia="Tahoma" w:hAnsi="Verdana" w:cs="Tahoma"/>
          <w:kern w:val="0"/>
          <w:sz w:val="20"/>
          <w14:ligatures w14:val="none"/>
        </w:rPr>
        <w:t>pulvérisation ciblée</w:t>
      </w:r>
      <w:r w:rsidR="0046665F">
        <w:t>.</w:t>
      </w:r>
      <w:r w:rsidR="00A6017F">
        <w:t xml:space="preserve"> </w:t>
      </w:r>
      <w:r w:rsidRPr="00514435">
        <w:t xml:space="preserve"> </w:t>
      </w:r>
    </w:p>
    <w:p w14:paraId="77B85E9C" w14:textId="77777777" w:rsidR="00514435" w:rsidRDefault="00514435" w:rsidP="00351F3E">
      <w:pPr>
        <w:pStyle w:val="Sansinterligne"/>
        <w:jc w:val="both"/>
      </w:pPr>
    </w:p>
    <w:p w14:paraId="6FC65713" w14:textId="5D05D6FA" w:rsidR="009722C8" w:rsidRDefault="00E44529" w:rsidP="00351F3E">
      <w:pPr>
        <w:ind w:left="708"/>
        <w:jc w:val="both"/>
      </w:pPr>
      <w:r>
        <w:t>1.</w:t>
      </w:r>
      <w:r w:rsidR="00B45389">
        <w:t>2</w:t>
      </w:r>
      <w:r>
        <w:t xml:space="preserve"> </w:t>
      </w:r>
      <w:r w:rsidR="009722C8" w:rsidRPr="00B45389">
        <w:rPr>
          <w:u w:val="single"/>
        </w:rPr>
        <w:t>Type de procédure</w:t>
      </w:r>
    </w:p>
    <w:p w14:paraId="02248DE0" w14:textId="25E38679" w:rsidR="00514435" w:rsidRDefault="00514435" w:rsidP="00351F3E">
      <w:pPr>
        <w:jc w:val="both"/>
      </w:pPr>
      <w:r w:rsidRPr="00514435">
        <w:t xml:space="preserve">La consultation est lancée en application de la procédure suivante : </w:t>
      </w:r>
      <w:r w:rsidR="00B45389">
        <w:t>d’appel</w:t>
      </w:r>
      <w:r w:rsidRPr="00514435">
        <w:t xml:space="preserve"> d</w:t>
      </w:r>
      <w:r w:rsidRPr="00514435">
        <w:rPr>
          <w:rFonts w:ascii="Aptos" w:hAnsi="Aptos" w:cs="Aptos"/>
        </w:rPr>
        <w:t>’</w:t>
      </w:r>
      <w:r w:rsidRPr="00514435">
        <w:t xml:space="preserve">offres ouvert Articles R. 2124-2-1 et R. 2161-2 </w:t>
      </w:r>
      <w:r w:rsidRPr="00514435">
        <w:rPr>
          <w:rFonts w:ascii="Aptos" w:hAnsi="Aptos" w:cs="Aptos"/>
        </w:rPr>
        <w:t>à</w:t>
      </w:r>
      <w:r w:rsidRPr="00514435">
        <w:t xml:space="preserve"> R. 2161-5 du Code de la commande publique</w:t>
      </w:r>
    </w:p>
    <w:p w14:paraId="53921626" w14:textId="0B6D4170" w:rsidR="009722C8" w:rsidRDefault="00E44529" w:rsidP="00351F3E">
      <w:pPr>
        <w:ind w:left="708"/>
        <w:jc w:val="both"/>
      </w:pPr>
      <w:r>
        <w:t xml:space="preserve">1.5 </w:t>
      </w:r>
      <w:r w:rsidR="009722C8" w:rsidRPr="00B45389">
        <w:rPr>
          <w:u w:val="single"/>
        </w:rPr>
        <w:t>Technique d’achat</w:t>
      </w:r>
    </w:p>
    <w:p w14:paraId="1EF516DC" w14:textId="3E3A7E80" w:rsidR="00514435" w:rsidRDefault="00514435" w:rsidP="00351F3E">
      <w:pPr>
        <w:jc w:val="both"/>
      </w:pPr>
      <w:r w:rsidRPr="00514435">
        <w:t>L</w:t>
      </w:r>
      <w:r w:rsidR="00A6017F">
        <w:t>a</w:t>
      </w:r>
      <w:r w:rsidRPr="00514435">
        <w:t xml:space="preserve"> technique</w:t>
      </w:r>
      <w:r w:rsidR="00A6017F">
        <w:t xml:space="preserve"> </w:t>
      </w:r>
      <w:r w:rsidRPr="00514435">
        <w:t xml:space="preserve">d’achat </w:t>
      </w:r>
      <w:r w:rsidR="00A6017F">
        <w:t>utilisé</w:t>
      </w:r>
      <w:r w:rsidR="00535F61">
        <w:t>e</w:t>
      </w:r>
      <w:r w:rsidR="00A6017F">
        <w:t xml:space="preserve"> pour ce marché est le système d’acquisition dynamique </w:t>
      </w:r>
      <w:r w:rsidR="00A6017F" w:rsidRPr="00A6017F">
        <w:t>en application des articles R2162-37 à R2162-51 du Code de la commande publique</w:t>
      </w:r>
      <w:r w:rsidR="00A6017F">
        <w:t>.</w:t>
      </w:r>
    </w:p>
    <w:p w14:paraId="5A077131" w14:textId="516BE9C9" w:rsidR="009722C8" w:rsidRPr="005B009C" w:rsidRDefault="00E44529" w:rsidP="00351F3E">
      <w:pPr>
        <w:ind w:left="708"/>
        <w:jc w:val="both"/>
      </w:pPr>
      <w:r w:rsidRPr="005B009C">
        <w:t xml:space="preserve">1.6 </w:t>
      </w:r>
      <w:r w:rsidRPr="005B009C">
        <w:rPr>
          <w:u w:val="single"/>
        </w:rPr>
        <w:t>Nomenclature</w:t>
      </w:r>
    </w:p>
    <w:p w14:paraId="023BC54F" w14:textId="0A6F6F22" w:rsidR="0036534C" w:rsidRDefault="0036534C" w:rsidP="00A179A9">
      <w:pPr>
        <w:jc w:val="both"/>
      </w:pPr>
      <w:r w:rsidRPr="0036534C">
        <w:t>Le code CPV principal du marché est le suivant : 16000000-5 - Machines agricoles</w:t>
      </w:r>
    </w:p>
    <w:p w14:paraId="0F130C74" w14:textId="2C07B15C" w:rsidR="00A179A9" w:rsidRPr="005B009C" w:rsidRDefault="00A179A9" w:rsidP="00A179A9">
      <w:pPr>
        <w:ind w:left="708"/>
        <w:jc w:val="both"/>
      </w:pPr>
      <w:r w:rsidRPr="005B009C">
        <w:t xml:space="preserve">1.7 </w:t>
      </w:r>
      <w:r w:rsidRPr="005B009C">
        <w:rPr>
          <w:u w:val="single"/>
        </w:rPr>
        <w:t>Groupement de commande</w:t>
      </w:r>
    </w:p>
    <w:p w14:paraId="765243B5" w14:textId="77777777" w:rsidR="00073708" w:rsidRDefault="00073708" w:rsidP="00073708">
      <w:pPr>
        <w:jc w:val="both"/>
      </w:pPr>
      <w:r w:rsidRPr="00073708">
        <w:t xml:space="preserve">Les entreprises peuvent présenter leur candidature ou leur offre sous forme de groupement solidaire ou de groupement conjoint. </w:t>
      </w:r>
    </w:p>
    <w:p w14:paraId="0986C81F" w14:textId="77777777" w:rsidR="00073708" w:rsidRDefault="00073708" w:rsidP="00073708">
      <w:pPr>
        <w:jc w:val="both"/>
      </w:pPr>
      <w:r w:rsidRPr="00073708">
        <w:t xml:space="preserve">L'entreprise mandataire d’un groupement ne peut représenter, en cette qualité, plus d'un groupement pour un même marché. </w:t>
      </w:r>
    </w:p>
    <w:p w14:paraId="31ADE590" w14:textId="4CFC63A0" w:rsidR="00A179A9" w:rsidRDefault="00073708" w:rsidP="00073708">
      <w:pPr>
        <w:jc w:val="both"/>
      </w:pPr>
      <w:r w:rsidRPr="00073708">
        <w:t>Il n'est pas autorisé aux candidats de se présenter à la fois en qualité de candidats individuels et de membres d'un ou plusieurs groupements</w:t>
      </w:r>
    </w:p>
    <w:p w14:paraId="5A34C229" w14:textId="1C373E50" w:rsidR="00B40832" w:rsidRDefault="00B40832" w:rsidP="00B40832">
      <w:pPr>
        <w:ind w:left="708"/>
        <w:jc w:val="both"/>
        <w:rPr>
          <w:u w:val="single"/>
        </w:rPr>
      </w:pPr>
      <w:r>
        <w:t xml:space="preserve">1.8 </w:t>
      </w:r>
      <w:r w:rsidRPr="00B40832">
        <w:rPr>
          <w:u w:val="single"/>
        </w:rPr>
        <w:t>Lieu d’exécution</w:t>
      </w:r>
    </w:p>
    <w:p w14:paraId="536FAEFD" w14:textId="55341698" w:rsidR="00B40832" w:rsidRPr="00A179A9" w:rsidRDefault="00B40832" w:rsidP="00B40832">
      <w:pPr>
        <w:jc w:val="both"/>
      </w:pPr>
      <w:r>
        <w:t>Les prestations s’exécuteront sur des territoires du Département de la Somme (80).</w:t>
      </w:r>
    </w:p>
    <w:p w14:paraId="68C42BC4" w14:textId="2837313C" w:rsidR="009722C8" w:rsidRDefault="009722C8" w:rsidP="00073708">
      <w:pPr>
        <w:pStyle w:val="Titre1"/>
      </w:pPr>
      <w:bookmarkStart w:id="1" w:name="_Toc191036149"/>
      <w:r>
        <w:t xml:space="preserve">Article 2. </w:t>
      </w:r>
      <w:r w:rsidR="00A6017F">
        <w:t>MODALITE DE FONCTIONNEMENT DU SYSTEME D’ACQUISITION DYNAMIQUE</w:t>
      </w:r>
      <w:bookmarkEnd w:id="1"/>
    </w:p>
    <w:p w14:paraId="40A74B65" w14:textId="00D34BEA" w:rsidR="00514435" w:rsidRPr="005B009C" w:rsidRDefault="00A6017F" w:rsidP="00A6017F">
      <w:pPr>
        <w:ind w:left="708"/>
        <w:jc w:val="both"/>
        <w:rPr>
          <w:u w:val="single"/>
        </w:rPr>
      </w:pPr>
      <w:r w:rsidRPr="005B009C">
        <w:t xml:space="preserve">2.1 </w:t>
      </w:r>
      <w:r w:rsidRPr="005B009C">
        <w:rPr>
          <w:u w:val="single"/>
        </w:rPr>
        <w:t>Décomposition en catégorie</w:t>
      </w:r>
    </w:p>
    <w:p w14:paraId="7DCAD05B" w14:textId="2A8E3B0A" w:rsidR="00A6017F" w:rsidRDefault="00A6017F" w:rsidP="00351F3E">
      <w:pPr>
        <w:jc w:val="both"/>
      </w:pPr>
      <w:r w:rsidRPr="00A6017F">
        <w:t xml:space="preserve">Cette subdivision en </w:t>
      </w:r>
      <w:r w:rsidR="0097211B" w:rsidRPr="00782D89">
        <w:t>Catégorie</w:t>
      </w:r>
      <w:r w:rsidRPr="00A6017F">
        <w:t xml:space="preserve"> se rapproche de la notion de lots. </w:t>
      </w:r>
    </w:p>
    <w:p w14:paraId="17150731" w14:textId="7C379022" w:rsidR="00A6017F" w:rsidRDefault="00A6017F" w:rsidP="00351F3E">
      <w:pPr>
        <w:jc w:val="both"/>
      </w:pPr>
      <w:r w:rsidRPr="00A6017F">
        <w:t xml:space="preserve">Le système d’acquisition dynamique est subdivisé en </w:t>
      </w:r>
      <w:r>
        <w:t>3</w:t>
      </w:r>
      <w:r w:rsidRPr="00A6017F">
        <w:t xml:space="preserve"> </w:t>
      </w:r>
      <w:r w:rsidR="0097211B">
        <w:t>Catégorie</w:t>
      </w:r>
      <w:r w:rsidR="0051175C">
        <w:t>s</w:t>
      </w:r>
      <w:r w:rsidRPr="00A6017F">
        <w:t xml:space="preserve"> définies ci-après </w:t>
      </w:r>
      <w:r w:rsidR="0065200C">
        <w:t>pour une culture, la betterave sucrière</w:t>
      </w:r>
    </w:p>
    <w:p w14:paraId="4D06069F" w14:textId="6DF7869D" w:rsidR="0046665F" w:rsidRDefault="0046665F" w:rsidP="00A179A9">
      <w:pPr>
        <w:pStyle w:val="Paragraphedeliste"/>
        <w:numPr>
          <w:ilvl w:val="0"/>
          <w:numId w:val="12"/>
        </w:numPr>
        <w:jc w:val="both"/>
        <w:rPr>
          <w:b/>
          <w:bCs/>
        </w:rPr>
      </w:pPr>
      <w:bookmarkStart w:id="2" w:name="_Hlk190960183"/>
      <w:r w:rsidRPr="0046665F">
        <w:rPr>
          <w:b/>
          <w:bCs/>
        </w:rPr>
        <w:t>Catégorie 1</w:t>
      </w:r>
      <w:r w:rsidR="00A6017F" w:rsidRPr="0046665F">
        <w:rPr>
          <w:b/>
          <w:bCs/>
        </w:rPr>
        <w:t xml:space="preserve"> : </w:t>
      </w:r>
      <w:bookmarkStart w:id="3" w:name="_Hlk190960201"/>
      <w:bookmarkEnd w:id="2"/>
      <w:r w:rsidR="0097211B">
        <w:rPr>
          <w:rFonts w:ascii="Aptos" w:eastAsia="Tahoma" w:hAnsi="Aptos" w:cs="Tahoma"/>
          <w:b/>
          <w:color w:val="000000"/>
          <w:kern w:val="0"/>
          <w14:ligatures w14:val="none"/>
        </w:rPr>
        <w:t>M</w:t>
      </w:r>
      <w:r w:rsidRPr="0046665F">
        <w:rPr>
          <w:rFonts w:ascii="Aptos" w:eastAsia="Tahoma" w:hAnsi="Aptos" w:cs="Tahoma"/>
          <w:b/>
          <w:color w:val="000000"/>
          <w:kern w:val="0"/>
          <w14:ligatures w14:val="none"/>
        </w:rPr>
        <w:t>atériel</w:t>
      </w:r>
      <w:r>
        <w:rPr>
          <w:rFonts w:ascii="Aptos" w:eastAsia="Tahoma" w:hAnsi="Aptos" w:cs="Tahoma"/>
          <w:b/>
          <w:color w:val="000000"/>
          <w:kern w:val="0"/>
          <w14:ligatures w14:val="none"/>
        </w:rPr>
        <w:t>s</w:t>
      </w:r>
      <w:r w:rsidRPr="0046665F">
        <w:rPr>
          <w:rFonts w:ascii="Aptos" w:eastAsia="Tahoma" w:hAnsi="Aptos" w:cs="Tahoma"/>
          <w:b/>
          <w:color w:val="000000"/>
          <w:spacing w:val="-4"/>
          <w:kern w:val="0"/>
          <w14:ligatures w14:val="none"/>
        </w:rPr>
        <w:t xml:space="preserve"> </w:t>
      </w:r>
      <w:r w:rsidRPr="0046665F">
        <w:rPr>
          <w:rFonts w:ascii="Aptos" w:eastAsia="Tahoma" w:hAnsi="Aptos" w:cs="Tahoma"/>
          <w:b/>
          <w:color w:val="000000"/>
          <w:kern w:val="0"/>
          <w14:ligatures w14:val="none"/>
        </w:rPr>
        <w:t>de</w:t>
      </w:r>
      <w:r w:rsidRPr="0046665F">
        <w:rPr>
          <w:rFonts w:ascii="Aptos" w:eastAsia="Tahoma" w:hAnsi="Aptos" w:cs="Tahoma"/>
          <w:b/>
          <w:color w:val="000000"/>
          <w:spacing w:val="-5"/>
          <w:kern w:val="0"/>
          <w14:ligatures w14:val="none"/>
        </w:rPr>
        <w:t xml:space="preserve"> </w:t>
      </w:r>
      <w:r w:rsidRPr="0046665F">
        <w:rPr>
          <w:rFonts w:ascii="Aptos" w:eastAsia="Tahoma" w:hAnsi="Aptos" w:cs="Tahoma"/>
          <w:b/>
          <w:color w:val="000000"/>
          <w:kern w:val="0"/>
          <w14:ligatures w14:val="none"/>
        </w:rPr>
        <w:t>pulvérisation</w:t>
      </w:r>
      <w:r w:rsidRPr="0046665F">
        <w:rPr>
          <w:rFonts w:ascii="Aptos" w:eastAsia="Tahoma" w:hAnsi="Aptos" w:cs="Tahoma"/>
          <w:b/>
          <w:color w:val="000000"/>
          <w:spacing w:val="-4"/>
          <w:kern w:val="0"/>
          <w14:ligatures w14:val="none"/>
        </w:rPr>
        <w:t xml:space="preserve"> </w:t>
      </w:r>
      <w:r w:rsidRPr="0046665F">
        <w:rPr>
          <w:rFonts w:ascii="Aptos" w:eastAsia="Tahoma" w:hAnsi="Aptos" w:cs="Tahoma"/>
          <w:b/>
          <w:color w:val="000000"/>
          <w:spacing w:val="-2"/>
          <w:kern w:val="0"/>
          <w14:ligatures w14:val="none"/>
        </w:rPr>
        <w:t>ciblée</w:t>
      </w:r>
      <w:r w:rsidRPr="0046665F">
        <w:rPr>
          <w:b/>
          <w:bCs/>
        </w:rPr>
        <w:t xml:space="preserve"> </w:t>
      </w:r>
    </w:p>
    <w:p w14:paraId="02586188" w14:textId="5372D9BB" w:rsidR="00A6017F" w:rsidRPr="00A0381B" w:rsidRDefault="0046665F" w:rsidP="00A179A9">
      <w:pPr>
        <w:pStyle w:val="Paragraphedeliste"/>
        <w:numPr>
          <w:ilvl w:val="0"/>
          <w:numId w:val="12"/>
        </w:numPr>
        <w:jc w:val="both"/>
        <w:rPr>
          <w:b/>
          <w:bCs/>
        </w:rPr>
      </w:pPr>
      <w:r>
        <w:rPr>
          <w:b/>
          <w:bCs/>
        </w:rPr>
        <w:t>Catégorie 2</w:t>
      </w:r>
      <w:r w:rsidR="00A6017F" w:rsidRPr="0046665F">
        <w:rPr>
          <w:b/>
          <w:bCs/>
        </w:rPr>
        <w:t xml:space="preserve"> : </w:t>
      </w:r>
      <w:r w:rsidR="0097211B">
        <w:rPr>
          <w:rFonts w:eastAsia="Calibri" w:cs="Times New Roman"/>
          <w:b/>
          <w:bCs/>
          <w:kern w:val="0"/>
          <w14:ligatures w14:val="none"/>
        </w:rPr>
        <w:t>R</w:t>
      </w:r>
      <w:r w:rsidRPr="0046665F">
        <w:rPr>
          <w:rFonts w:eastAsia="Calibri" w:cs="Times New Roman"/>
          <w:b/>
          <w:bCs/>
          <w:kern w:val="0"/>
          <w14:ligatures w14:val="none"/>
        </w:rPr>
        <w:t xml:space="preserve">obot </w:t>
      </w:r>
      <w:r w:rsidRPr="00A0381B">
        <w:rPr>
          <w:rFonts w:eastAsia="Calibri" w:cs="Times New Roman"/>
          <w:b/>
          <w:bCs/>
          <w:kern w:val="0"/>
          <w14:ligatures w14:val="none"/>
        </w:rPr>
        <w:t>autonome pour le semis et le désherbage</w:t>
      </w:r>
    </w:p>
    <w:p w14:paraId="06E7FC30" w14:textId="79253AA1" w:rsidR="0046665F" w:rsidRDefault="0046665F" w:rsidP="00A179A9">
      <w:pPr>
        <w:pStyle w:val="Paragraphedeliste"/>
        <w:numPr>
          <w:ilvl w:val="0"/>
          <w:numId w:val="12"/>
        </w:numPr>
        <w:jc w:val="both"/>
        <w:rPr>
          <w:b/>
          <w:bCs/>
        </w:rPr>
      </w:pPr>
      <w:r w:rsidRPr="00A0381B">
        <w:rPr>
          <w:b/>
          <w:bCs/>
        </w:rPr>
        <w:lastRenderedPageBreak/>
        <w:t xml:space="preserve">Catégorie 3 : </w:t>
      </w:r>
      <w:r w:rsidR="0097211B" w:rsidRPr="00A0381B">
        <w:rPr>
          <w:b/>
          <w:bCs/>
        </w:rPr>
        <w:t>R</w:t>
      </w:r>
      <w:r w:rsidRPr="00A0381B">
        <w:rPr>
          <w:b/>
          <w:bCs/>
        </w:rPr>
        <w:t>obot autonome porte-outils</w:t>
      </w:r>
      <w:r w:rsidRPr="0046665F">
        <w:rPr>
          <w:b/>
          <w:bCs/>
        </w:rPr>
        <w:t xml:space="preserve"> pour</w:t>
      </w:r>
      <w:r>
        <w:rPr>
          <w:b/>
          <w:bCs/>
        </w:rPr>
        <w:t xml:space="preserve"> la préparation de sol, le semi</w:t>
      </w:r>
      <w:r w:rsidR="00535F61">
        <w:rPr>
          <w:b/>
          <w:bCs/>
        </w:rPr>
        <w:t>s</w:t>
      </w:r>
      <w:r>
        <w:rPr>
          <w:b/>
          <w:bCs/>
        </w:rPr>
        <w:t xml:space="preserve"> et le désherbage</w:t>
      </w:r>
    </w:p>
    <w:p w14:paraId="24472BF3" w14:textId="0DE84766" w:rsidR="00A0381B" w:rsidRPr="00782D89" w:rsidRDefault="00A0381B" w:rsidP="00A179A9">
      <w:pPr>
        <w:pStyle w:val="Paragraphedeliste"/>
        <w:numPr>
          <w:ilvl w:val="0"/>
          <w:numId w:val="12"/>
        </w:numPr>
        <w:jc w:val="both"/>
        <w:rPr>
          <w:b/>
          <w:bCs/>
        </w:rPr>
      </w:pPr>
      <w:r w:rsidRPr="00782D89">
        <w:rPr>
          <w:b/>
          <w:bCs/>
        </w:rPr>
        <w:t>Catégorie 4 : Robot autonome de désherbage</w:t>
      </w:r>
      <w:r w:rsidR="00782D89">
        <w:rPr>
          <w:b/>
          <w:bCs/>
        </w:rPr>
        <w:t xml:space="preserve"> par</w:t>
      </w:r>
      <w:r w:rsidRPr="00782D89">
        <w:rPr>
          <w:b/>
          <w:bCs/>
        </w:rPr>
        <w:t xml:space="preserve"> « voie mécanique » </w:t>
      </w:r>
      <w:r w:rsidR="00782D89">
        <w:rPr>
          <w:b/>
          <w:bCs/>
        </w:rPr>
        <w:t xml:space="preserve">ou </w:t>
      </w:r>
      <w:r w:rsidRPr="00782D89">
        <w:rPr>
          <w:b/>
          <w:bCs/>
        </w:rPr>
        <w:t xml:space="preserve">chaleur ou par laser </w:t>
      </w:r>
    </w:p>
    <w:bookmarkEnd w:id="3"/>
    <w:p w14:paraId="2422BD1C" w14:textId="6BAA4B95" w:rsidR="00025E66" w:rsidRPr="005B009C" w:rsidRDefault="00025E66" w:rsidP="00025E66">
      <w:pPr>
        <w:ind w:left="708"/>
        <w:jc w:val="both"/>
      </w:pPr>
      <w:r w:rsidRPr="005B009C">
        <w:t xml:space="preserve">2.2 </w:t>
      </w:r>
      <w:r w:rsidRPr="005B009C">
        <w:rPr>
          <w:u w:val="single"/>
        </w:rPr>
        <w:t>Marchés spécifique</w:t>
      </w:r>
      <w:r w:rsidR="00A179A9" w:rsidRPr="005B009C">
        <w:rPr>
          <w:u w:val="single"/>
        </w:rPr>
        <w:t>s</w:t>
      </w:r>
    </w:p>
    <w:p w14:paraId="3AD38711" w14:textId="1AEA7BB8" w:rsidR="00025E66" w:rsidRDefault="00025E66" w:rsidP="00025E66">
      <w:pPr>
        <w:jc w:val="both"/>
      </w:pPr>
      <w:r w:rsidRPr="00025E66">
        <w:t>Lors de la survenance d’un besoin, l</w:t>
      </w:r>
      <w:r>
        <w:t xml:space="preserve">e pouvoir adjudicateur </w:t>
      </w:r>
      <w:r w:rsidRPr="00025E66">
        <w:t xml:space="preserve">consulte les entreprises </w:t>
      </w:r>
      <w:r w:rsidR="00A179A9">
        <w:t>acceptées</w:t>
      </w:r>
      <w:r w:rsidRPr="00025E66">
        <w:t xml:space="preserve"> sur la </w:t>
      </w:r>
      <w:r w:rsidR="0097211B">
        <w:t>Catégorie</w:t>
      </w:r>
      <w:r w:rsidRPr="00025E66">
        <w:t xml:space="preserve"> </w:t>
      </w:r>
      <w:r w:rsidR="0051175C">
        <w:t xml:space="preserve">concernée </w:t>
      </w:r>
      <w:r w:rsidRPr="00025E66">
        <w:t>et sollicite une offre. Après analyse des offres, l’une des entreprises se verra attribuer la commande. Cette commande prend la forme d’un marché spécifique</w:t>
      </w:r>
      <w:r w:rsidR="00E51963">
        <w:t>.</w:t>
      </w:r>
    </w:p>
    <w:p w14:paraId="4EA536DB" w14:textId="7E70699B" w:rsidR="00E51963" w:rsidRDefault="00E51963" w:rsidP="00025E66">
      <w:pPr>
        <w:jc w:val="both"/>
      </w:pPr>
      <w:r w:rsidRPr="00E51963">
        <w:t xml:space="preserve">Chaque marché </w:t>
      </w:r>
      <w:r w:rsidR="00782D89">
        <w:t xml:space="preserve">spécifique </w:t>
      </w:r>
      <w:proofErr w:type="spellStart"/>
      <w:r w:rsidR="00782D89">
        <w:t>a</w:t>
      </w:r>
      <w:proofErr w:type="spellEnd"/>
      <w:r w:rsidR="00782D89">
        <w:t xml:space="preserve"> </w:t>
      </w:r>
      <w:r w:rsidRPr="00782D89">
        <w:t>ses</w:t>
      </w:r>
      <w:r w:rsidRPr="00E51963">
        <w:t xml:space="preserve"> </w:t>
      </w:r>
      <w:r>
        <w:t>conditions d’exécution.</w:t>
      </w:r>
    </w:p>
    <w:p w14:paraId="07DF65A0" w14:textId="7842CA1F" w:rsidR="00E51963" w:rsidRDefault="00E51963" w:rsidP="00025E66">
      <w:pPr>
        <w:jc w:val="both"/>
      </w:pPr>
      <w:r w:rsidRPr="00E51963">
        <w:t xml:space="preserve">Le délai laissé pour remettre une offre </w:t>
      </w:r>
      <w:r>
        <w:t xml:space="preserve">dans le cadre d’un marché spécifique </w:t>
      </w:r>
      <w:r w:rsidRPr="00E51963">
        <w:t>ne peut être inférieur à 10 jours.</w:t>
      </w:r>
    </w:p>
    <w:p w14:paraId="2066886D" w14:textId="7F622469" w:rsidR="00025E66" w:rsidRPr="005B009C" w:rsidRDefault="00025E66" w:rsidP="00025E66">
      <w:pPr>
        <w:ind w:left="708"/>
        <w:jc w:val="both"/>
      </w:pPr>
      <w:r w:rsidRPr="005B009C">
        <w:t xml:space="preserve">2.3 </w:t>
      </w:r>
      <w:r w:rsidRPr="005B009C">
        <w:rPr>
          <w:u w:val="single"/>
        </w:rPr>
        <w:t>Limitatio</w:t>
      </w:r>
      <w:r w:rsidR="00A179A9" w:rsidRPr="005B009C">
        <w:rPr>
          <w:u w:val="single"/>
        </w:rPr>
        <w:t>n de proposition d’offre</w:t>
      </w:r>
    </w:p>
    <w:p w14:paraId="5E156F4B" w14:textId="66F80DC3" w:rsidR="00025E66" w:rsidRDefault="00025E66" w:rsidP="00025E66">
      <w:pPr>
        <w:jc w:val="both"/>
      </w:pPr>
      <w:r w:rsidRPr="00025E66">
        <w:t>Les candidats peuvent</w:t>
      </w:r>
      <w:r>
        <w:t xml:space="preserve"> proposer des offres </w:t>
      </w:r>
      <w:r w:rsidRPr="00025E66">
        <w:t>pour une, plusieurs ou toutes le</w:t>
      </w:r>
      <w:r>
        <w:t xml:space="preserve">s </w:t>
      </w:r>
      <w:r w:rsidR="0097211B">
        <w:t>Catégorie</w:t>
      </w:r>
      <w:r>
        <w:t>s</w:t>
      </w:r>
      <w:r w:rsidRPr="00025E66">
        <w:t>.</w:t>
      </w:r>
    </w:p>
    <w:p w14:paraId="52C5ACFD" w14:textId="24A59159" w:rsidR="00025E66" w:rsidRPr="005B009C" w:rsidRDefault="00025E66" w:rsidP="00025E66">
      <w:pPr>
        <w:ind w:left="708"/>
        <w:jc w:val="both"/>
      </w:pPr>
      <w:r w:rsidRPr="005B009C">
        <w:t xml:space="preserve">2.4 </w:t>
      </w:r>
      <w:r w:rsidRPr="005B009C">
        <w:rPr>
          <w:u w:val="single"/>
        </w:rPr>
        <w:t>Montant</w:t>
      </w:r>
    </w:p>
    <w:p w14:paraId="0BD5A65D" w14:textId="55A991D8" w:rsidR="00A179A9" w:rsidRDefault="00025E66" w:rsidP="00025E66">
      <w:pPr>
        <w:jc w:val="both"/>
      </w:pPr>
      <w:r w:rsidRPr="00025E66">
        <w:t xml:space="preserve">Le SAD est défini </w:t>
      </w:r>
      <w:r>
        <w:t>dans la</w:t>
      </w:r>
      <w:r w:rsidRPr="00025E66">
        <w:t xml:space="preserve"> limite d</w:t>
      </w:r>
      <w:r>
        <w:t>’un</w:t>
      </w:r>
      <w:r w:rsidRPr="00025E66">
        <w:t xml:space="preserve"> montant maximum</w:t>
      </w:r>
      <w:r>
        <w:t xml:space="preserve"> de 150 000 € Hors taxe</w:t>
      </w:r>
      <w:r w:rsidR="0097211B">
        <w:t>.</w:t>
      </w:r>
    </w:p>
    <w:p w14:paraId="022B3311" w14:textId="06E4CE3F" w:rsidR="00025E66" w:rsidRPr="005B009C" w:rsidRDefault="00025E66" w:rsidP="00025E66">
      <w:pPr>
        <w:ind w:left="708"/>
        <w:jc w:val="both"/>
      </w:pPr>
      <w:r w:rsidRPr="005B009C">
        <w:t xml:space="preserve">2.5 </w:t>
      </w:r>
      <w:r w:rsidRPr="005B009C">
        <w:rPr>
          <w:u w:val="single"/>
        </w:rPr>
        <w:t>Durée et délai de validité</w:t>
      </w:r>
      <w:r w:rsidRPr="005B009C">
        <w:t xml:space="preserve"> </w:t>
      </w:r>
    </w:p>
    <w:p w14:paraId="7ADE96F5" w14:textId="77777777" w:rsidR="00025E66" w:rsidRDefault="00025E66" w:rsidP="00025E66">
      <w:pPr>
        <w:jc w:val="both"/>
      </w:pPr>
      <w:r w:rsidRPr="00025E66">
        <w:t xml:space="preserve">Le présent SAD est ouvert pendant </w:t>
      </w:r>
      <w:r>
        <w:t>3</w:t>
      </w:r>
      <w:r w:rsidRPr="00025E66">
        <w:t xml:space="preserve"> ans avec les précisions suivantes : </w:t>
      </w:r>
    </w:p>
    <w:p w14:paraId="0DE5AA92" w14:textId="3040CA55" w:rsidR="00E51963" w:rsidRDefault="00025E66" w:rsidP="00025E66">
      <w:pPr>
        <w:pStyle w:val="Paragraphedeliste"/>
        <w:numPr>
          <w:ilvl w:val="0"/>
          <w:numId w:val="7"/>
        </w:numPr>
        <w:jc w:val="both"/>
      </w:pPr>
      <w:r w:rsidRPr="00025E66">
        <w:t xml:space="preserve">Les candidatures pourront être déposées tout au long de la durée du SAD et au plus tard le </w:t>
      </w:r>
      <w:r w:rsidR="00782D89">
        <w:t>31/10/2027</w:t>
      </w:r>
      <w:r w:rsidRPr="00025E66">
        <w:t xml:space="preserve"> à 12h00. </w:t>
      </w:r>
    </w:p>
    <w:p w14:paraId="57ACB18C" w14:textId="05A258D2" w:rsidR="00E51963" w:rsidRDefault="00025E66" w:rsidP="00025E66">
      <w:pPr>
        <w:pStyle w:val="Paragraphedeliste"/>
        <w:numPr>
          <w:ilvl w:val="0"/>
          <w:numId w:val="7"/>
        </w:numPr>
        <w:jc w:val="both"/>
      </w:pPr>
      <w:bookmarkStart w:id="4" w:name="_Hlk191034318"/>
      <w:r w:rsidRPr="00025E66">
        <w:t xml:space="preserve">Les consultations en vue de la passation d’un marché spécifique pourront être lancées au plus tard jusqu’au </w:t>
      </w:r>
      <w:r w:rsidR="0097211B">
        <w:t>10</w:t>
      </w:r>
      <w:r w:rsidRPr="00025E66">
        <w:t>/</w:t>
      </w:r>
      <w:r w:rsidR="00DB1430">
        <w:t>1</w:t>
      </w:r>
      <w:r w:rsidR="00782D89">
        <w:t>1</w:t>
      </w:r>
      <w:r w:rsidRPr="00025E66">
        <w:t>/202</w:t>
      </w:r>
      <w:bookmarkEnd w:id="4"/>
      <w:r w:rsidR="00782D89">
        <w:t>7</w:t>
      </w:r>
      <w:r w:rsidRPr="00025E66">
        <w:t xml:space="preserve">. </w:t>
      </w:r>
    </w:p>
    <w:p w14:paraId="57DEE915" w14:textId="42B82CBF" w:rsidR="0065200C" w:rsidRPr="0065200C" w:rsidRDefault="00E51963" w:rsidP="0051175C">
      <w:pPr>
        <w:jc w:val="both"/>
        <w:rPr>
          <w:b/>
          <w:bCs/>
        </w:rPr>
      </w:pPr>
      <w:r w:rsidRPr="0065200C">
        <w:rPr>
          <w:b/>
          <w:bCs/>
        </w:rPr>
        <w:t xml:space="preserve">S'agissant d'une expérimentation nouvelle, toutes les </w:t>
      </w:r>
      <w:r w:rsidR="0097211B">
        <w:rPr>
          <w:b/>
          <w:bCs/>
        </w:rPr>
        <w:t>Catégorie</w:t>
      </w:r>
      <w:r w:rsidRPr="0065200C">
        <w:rPr>
          <w:b/>
          <w:bCs/>
        </w:rPr>
        <w:t xml:space="preserve">s seront testées par </w:t>
      </w:r>
      <w:r w:rsidR="0051175C" w:rsidRPr="0065200C">
        <w:rPr>
          <w:b/>
          <w:bCs/>
        </w:rPr>
        <w:t>besoin de désherbage</w:t>
      </w:r>
      <w:r w:rsidRPr="0065200C">
        <w:rPr>
          <w:b/>
          <w:bCs/>
        </w:rPr>
        <w:t xml:space="preserve"> sur la durée du SAD</w:t>
      </w:r>
      <w:r w:rsidR="0065200C" w:rsidRPr="0065200C">
        <w:rPr>
          <w:b/>
          <w:bCs/>
        </w:rPr>
        <w:t xml:space="preserve"> pour les cultures suivantes : betteraves sucrières, Pomme de terre et Haricots/Flageolets. Cette liste n’est pas exhaustive. D’autres cultures peuvent être intégrées au cours de la validité du système.</w:t>
      </w:r>
    </w:p>
    <w:p w14:paraId="78BA98ED" w14:textId="1F425EEC" w:rsidR="00E51963" w:rsidRDefault="00E51963" w:rsidP="00E51963">
      <w:pPr>
        <w:jc w:val="both"/>
      </w:pPr>
      <w:r w:rsidRPr="00E51963">
        <w:t>L</w:t>
      </w:r>
      <w:r>
        <w:t xml:space="preserve">e pouvoir adjudicateur </w:t>
      </w:r>
      <w:r w:rsidRPr="00E51963">
        <w:t>pourra exceptionnellement modifier la période de validité du SAD dans les conditions prévues par l’article R2162-40 du Code de la Commande Publique ; les opérateurs agréés sont informés par écrit de la modification de la période de validité et de ses conséquences. Un avis est publié pour signaler la nouvelle période de validité. Dans le cas où une modification de la durée de la période de validité du SAD viendrait à mettre fin à celui-ci, alors cette fin anticipée n’ouvrira droit à aucune indemnité.</w:t>
      </w:r>
    </w:p>
    <w:p w14:paraId="6274E89B" w14:textId="4D0254CC" w:rsidR="00E51963" w:rsidRPr="005B009C" w:rsidRDefault="00E51963" w:rsidP="00E51963">
      <w:pPr>
        <w:ind w:left="708"/>
        <w:jc w:val="both"/>
      </w:pPr>
      <w:r w:rsidRPr="005B009C">
        <w:t xml:space="preserve">2.6 </w:t>
      </w:r>
      <w:r w:rsidRPr="005B009C">
        <w:rPr>
          <w:u w:val="single"/>
        </w:rPr>
        <w:t>Ouverture aux autres candidatures</w:t>
      </w:r>
      <w:r w:rsidRPr="005B009C">
        <w:t xml:space="preserve"> </w:t>
      </w:r>
    </w:p>
    <w:p w14:paraId="596115A7" w14:textId="39CC5BE9" w:rsidR="00025E66" w:rsidRPr="00514435" w:rsidRDefault="00E51963" w:rsidP="00A6017F">
      <w:pPr>
        <w:jc w:val="both"/>
      </w:pPr>
      <w:r w:rsidRPr="00E51963">
        <w:t>Si les marchés spécifiques ne peuvent être conclus qu’avec les entreprises agrées (procédure restreinte), le système d’acquisition dynamique est cependant un système ouvert aux nouvelles candidatures pendant toute sa période de validité.</w:t>
      </w:r>
    </w:p>
    <w:p w14:paraId="4A9C3E36" w14:textId="0AA953D2" w:rsidR="009722C8" w:rsidRDefault="009722C8" w:rsidP="00073708">
      <w:pPr>
        <w:pStyle w:val="Titre1"/>
      </w:pPr>
      <w:bookmarkStart w:id="5" w:name="_Toc191036150"/>
      <w:r>
        <w:t xml:space="preserve">Article 3. </w:t>
      </w:r>
      <w:r w:rsidR="00E51963">
        <w:t>DOSSIER DE CONSULTATION DES ENTREPRISES</w:t>
      </w:r>
      <w:bookmarkEnd w:id="5"/>
    </w:p>
    <w:p w14:paraId="6FD7D853" w14:textId="77777777" w:rsidR="00C127E7" w:rsidRDefault="00E51963" w:rsidP="00351F3E">
      <w:pPr>
        <w:jc w:val="both"/>
      </w:pPr>
      <w:r w:rsidRPr="00E51963">
        <w:t xml:space="preserve">Le présent dossier de consultation des entreprises comprend les pièces ci-après : </w:t>
      </w:r>
    </w:p>
    <w:p w14:paraId="0E52DFDC" w14:textId="244F6739" w:rsidR="00C127E7" w:rsidRDefault="00E51963" w:rsidP="00C127E7">
      <w:pPr>
        <w:pStyle w:val="Paragraphedeliste"/>
        <w:numPr>
          <w:ilvl w:val="0"/>
          <w:numId w:val="8"/>
        </w:numPr>
        <w:jc w:val="both"/>
      </w:pPr>
      <w:r w:rsidRPr="00E51963">
        <w:t xml:space="preserve">La notice SAD, c’est quoi ? </w:t>
      </w:r>
    </w:p>
    <w:p w14:paraId="5761084B" w14:textId="77777777" w:rsidR="00C127E7" w:rsidRDefault="00E51963" w:rsidP="00C127E7">
      <w:pPr>
        <w:pStyle w:val="Paragraphedeliste"/>
        <w:numPr>
          <w:ilvl w:val="0"/>
          <w:numId w:val="8"/>
        </w:numPr>
        <w:jc w:val="both"/>
      </w:pPr>
      <w:r w:rsidRPr="00E51963">
        <w:lastRenderedPageBreak/>
        <w:t xml:space="preserve">Le présent règlement de la consultation </w:t>
      </w:r>
    </w:p>
    <w:p w14:paraId="7A70EFEB" w14:textId="0DF3A72C" w:rsidR="00E51963" w:rsidRDefault="00E51963" w:rsidP="00C127E7">
      <w:pPr>
        <w:pStyle w:val="Paragraphedeliste"/>
        <w:numPr>
          <w:ilvl w:val="0"/>
          <w:numId w:val="8"/>
        </w:numPr>
        <w:jc w:val="both"/>
      </w:pPr>
      <w:r w:rsidRPr="00E51963">
        <w:t>Le formulaire de candidature</w:t>
      </w:r>
    </w:p>
    <w:p w14:paraId="5AEBADEA" w14:textId="7CED47E6" w:rsidR="009722C8" w:rsidRDefault="009722C8" w:rsidP="00073708">
      <w:pPr>
        <w:pStyle w:val="Titre1"/>
      </w:pPr>
      <w:bookmarkStart w:id="6" w:name="_Toc191036151"/>
      <w:r>
        <w:t xml:space="preserve">Article 4. </w:t>
      </w:r>
      <w:r w:rsidR="00EA6447">
        <w:t>PRESENTATION DES CANDIDATURES</w:t>
      </w:r>
      <w:r w:rsidR="00802035">
        <w:t xml:space="preserve"> ET DES OFFRES</w:t>
      </w:r>
      <w:bookmarkEnd w:id="6"/>
    </w:p>
    <w:p w14:paraId="5FC59891" w14:textId="33F326BE" w:rsidR="009722C8" w:rsidRDefault="009722C8" w:rsidP="00351F3E">
      <w:pPr>
        <w:ind w:left="708"/>
        <w:jc w:val="both"/>
      </w:pPr>
      <w:bookmarkStart w:id="7" w:name="_Hlk191032938"/>
      <w:r>
        <w:t xml:space="preserve">4.1 </w:t>
      </w:r>
      <w:r w:rsidRPr="005B009C">
        <w:rPr>
          <w:u w:val="single"/>
        </w:rPr>
        <w:t>D</w:t>
      </w:r>
      <w:r w:rsidR="00EA6447" w:rsidRPr="005B009C">
        <w:rPr>
          <w:u w:val="single"/>
        </w:rPr>
        <w:t>ossier de candidature</w:t>
      </w:r>
      <w:r w:rsidR="00EA6447">
        <w:t xml:space="preserve"> </w:t>
      </w:r>
    </w:p>
    <w:bookmarkEnd w:id="7"/>
    <w:p w14:paraId="0D7BE352" w14:textId="77777777" w:rsidR="00EA6447" w:rsidRPr="00EA6447" w:rsidRDefault="00EA6447" w:rsidP="00EA6447">
      <w:pPr>
        <w:jc w:val="both"/>
      </w:pPr>
      <w:r w:rsidRPr="00EA6447">
        <w:t xml:space="preserve">Le dossier de consultation est composé des pièces suivantes : </w:t>
      </w:r>
    </w:p>
    <w:p w14:paraId="4BA10266" w14:textId="638C5E0F" w:rsidR="005B5DB5" w:rsidRDefault="00EA6447" w:rsidP="00EA6447">
      <w:pPr>
        <w:pStyle w:val="Paragraphedeliste"/>
        <w:numPr>
          <w:ilvl w:val="0"/>
          <w:numId w:val="10"/>
        </w:numPr>
        <w:jc w:val="both"/>
      </w:pPr>
      <w:r w:rsidRPr="00EA6447">
        <w:t>Le formulaire de candidature</w:t>
      </w:r>
      <w:r w:rsidR="00802035">
        <w:t xml:space="preserve"> dûment rempli</w:t>
      </w:r>
    </w:p>
    <w:p w14:paraId="46B4C1CB" w14:textId="77777777" w:rsidR="00802035" w:rsidRDefault="00802035" w:rsidP="00EA6447">
      <w:pPr>
        <w:pStyle w:val="Paragraphedeliste"/>
        <w:numPr>
          <w:ilvl w:val="0"/>
          <w:numId w:val="10"/>
        </w:numPr>
        <w:jc w:val="both"/>
      </w:pPr>
      <w:r>
        <w:t xml:space="preserve">Pouvoir de la personne habilitée à représenter le candidat </w:t>
      </w:r>
    </w:p>
    <w:p w14:paraId="02416697" w14:textId="010D11B2" w:rsidR="00EA6447" w:rsidRDefault="00802035" w:rsidP="00EA6447">
      <w:pPr>
        <w:pStyle w:val="Paragraphedeliste"/>
        <w:numPr>
          <w:ilvl w:val="0"/>
          <w:numId w:val="10"/>
        </w:numPr>
        <w:jc w:val="both"/>
      </w:pPr>
      <w:r>
        <w:t>L</w:t>
      </w:r>
      <w:r w:rsidR="00EA6447" w:rsidRPr="00EA6447">
        <w:t>a désignation du mandataire</w:t>
      </w:r>
      <w:r>
        <w:t xml:space="preserve"> en cas de groupement</w:t>
      </w:r>
      <w:r w:rsidR="00EA6447" w:rsidRPr="00EA6447">
        <w:t xml:space="preserve"> </w:t>
      </w:r>
    </w:p>
    <w:p w14:paraId="6275DB41" w14:textId="77777777" w:rsidR="00802035" w:rsidRDefault="00EA6447" w:rsidP="00EA6447">
      <w:pPr>
        <w:pStyle w:val="Paragraphedeliste"/>
        <w:numPr>
          <w:ilvl w:val="0"/>
          <w:numId w:val="10"/>
        </w:numPr>
        <w:jc w:val="both"/>
      </w:pPr>
      <w:r w:rsidRPr="00EA6447">
        <w:t>Une déclaration concernant le chiffre d'affaires global au cours des trois derniers exercices disponibles,</w:t>
      </w:r>
    </w:p>
    <w:p w14:paraId="5D7E4382" w14:textId="50656C05" w:rsidR="00EA6447" w:rsidRDefault="00802035" w:rsidP="00EA6447">
      <w:pPr>
        <w:pStyle w:val="Paragraphedeliste"/>
        <w:numPr>
          <w:ilvl w:val="0"/>
          <w:numId w:val="10"/>
        </w:numPr>
        <w:jc w:val="both"/>
      </w:pPr>
      <w:r>
        <w:t>Les références des prestations similaires au</w:t>
      </w:r>
      <w:r w:rsidR="00EA6447" w:rsidRPr="00EA6447">
        <w:t xml:space="preserve"> </w:t>
      </w:r>
      <w:r>
        <w:t>cours des 5 dernières années.</w:t>
      </w:r>
    </w:p>
    <w:p w14:paraId="5EA1A500" w14:textId="447C18DA" w:rsidR="00802035" w:rsidRDefault="00EA6447" w:rsidP="00802035">
      <w:pPr>
        <w:pStyle w:val="Paragraphedeliste"/>
        <w:numPr>
          <w:ilvl w:val="0"/>
          <w:numId w:val="10"/>
        </w:numPr>
        <w:jc w:val="both"/>
      </w:pPr>
      <w:r w:rsidRPr="00EA6447">
        <w:t xml:space="preserve">Une déclaration indiquant les moyens humains et matériels de l’entreprise. </w:t>
      </w:r>
    </w:p>
    <w:p w14:paraId="4D3BD097" w14:textId="77777777" w:rsidR="00802035" w:rsidRDefault="00802035" w:rsidP="00802035">
      <w:pPr>
        <w:pStyle w:val="Paragraphedeliste"/>
        <w:numPr>
          <w:ilvl w:val="0"/>
          <w:numId w:val="10"/>
        </w:numPr>
        <w:jc w:val="both"/>
      </w:pPr>
      <w:r>
        <w:t>Déclaration sur l’honneur du candidat justifiant qu’il n’entre dans aucun des cas mentionnés aux articles L.2141-1 et aux 1° et 3° de l’article L.2141-4 du CCP, concernant les interdictions de soumissionner et notamment qu’il est en règle au regard des articles L. 5212-1 à L. 5212-11 du code du travail concernant l’emploi des travailleurs handicapés,</w:t>
      </w:r>
    </w:p>
    <w:p w14:paraId="7C9C13CF" w14:textId="70695516" w:rsidR="00802035" w:rsidRDefault="00802035" w:rsidP="00802035">
      <w:pPr>
        <w:pStyle w:val="Paragraphedeliste"/>
        <w:numPr>
          <w:ilvl w:val="0"/>
          <w:numId w:val="10"/>
        </w:numPr>
        <w:jc w:val="both"/>
      </w:pPr>
      <w:r>
        <w:t xml:space="preserve"> Copie du ou des jugements prononcés si le candidat est en redressement judiciaire.</w:t>
      </w:r>
    </w:p>
    <w:p w14:paraId="4E52EA43" w14:textId="1914DFD6" w:rsidR="00802035" w:rsidRDefault="00EA6447" w:rsidP="00EA6447">
      <w:pPr>
        <w:jc w:val="both"/>
      </w:pPr>
      <w:r w:rsidRPr="00EA6447">
        <w:t>Pour apporter la justification de ses capacités professionnelles, techniques et financières, le candidat peut également demander que soient prises en compte les capacités professionnelles, techniques et financières d’autres opérateurs économiques, quelle que soit la nature juridique des liens existants entre ces opérateurs et lui (cotraitance et sous-traitance notamment). Dans ce cas, le candidat doit justifier dès sa candidature des capacités de ce ou ces opérateurs économiques et apporter la preuve qu’il en disposera pour l’exécution du marché.</w:t>
      </w:r>
    </w:p>
    <w:p w14:paraId="72887804" w14:textId="1D06E237" w:rsidR="00802035" w:rsidRPr="0051175C" w:rsidRDefault="00802035" w:rsidP="00802035">
      <w:pPr>
        <w:ind w:left="708"/>
        <w:jc w:val="both"/>
      </w:pPr>
      <w:r w:rsidRPr="00802035">
        <w:t>4.</w:t>
      </w:r>
      <w:r w:rsidRPr="0051175C">
        <w:t>2</w:t>
      </w:r>
      <w:r w:rsidRPr="00802035">
        <w:t xml:space="preserve"> </w:t>
      </w:r>
      <w:r w:rsidRPr="00802035">
        <w:rPr>
          <w:u w:val="single"/>
        </w:rPr>
        <w:t xml:space="preserve">Dossier de </w:t>
      </w:r>
      <w:r w:rsidRPr="0051175C">
        <w:rPr>
          <w:u w:val="single"/>
        </w:rPr>
        <w:t>l’offre</w:t>
      </w:r>
      <w:r w:rsidRPr="00802035">
        <w:t xml:space="preserve"> </w:t>
      </w:r>
    </w:p>
    <w:p w14:paraId="27C15A39" w14:textId="7355154A" w:rsidR="00802035" w:rsidRDefault="00802035" w:rsidP="00EA6447">
      <w:pPr>
        <w:jc w:val="both"/>
      </w:pPr>
      <w:r>
        <w:t>Le dossier de l’offre sera détaillé dans la lettre d’invitation à soumissionner au stade de la passation des marchés spécifiques.</w:t>
      </w:r>
    </w:p>
    <w:p w14:paraId="5D275B06" w14:textId="2E29DB95" w:rsidR="009722C8" w:rsidRDefault="009722C8" w:rsidP="00073708">
      <w:pPr>
        <w:pStyle w:val="Titre1"/>
      </w:pPr>
      <w:bookmarkStart w:id="8" w:name="_Toc191036152"/>
      <w:r>
        <w:t xml:space="preserve">Article </w:t>
      </w:r>
      <w:r w:rsidR="0051175C">
        <w:t>5</w:t>
      </w:r>
      <w:r>
        <w:t xml:space="preserve">. CONDITIONS DE REMISE DES </w:t>
      </w:r>
      <w:r w:rsidR="0051175C">
        <w:t>CANDIDATURES</w:t>
      </w:r>
      <w:bookmarkEnd w:id="8"/>
    </w:p>
    <w:p w14:paraId="361671E3" w14:textId="3061359F" w:rsidR="009722C8" w:rsidRPr="005B009C" w:rsidRDefault="004E6862" w:rsidP="00351F3E">
      <w:pPr>
        <w:ind w:left="708"/>
        <w:jc w:val="both"/>
      </w:pPr>
      <w:r w:rsidRPr="005B009C">
        <w:t>5</w:t>
      </w:r>
      <w:r w:rsidR="009722C8" w:rsidRPr="005B009C">
        <w:t>.</w:t>
      </w:r>
      <w:r w:rsidRPr="005B009C">
        <w:t xml:space="preserve">1 </w:t>
      </w:r>
      <w:r w:rsidR="009722C8" w:rsidRPr="005B009C">
        <w:rPr>
          <w:u w:val="single"/>
        </w:rPr>
        <w:t>Transmission électronique</w:t>
      </w:r>
    </w:p>
    <w:p w14:paraId="1026B9AC" w14:textId="5BF09DC8" w:rsidR="009B0C11" w:rsidRDefault="000039F8" w:rsidP="00351F3E">
      <w:pPr>
        <w:jc w:val="both"/>
      </w:pPr>
      <w:r w:rsidRPr="000039F8">
        <w:t xml:space="preserve">La consultation étant totalement dématérialisée, </w:t>
      </w:r>
      <w:r w:rsidR="00193175">
        <w:t>l</w:t>
      </w:r>
      <w:r w:rsidR="00193175" w:rsidRPr="00193175">
        <w:t xml:space="preserve">es candidats déposent leur candidature exclusivement par voie électronique sur le profil d’acheteur de </w:t>
      </w:r>
      <w:r w:rsidR="00193175">
        <w:t xml:space="preserve">la Chambre d’agriculture de la Somme </w:t>
      </w:r>
      <w:r w:rsidR="00193175" w:rsidRPr="00193175">
        <w:t xml:space="preserve">pendant la durée du SAD, à l’adresse </w:t>
      </w:r>
      <w:r w:rsidR="00193175" w:rsidRPr="00017E9E">
        <w:t xml:space="preserve">suivante : </w:t>
      </w:r>
      <w:hyperlink r:id="rId7" w:history="1">
        <w:r w:rsidR="009B0C11" w:rsidRPr="00AD791F">
          <w:rPr>
            <w:rStyle w:val="Lienhypertexte"/>
          </w:rPr>
          <w:t>https://www.marches-publics.gouv.fr/entreprise</w:t>
        </w:r>
      </w:hyperlink>
      <w:r w:rsidR="009B0C11" w:rsidRPr="009B0C11">
        <w:t xml:space="preserve"> </w:t>
      </w:r>
    </w:p>
    <w:p w14:paraId="76D3CF9E" w14:textId="3FC1FD7F" w:rsidR="004E6862" w:rsidRDefault="00193175" w:rsidP="00351F3E">
      <w:pPr>
        <w:jc w:val="both"/>
      </w:pPr>
      <w:r>
        <w:t xml:space="preserve">Toute candidature </w:t>
      </w:r>
      <w:r w:rsidR="000039F8" w:rsidRPr="000039F8">
        <w:t>reçu</w:t>
      </w:r>
      <w:r>
        <w:t>e</w:t>
      </w:r>
      <w:r w:rsidR="000039F8" w:rsidRPr="000039F8">
        <w:t xml:space="preserve"> par voie papier sera déclarée irrégulière, sans possibilité de régularisation. </w:t>
      </w:r>
    </w:p>
    <w:p w14:paraId="4E1EE11D" w14:textId="77777777" w:rsidR="004E6862" w:rsidRPr="004E6862" w:rsidRDefault="004E6862" w:rsidP="004E6862">
      <w:pPr>
        <w:jc w:val="both"/>
      </w:pPr>
      <w:r w:rsidRPr="004E6862">
        <w:t xml:space="preserve">Chaque transmission fera l'objet d'une date certaine de réception et d'un accusé de réception électronique. A ce titre, le fuseau horaire de référence est celui de Paris. </w:t>
      </w:r>
    </w:p>
    <w:p w14:paraId="2FAEF7E4" w14:textId="77777777" w:rsidR="004E6862" w:rsidRDefault="004E6862" w:rsidP="004E6862">
      <w:pPr>
        <w:jc w:val="both"/>
      </w:pPr>
      <w:r w:rsidRPr="004E6862">
        <w:t xml:space="preserve">Le pli sera considéré « hors délai » si le téléchargement se termine après la date et l'heure limites de réception des offres. </w:t>
      </w:r>
    </w:p>
    <w:p w14:paraId="6E6A3ADC" w14:textId="7C60FBF6" w:rsidR="004E6862" w:rsidRDefault="004E6862" w:rsidP="004E6862">
      <w:pPr>
        <w:jc w:val="both"/>
      </w:pPr>
      <w:r w:rsidRPr="004E6862">
        <w:lastRenderedPageBreak/>
        <w:t xml:space="preserve">Si plusieurs plis sont transmis successivement par le même candidat, seul le dernier pli transmis dans le délai imparti est pris en compte par l'acheteur. </w:t>
      </w:r>
    </w:p>
    <w:p w14:paraId="11AEF107" w14:textId="204ABE10" w:rsidR="004E6862" w:rsidRDefault="004E6862" w:rsidP="004E6862">
      <w:pPr>
        <w:jc w:val="both"/>
      </w:pPr>
      <w:r w:rsidRPr="004E6862">
        <w:t>Il doit par conséquent contenir l'ensemble des pièces exigées au titre de la présente consultation.</w:t>
      </w:r>
    </w:p>
    <w:p w14:paraId="47C7D48E" w14:textId="18C11EFE" w:rsidR="004E6862" w:rsidRDefault="004E6862" w:rsidP="00351F3E">
      <w:pPr>
        <w:jc w:val="both"/>
      </w:pPr>
      <w:r w:rsidRPr="004E6862">
        <w:t xml:space="preserve">Les </w:t>
      </w:r>
      <w:r>
        <w:t>candidatures</w:t>
      </w:r>
      <w:r w:rsidRPr="004E6862">
        <w:t xml:space="preserve"> devront parvenir à destination avant la date et l'heure limites de réception des </w:t>
      </w:r>
      <w:r>
        <w:t xml:space="preserve">candidatures </w:t>
      </w:r>
      <w:r w:rsidRPr="004E6862">
        <w:t xml:space="preserve">indiquées au présent règlement de consultation. </w:t>
      </w:r>
    </w:p>
    <w:p w14:paraId="5ABAAD75" w14:textId="348FBC02" w:rsidR="00193175" w:rsidRPr="005B009C" w:rsidRDefault="004E6862" w:rsidP="00193175">
      <w:pPr>
        <w:ind w:left="708"/>
        <w:jc w:val="both"/>
      </w:pPr>
      <w:r w:rsidRPr="005B009C">
        <w:t xml:space="preserve">5.2 </w:t>
      </w:r>
      <w:r w:rsidR="00193175" w:rsidRPr="005B009C">
        <w:rPr>
          <w:u w:val="single"/>
        </w:rPr>
        <w:t>Signature électronique</w:t>
      </w:r>
    </w:p>
    <w:p w14:paraId="454AFF13" w14:textId="5A977B7B" w:rsidR="00193175" w:rsidRDefault="00193175" w:rsidP="00193175">
      <w:pPr>
        <w:jc w:val="both"/>
      </w:pPr>
      <w:r>
        <w:t xml:space="preserve">La signature électronique n’est pas obligatoire  </w:t>
      </w:r>
    </w:p>
    <w:p w14:paraId="1B851F41" w14:textId="1188B9C2" w:rsidR="000039F8" w:rsidRDefault="000039F8" w:rsidP="00351F3E">
      <w:pPr>
        <w:jc w:val="both"/>
      </w:pPr>
      <w:r w:rsidRPr="000039F8">
        <w:t xml:space="preserve">Les candidats sont informés que seules les pièces du marché devront être signées électroniquement par les attributaires à l’issue de la procédure. </w:t>
      </w:r>
    </w:p>
    <w:p w14:paraId="4E7384DA" w14:textId="0662A60B" w:rsidR="000039F8" w:rsidRDefault="000039F8" w:rsidP="00351F3E">
      <w:pPr>
        <w:jc w:val="both"/>
      </w:pPr>
      <w:r w:rsidRPr="000039F8">
        <w:t xml:space="preserve">L’acheteur sollicitera ces derniers afin qu’ils signent à l’achèvement de la procédure </w:t>
      </w:r>
    </w:p>
    <w:p w14:paraId="1828EF34" w14:textId="77777777" w:rsidR="000039F8" w:rsidRDefault="000039F8" w:rsidP="00351F3E">
      <w:pPr>
        <w:jc w:val="both"/>
      </w:pPr>
      <w:r w:rsidRPr="000039F8">
        <w:t xml:space="preserve">Le certificat électronique doit être détenu par une personne ayant capacité d’engager le candidat dans le cadre de la consultation. </w:t>
      </w:r>
    </w:p>
    <w:p w14:paraId="01A8A8DB" w14:textId="77777777" w:rsidR="000039F8" w:rsidRDefault="000039F8" w:rsidP="00351F3E">
      <w:pPr>
        <w:jc w:val="both"/>
      </w:pPr>
      <w:r w:rsidRPr="000039F8">
        <w:t xml:space="preserve">Le certificat doit être valide lors de la signature. </w:t>
      </w:r>
    </w:p>
    <w:p w14:paraId="0EE3962E" w14:textId="756D6AD7" w:rsidR="000039F8" w:rsidRDefault="000039F8" w:rsidP="00351F3E">
      <w:pPr>
        <w:jc w:val="both"/>
      </w:pPr>
      <w:r w:rsidRPr="000039F8">
        <w:t>L’obtention d’un certificat électronique étant soumise à un délai variable, il est impératif que le candidat en anticipe l’acquisition ou le renouvellement le cas échéant.</w:t>
      </w:r>
    </w:p>
    <w:p w14:paraId="1872D290" w14:textId="02684805" w:rsidR="009722C8" w:rsidRPr="005B009C" w:rsidRDefault="004E6862" w:rsidP="00351F3E">
      <w:pPr>
        <w:ind w:left="708"/>
        <w:jc w:val="both"/>
      </w:pPr>
      <w:r w:rsidRPr="005B009C">
        <w:t>5</w:t>
      </w:r>
      <w:r w:rsidR="009722C8" w:rsidRPr="005B009C">
        <w:t>.</w:t>
      </w:r>
      <w:r w:rsidRPr="005B009C">
        <w:t>3</w:t>
      </w:r>
      <w:r w:rsidR="009722C8" w:rsidRPr="005B009C">
        <w:t xml:space="preserve"> </w:t>
      </w:r>
      <w:r w:rsidR="009722C8" w:rsidRPr="005B009C">
        <w:rPr>
          <w:u w:val="single"/>
        </w:rPr>
        <w:t>Copie de sauvegarde</w:t>
      </w:r>
    </w:p>
    <w:p w14:paraId="13ECE2D0" w14:textId="77777777" w:rsidR="0051175C" w:rsidRDefault="000039F8" w:rsidP="00351F3E">
      <w:pPr>
        <w:jc w:val="both"/>
      </w:pPr>
      <w:r w:rsidRPr="000039F8">
        <w:t xml:space="preserve">Le pli peut être doublé d'une copie de sauvegarde transmise dans les délais impartis, sur support physique électronique (clé </w:t>
      </w:r>
      <w:proofErr w:type="spellStart"/>
      <w:r w:rsidRPr="000039F8">
        <w:t>usb</w:t>
      </w:r>
      <w:proofErr w:type="spellEnd"/>
      <w:r w:rsidRPr="000039F8">
        <w:t xml:space="preserve">) ou sur papier. Cette copie doit être placée dans un pli portant la mention « copie de sauvegarde », ainsi que le nom du candidat et l'identification de la consultation. Elle est ouverte dans les cas suivants : </w:t>
      </w:r>
    </w:p>
    <w:p w14:paraId="5138E540" w14:textId="0F547592" w:rsidR="0051175C" w:rsidRDefault="0051175C" w:rsidP="0051175C">
      <w:pPr>
        <w:pStyle w:val="Paragraphedeliste"/>
        <w:numPr>
          <w:ilvl w:val="0"/>
          <w:numId w:val="18"/>
        </w:numPr>
        <w:jc w:val="both"/>
      </w:pPr>
      <w:r w:rsidRPr="000039F8">
        <w:t>Lorsqu’un</w:t>
      </w:r>
      <w:r w:rsidR="000039F8" w:rsidRPr="000039F8">
        <w:t xml:space="preserve"> programme informatique malveillant est détecté dans le pli transmis par voie électronique </w:t>
      </w:r>
    </w:p>
    <w:p w14:paraId="6BB99B7F" w14:textId="44AB1394" w:rsidR="0051175C" w:rsidRDefault="0051175C" w:rsidP="0051175C">
      <w:pPr>
        <w:pStyle w:val="Paragraphedeliste"/>
        <w:numPr>
          <w:ilvl w:val="0"/>
          <w:numId w:val="18"/>
        </w:numPr>
        <w:jc w:val="both"/>
      </w:pPr>
      <w:r w:rsidRPr="000039F8">
        <w:t>Lorsque</w:t>
      </w:r>
      <w:r w:rsidR="000039F8" w:rsidRPr="000039F8">
        <w:t xml:space="preserve"> le pli électronique est reçu de façon incomplète, hors délai ou n'a pu être ouvert, à condition que sa transmission ait commencée avant la clôture de la remise des plis. </w:t>
      </w:r>
    </w:p>
    <w:p w14:paraId="08EEED44" w14:textId="7CD065EC" w:rsidR="000039F8" w:rsidRDefault="000039F8" w:rsidP="0051175C">
      <w:pPr>
        <w:jc w:val="both"/>
      </w:pPr>
      <w:r w:rsidRPr="000039F8">
        <w:t>La copie de sauvegarde peut être transmise ou déposée à l'adresse suivante</w:t>
      </w:r>
      <w:r w:rsidR="0051175C">
        <w:t> :</w:t>
      </w:r>
    </w:p>
    <w:p w14:paraId="09EF22A6" w14:textId="17FB1FE9" w:rsidR="0036534C" w:rsidRDefault="0036534C" w:rsidP="0036534C">
      <w:pPr>
        <w:pBdr>
          <w:top w:val="single" w:sz="4" w:space="1" w:color="auto"/>
          <w:left w:val="single" w:sz="4" w:space="4" w:color="auto"/>
          <w:bottom w:val="single" w:sz="4" w:space="1" w:color="auto"/>
          <w:right w:val="single" w:sz="4" w:space="4" w:color="auto"/>
        </w:pBdr>
        <w:spacing w:after="0"/>
        <w:jc w:val="center"/>
        <w:rPr>
          <w:b/>
          <w:bCs/>
        </w:rPr>
      </w:pPr>
      <w:r w:rsidRPr="0036534C">
        <w:rPr>
          <w:b/>
          <w:bCs/>
        </w:rPr>
        <w:t xml:space="preserve">CHAMBRE D’AGRICULTURE </w:t>
      </w:r>
      <w:r w:rsidR="00782D89">
        <w:rPr>
          <w:b/>
          <w:bCs/>
        </w:rPr>
        <w:t>DE LA SOMME</w:t>
      </w:r>
    </w:p>
    <w:p w14:paraId="0A0F6810" w14:textId="2D615463" w:rsidR="0036534C" w:rsidRPr="0036534C" w:rsidRDefault="0036534C" w:rsidP="0036534C">
      <w:pPr>
        <w:pBdr>
          <w:top w:val="single" w:sz="4" w:space="1" w:color="auto"/>
          <w:left w:val="single" w:sz="4" w:space="4" w:color="auto"/>
          <w:bottom w:val="single" w:sz="4" w:space="1" w:color="auto"/>
          <w:right w:val="single" w:sz="4" w:space="4" w:color="auto"/>
        </w:pBdr>
        <w:spacing w:after="0"/>
        <w:jc w:val="center"/>
        <w:rPr>
          <w:b/>
          <w:bCs/>
        </w:rPr>
      </w:pPr>
      <w:r w:rsidRPr="0036534C">
        <w:rPr>
          <w:b/>
          <w:bCs/>
        </w:rPr>
        <w:t>Direction des affaires financières</w:t>
      </w:r>
    </w:p>
    <w:p w14:paraId="0B37C227" w14:textId="5E6D3C0B" w:rsidR="0036534C" w:rsidRPr="0036534C" w:rsidRDefault="0036534C" w:rsidP="0036534C">
      <w:pPr>
        <w:pBdr>
          <w:top w:val="single" w:sz="4" w:space="1" w:color="auto"/>
          <w:left w:val="single" w:sz="4" w:space="4" w:color="auto"/>
          <w:bottom w:val="single" w:sz="4" w:space="1" w:color="auto"/>
          <w:right w:val="single" w:sz="4" w:space="4" w:color="auto"/>
        </w:pBdr>
        <w:spacing w:after="0"/>
        <w:jc w:val="center"/>
        <w:rPr>
          <w:b/>
          <w:bCs/>
        </w:rPr>
      </w:pPr>
      <w:r w:rsidRPr="0036534C">
        <w:rPr>
          <w:b/>
          <w:bCs/>
        </w:rPr>
        <w:t>Services achats et marchés</w:t>
      </w:r>
    </w:p>
    <w:p w14:paraId="6F7FFF27" w14:textId="76964ED9" w:rsidR="0051175C" w:rsidRPr="0036534C" w:rsidRDefault="0051175C" w:rsidP="0036534C">
      <w:pPr>
        <w:pBdr>
          <w:top w:val="single" w:sz="4" w:space="1" w:color="auto"/>
          <w:left w:val="single" w:sz="4" w:space="4" w:color="auto"/>
          <w:bottom w:val="single" w:sz="4" w:space="1" w:color="auto"/>
          <w:right w:val="single" w:sz="4" w:space="4" w:color="auto"/>
        </w:pBdr>
        <w:spacing w:after="0"/>
        <w:jc w:val="center"/>
        <w:rPr>
          <w:b/>
          <w:bCs/>
        </w:rPr>
      </w:pPr>
      <w:r w:rsidRPr="0036534C">
        <w:rPr>
          <w:b/>
          <w:bCs/>
        </w:rPr>
        <w:t>19 bis rue Alexandre Dumas</w:t>
      </w:r>
    </w:p>
    <w:p w14:paraId="02AC717C" w14:textId="1EB552F7" w:rsidR="00DB1430" w:rsidRDefault="00DB1430" w:rsidP="0036534C">
      <w:pPr>
        <w:pBdr>
          <w:top w:val="single" w:sz="4" w:space="1" w:color="auto"/>
          <w:left w:val="single" w:sz="4" w:space="4" w:color="auto"/>
          <w:bottom w:val="single" w:sz="4" w:space="1" w:color="auto"/>
          <w:right w:val="single" w:sz="4" w:space="4" w:color="auto"/>
        </w:pBdr>
        <w:spacing w:after="0"/>
        <w:jc w:val="center"/>
      </w:pPr>
      <w:r w:rsidRPr="0036534C">
        <w:rPr>
          <w:b/>
          <w:bCs/>
        </w:rPr>
        <w:t>80</w:t>
      </w:r>
      <w:r w:rsidR="0036534C" w:rsidRPr="0036534C">
        <w:rPr>
          <w:b/>
          <w:bCs/>
        </w:rPr>
        <w:t>096 Amiens</w:t>
      </w:r>
    </w:p>
    <w:p w14:paraId="4669B205" w14:textId="08A4EBF3" w:rsidR="009722C8" w:rsidRDefault="009722C8" w:rsidP="00073708">
      <w:pPr>
        <w:pStyle w:val="Titre1"/>
      </w:pPr>
      <w:bookmarkStart w:id="9" w:name="_Toc191036153"/>
      <w:r>
        <w:t xml:space="preserve">Article </w:t>
      </w:r>
      <w:r w:rsidR="004E6862">
        <w:t>6</w:t>
      </w:r>
      <w:r>
        <w:t>. EXAMEN DES CANDIDATURES</w:t>
      </w:r>
      <w:r w:rsidR="00E44529">
        <w:t xml:space="preserve"> </w:t>
      </w:r>
      <w:r w:rsidR="006C37BB">
        <w:t>ADMISES DANS LE SAD</w:t>
      </w:r>
      <w:bookmarkEnd w:id="9"/>
    </w:p>
    <w:p w14:paraId="5565D4CA" w14:textId="542E4FAF" w:rsidR="005B5DB5" w:rsidRDefault="004E6862" w:rsidP="005B5DB5">
      <w:pPr>
        <w:ind w:left="708"/>
        <w:jc w:val="both"/>
      </w:pPr>
      <w:r>
        <w:t xml:space="preserve">6.1 </w:t>
      </w:r>
      <w:r w:rsidR="005B5DB5" w:rsidRPr="004E6862">
        <w:rPr>
          <w:u w:val="single"/>
        </w:rPr>
        <w:t>Examen des candidatures</w:t>
      </w:r>
      <w:r w:rsidR="005B5DB5">
        <w:t xml:space="preserve"> </w:t>
      </w:r>
    </w:p>
    <w:p w14:paraId="3E671CD0" w14:textId="23141B3E" w:rsidR="006C37BB" w:rsidRDefault="006C37BB" w:rsidP="006C37BB">
      <w:pPr>
        <w:jc w:val="both"/>
      </w:pPr>
      <w:r w:rsidRPr="006C37BB">
        <w:t xml:space="preserve">Après examen des documents relatifs à la candidature, seront éliminées : </w:t>
      </w:r>
    </w:p>
    <w:p w14:paraId="08309D12" w14:textId="2BD57589" w:rsidR="006C37BB" w:rsidRDefault="006C37BB" w:rsidP="006C37BB">
      <w:pPr>
        <w:pStyle w:val="Paragraphedeliste"/>
        <w:numPr>
          <w:ilvl w:val="0"/>
          <w:numId w:val="16"/>
        </w:numPr>
        <w:jc w:val="both"/>
      </w:pPr>
      <w:r w:rsidRPr="006C37BB">
        <w:t xml:space="preserve">Les candidatures ne remplissant pas les conditions d’accès à la commande publique ; </w:t>
      </w:r>
    </w:p>
    <w:p w14:paraId="6BEE3765" w14:textId="09785A79" w:rsidR="006C37BB" w:rsidRPr="006C37BB" w:rsidRDefault="006C37BB" w:rsidP="006C37BB">
      <w:pPr>
        <w:pStyle w:val="Paragraphedeliste"/>
        <w:numPr>
          <w:ilvl w:val="0"/>
          <w:numId w:val="16"/>
        </w:numPr>
        <w:jc w:val="both"/>
      </w:pPr>
      <w:r w:rsidRPr="006C37BB">
        <w:t>Les candidatures ne présentant pas les garanties techniques</w:t>
      </w:r>
      <w:r w:rsidR="00017E9E">
        <w:t xml:space="preserve"> et</w:t>
      </w:r>
      <w:r w:rsidRPr="006C37BB">
        <w:t xml:space="preserve"> </w:t>
      </w:r>
      <w:r w:rsidR="000C3853" w:rsidRPr="006C37BB">
        <w:t xml:space="preserve">professionnelles </w:t>
      </w:r>
      <w:r w:rsidRPr="006C37BB">
        <w:t>suffisantes pour exécuter le marché.</w:t>
      </w:r>
    </w:p>
    <w:p w14:paraId="7D993025" w14:textId="6403FD1C" w:rsidR="004E6862" w:rsidRDefault="006C37BB" w:rsidP="00351F3E">
      <w:pPr>
        <w:jc w:val="both"/>
      </w:pPr>
      <w:r w:rsidRPr="006C37BB">
        <w:lastRenderedPageBreak/>
        <w:t xml:space="preserve">L’acheteur examine la recevabilité du dossier et la conformité de la candidature au regard </w:t>
      </w:r>
      <w:r w:rsidR="000C3853" w:rsidRPr="006C37BB">
        <w:t>d</w:t>
      </w:r>
      <w:r w:rsidR="000C3853">
        <w:t xml:space="preserve">e l’article 4.1 de ce présent règlement de consultation, </w:t>
      </w:r>
      <w:r w:rsidRPr="006C37BB">
        <w:t xml:space="preserve">dans un délai maximum de dix jours ouvrables après leur réception. </w:t>
      </w:r>
    </w:p>
    <w:p w14:paraId="4D634064" w14:textId="08120C51" w:rsidR="006C37BB" w:rsidRDefault="006C37BB" w:rsidP="00351F3E">
      <w:pPr>
        <w:jc w:val="both"/>
      </w:pPr>
      <w:r w:rsidRPr="006C37BB">
        <w:t xml:space="preserve">Ce délai peut être porté à quinze jours ouvrables notamment lorsque des documents complémentaires ont été demandés. </w:t>
      </w:r>
    </w:p>
    <w:p w14:paraId="5E7D68AA" w14:textId="77777777" w:rsidR="006C37BB" w:rsidRDefault="006C37BB" w:rsidP="00351F3E">
      <w:pPr>
        <w:jc w:val="both"/>
      </w:pPr>
      <w:r w:rsidRPr="006C37BB">
        <w:t xml:space="preserve">L'acheteur peut prolonger la période d'évaluation des candidatures tant que l'invitation à soumissionner pour le premier marché spécifique n'a pas été envoyée. Cette prolongation pourra être d’un mois supplémentaire. </w:t>
      </w:r>
    </w:p>
    <w:p w14:paraId="074746C2" w14:textId="75BBC2F9" w:rsidR="006C37BB" w:rsidRDefault="006C37BB" w:rsidP="00351F3E">
      <w:pPr>
        <w:jc w:val="both"/>
      </w:pPr>
      <w:r w:rsidRPr="006C37BB">
        <w:t>Sous réserve d’agrément, une entreprise peut donc être consultée rapidement après le dépôt de sa candidature, lorsqu</w:t>
      </w:r>
      <w:r w:rsidR="000C3853">
        <w:t>e l’</w:t>
      </w:r>
      <w:r w:rsidRPr="006C37BB">
        <w:t xml:space="preserve">acheteur a identifié un besoin. </w:t>
      </w:r>
    </w:p>
    <w:p w14:paraId="5E240639" w14:textId="116043B2" w:rsidR="006C37BB" w:rsidRDefault="006C37BB" w:rsidP="00351F3E">
      <w:pPr>
        <w:jc w:val="both"/>
      </w:pPr>
      <w:r w:rsidRPr="006C37BB">
        <w:t xml:space="preserve">Toutefois aucune consultation ne pourra être lancée avant </w:t>
      </w:r>
      <w:r w:rsidR="000C3853" w:rsidRPr="006C37BB">
        <w:t>un délai de 30 jour</w:t>
      </w:r>
      <w:r w:rsidR="000C3853">
        <w:t>s calendaires</w:t>
      </w:r>
      <w:r w:rsidRPr="006C37BB">
        <w:t xml:space="preserve"> suivant la date d’envoi de l’avis de marché (publicité initiale du SAD). </w:t>
      </w:r>
      <w:r w:rsidR="00782D89">
        <w:t xml:space="preserve">Exceptionnellement, pour la Catégorie 2 des consultations pourront être lancées avant ce délai de 30 jours. </w:t>
      </w:r>
    </w:p>
    <w:p w14:paraId="23D528E5" w14:textId="77777777" w:rsidR="000C3853" w:rsidRDefault="006C37BB" w:rsidP="00351F3E">
      <w:pPr>
        <w:jc w:val="both"/>
      </w:pPr>
      <w:r w:rsidRPr="006C37BB">
        <w:t xml:space="preserve">L’acheteur pourra interroger le candidat pour obtenir des précisions ou des documents manquants. </w:t>
      </w:r>
    </w:p>
    <w:p w14:paraId="744A05D0" w14:textId="31304067" w:rsidR="009B0C11" w:rsidRDefault="006C37BB" w:rsidP="00351F3E">
      <w:pPr>
        <w:jc w:val="both"/>
      </w:pPr>
      <w:r w:rsidRPr="006C37BB">
        <w:t>Les échanges se feront via le profil d’acheteur</w:t>
      </w:r>
      <w:r w:rsidR="000C3853">
        <w:t> </w:t>
      </w:r>
      <w:r w:rsidR="000C3853" w:rsidRPr="000C3853">
        <w:t xml:space="preserve">: </w:t>
      </w:r>
      <w:r w:rsidRPr="000C3853">
        <w:t xml:space="preserve"> </w:t>
      </w:r>
      <w:hyperlink r:id="rId8" w:history="1">
        <w:r w:rsidR="009B0C11" w:rsidRPr="00AD791F">
          <w:rPr>
            <w:rStyle w:val="Lienhypertexte"/>
          </w:rPr>
          <w:t>https://www.</w:t>
        </w:r>
        <w:r w:rsidR="009B0C11" w:rsidRPr="00AD791F">
          <w:rPr>
            <w:rStyle w:val="Lienhypertexte"/>
          </w:rPr>
          <w:t>m</w:t>
        </w:r>
        <w:r w:rsidR="009B0C11" w:rsidRPr="00AD791F">
          <w:rPr>
            <w:rStyle w:val="Lienhypertexte"/>
          </w:rPr>
          <w:t>arches-publics.gouv.fr/entreprise</w:t>
        </w:r>
      </w:hyperlink>
      <w:r w:rsidR="009B0C11" w:rsidRPr="009B0C11">
        <w:t xml:space="preserve"> </w:t>
      </w:r>
    </w:p>
    <w:p w14:paraId="5668FE10" w14:textId="38857E46" w:rsidR="005B5DB5" w:rsidRDefault="006C37BB" w:rsidP="00351F3E">
      <w:pPr>
        <w:jc w:val="both"/>
      </w:pPr>
      <w:r w:rsidRPr="006C37BB">
        <w:t xml:space="preserve">Ils pourront être demandés dans un délai de deux jours ouvrables. </w:t>
      </w:r>
    </w:p>
    <w:p w14:paraId="5F4C7837" w14:textId="2E1428AB" w:rsidR="006C37BB" w:rsidRDefault="006C37BB" w:rsidP="00351F3E">
      <w:pPr>
        <w:jc w:val="both"/>
      </w:pPr>
      <w:r w:rsidRPr="006C37BB">
        <w:t>Le retard dans la réponse prolongera d’autant le délai d’examen de la candidature.</w:t>
      </w:r>
    </w:p>
    <w:p w14:paraId="5274A234" w14:textId="71EEBB91" w:rsidR="005B5DB5" w:rsidRPr="005B5DB5" w:rsidRDefault="004E6862" w:rsidP="005B5DB5">
      <w:pPr>
        <w:ind w:left="708"/>
        <w:jc w:val="both"/>
      </w:pPr>
      <w:r w:rsidRPr="005B009C">
        <w:t>6</w:t>
      </w:r>
      <w:r w:rsidR="005B5DB5" w:rsidRPr="005B5DB5">
        <w:t>.</w:t>
      </w:r>
      <w:r w:rsidRPr="005B009C">
        <w:t>2</w:t>
      </w:r>
      <w:r w:rsidR="005B5DB5" w:rsidRPr="005B5DB5">
        <w:t xml:space="preserve"> </w:t>
      </w:r>
      <w:r w:rsidR="005B5DB5" w:rsidRPr="005B5DB5">
        <w:rPr>
          <w:u w:val="single"/>
        </w:rPr>
        <w:t>Sélection des candidatures</w:t>
      </w:r>
    </w:p>
    <w:p w14:paraId="41DBB8A9" w14:textId="4989A52B" w:rsidR="005B5DB5" w:rsidRDefault="005B5DB5" w:rsidP="005B5DB5">
      <w:pPr>
        <w:jc w:val="both"/>
      </w:pPr>
      <w:r w:rsidRPr="005B5DB5">
        <w:t xml:space="preserve">Le pouvoir adjudicateur cible les </w:t>
      </w:r>
      <w:r w:rsidR="006E2495">
        <w:t xml:space="preserve">candidats </w:t>
      </w:r>
      <w:r w:rsidRPr="005B5DB5">
        <w:t xml:space="preserve">selon la </w:t>
      </w:r>
      <w:r w:rsidR="0097211B">
        <w:t>Catégorie</w:t>
      </w:r>
      <w:r w:rsidR="006E2495">
        <w:t xml:space="preserve"> de solution</w:t>
      </w:r>
      <w:r w:rsidRPr="005B5DB5">
        <w:t>. L’acheteur notifie via le profil d’acheteur sa décision d’agrément ou de rejet de la candidature. Les candidats acceptés sont recensés sur une liste conservée par l’acheteur. Ils seront consultés lors de la survenance des besoins.</w:t>
      </w:r>
    </w:p>
    <w:p w14:paraId="3B3D73C9" w14:textId="5E8CEF01" w:rsidR="005B5DB5" w:rsidRPr="005B5DB5" w:rsidRDefault="005B5DB5" w:rsidP="005B5DB5">
      <w:pPr>
        <w:jc w:val="both"/>
      </w:pPr>
      <w:r w:rsidRPr="005B5DB5">
        <w:t>Le nombre de candidats n’est pas limité.</w:t>
      </w:r>
    </w:p>
    <w:p w14:paraId="2FEC1AED" w14:textId="134E4D3B" w:rsidR="00E44529" w:rsidRPr="005B009C" w:rsidRDefault="004E6862" w:rsidP="00351F3E">
      <w:pPr>
        <w:ind w:left="708"/>
        <w:jc w:val="both"/>
      </w:pPr>
      <w:r w:rsidRPr="005B009C">
        <w:t>6</w:t>
      </w:r>
      <w:r w:rsidR="00E44529" w:rsidRPr="005B009C">
        <w:t xml:space="preserve">.3 </w:t>
      </w:r>
      <w:r w:rsidR="0051175C" w:rsidRPr="005B009C">
        <w:rPr>
          <w:u w:val="single"/>
        </w:rPr>
        <w:t>Mise à jour de la situation des candidats</w:t>
      </w:r>
    </w:p>
    <w:p w14:paraId="6235CDDB" w14:textId="77777777" w:rsidR="005B5DB5" w:rsidRDefault="005B5DB5" w:rsidP="005B5DB5">
      <w:pPr>
        <w:jc w:val="both"/>
      </w:pPr>
      <w:r w:rsidRPr="005B5DB5">
        <w:t xml:space="preserve">Il appartient aux candidats de signaler toute modification les affectant et notamment leur situation juridique mais aussi un changement d’adresse ou de personne contact. L’information peut être portée à connaissance de l’acheteur via le profil acheteur. À tout moment au cours de la période de validité du système d'acquisition dynamique, l'acheteur peut demander aux candidats admis d'actualiser leur dossier de candidature, dans un délai de cinq jours ouvrables à compter de la date d'envoi de la demande. </w:t>
      </w:r>
    </w:p>
    <w:p w14:paraId="56DED416" w14:textId="125BCA95" w:rsidR="00E8272F" w:rsidRDefault="00E8272F" w:rsidP="00073708">
      <w:pPr>
        <w:pStyle w:val="Titre1"/>
      </w:pPr>
      <w:bookmarkStart w:id="10" w:name="_Toc191036154"/>
      <w:r>
        <w:t>Article</w:t>
      </w:r>
      <w:r w:rsidR="004E6862">
        <w:t xml:space="preserve"> 7</w:t>
      </w:r>
      <w:r>
        <w:t>.  PASSATION DES MARCHES SPECIFIQUES</w:t>
      </w:r>
      <w:bookmarkEnd w:id="10"/>
    </w:p>
    <w:p w14:paraId="57B80572" w14:textId="6DFF4C06" w:rsidR="0061448F" w:rsidRDefault="0061448F" w:rsidP="0061448F">
      <w:pPr>
        <w:jc w:val="both"/>
      </w:pPr>
      <w:r>
        <w:t xml:space="preserve">Le pouvoir adjudicateur </w:t>
      </w:r>
      <w:r w:rsidRPr="0061448F">
        <w:t>consulte les entreprises acceptée</w:t>
      </w:r>
      <w:r w:rsidR="00DB1430">
        <w:t>s</w:t>
      </w:r>
      <w:r w:rsidRPr="0061448F">
        <w:t xml:space="preserve"> dans la </w:t>
      </w:r>
      <w:r w:rsidR="0097211B">
        <w:t>Catégorie</w:t>
      </w:r>
      <w:r w:rsidRPr="0061448F">
        <w:t xml:space="preserve"> concernée et sollicite une offre</w:t>
      </w:r>
      <w:r>
        <w:t>. A</w:t>
      </w:r>
      <w:r w:rsidRPr="0061448F">
        <w:t xml:space="preserve">près </w:t>
      </w:r>
      <w:r>
        <w:t>l’</w:t>
      </w:r>
      <w:r w:rsidRPr="0061448F">
        <w:t>analyse des offres, l’une des entreprises se verra attribuer la commande. Cette commande prend la forme d’un contrat dit « marché spécifique ».</w:t>
      </w:r>
    </w:p>
    <w:p w14:paraId="294C900E" w14:textId="77777777" w:rsidR="00073708" w:rsidRDefault="00073708" w:rsidP="0061448F">
      <w:pPr>
        <w:jc w:val="both"/>
      </w:pPr>
      <w:r w:rsidRPr="00073708">
        <w:t>Les consultations en vue de la passation d’un marché spécifique pourront être lancées</w:t>
      </w:r>
      <w:r>
        <w:t> :</w:t>
      </w:r>
    </w:p>
    <w:p w14:paraId="45155CDD" w14:textId="366DA75F" w:rsidR="00073708" w:rsidRDefault="00073708" w:rsidP="00073708">
      <w:pPr>
        <w:pStyle w:val="Paragraphedeliste"/>
        <w:numPr>
          <w:ilvl w:val="0"/>
          <w:numId w:val="17"/>
        </w:numPr>
        <w:jc w:val="both"/>
      </w:pPr>
      <w:r>
        <w:t>A</w:t>
      </w:r>
      <w:r w:rsidRPr="00073708">
        <w:t>u plus tard</w:t>
      </w:r>
      <w:r>
        <w:t xml:space="preserve"> : </w:t>
      </w:r>
      <w:r w:rsidRPr="00073708">
        <w:t xml:space="preserve">jusqu’au </w:t>
      </w:r>
      <w:r w:rsidR="006E2495">
        <w:t>10</w:t>
      </w:r>
      <w:r w:rsidRPr="00073708">
        <w:t>/</w:t>
      </w:r>
      <w:r w:rsidR="00B359E3">
        <w:t>11</w:t>
      </w:r>
      <w:r w:rsidRPr="00073708">
        <w:t>/202</w:t>
      </w:r>
      <w:r w:rsidR="00B359E3">
        <w:t>7</w:t>
      </w:r>
    </w:p>
    <w:p w14:paraId="399FC13B" w14:textId="3858129C" w:rsidR="00073708" w:rsidRPr="0061448F" w:rsidRDefault="00073708" w:rsidP="00073708">
      <w:pPr>
        <w:pStyle w:val="Paragraphedeliste"/>
        <w:numPr>
          <w:ilvl w:val="0"/>
          <w:numId w:val="17"/>
        </w:numPr>
        <w:jc w:val="both"/>
      </w:pPr>
      <w:r>
        <w:lastRenderedPageBreak/>
        <w:t>Au plus tôt : 30 jours après la publication de l’avis initial de système d’acquisition dynam</w:t>
      </w:r>
      <w:r w:rsidR="00DB1430">
        <w:t>ique</w:t>
      </w:r>
      <w:r w:rsidR="00B359E3">
        <w:t>, sauf pour la Catégorie 2.</w:t>
      </w:r>
    </w:p>
    <w:p w14:paraId="58D89113" w14:textId="0EF88707" w:rsidR="0061448F" w:rsidRPr="005B009C" w:rsidRDefault="004E6862" w:rsidP="0061448F">
      <w:pPr>
        <w:ind w:left="708"/>
        <w:jc w:val="both"/>
      </w:pPr>
      <w:r w:rsidRPr="005B009C">
        <w:t>7</w:t>
      </w:r>
      <w:r w:rsidR="006C37BB" w:rsidRPr="005B009C">
        <w:t xml:space="preserve">.1 </w:t>
      </w:r>
      <w:r w:rsidR="00E8272F" w:rsidRPr="005B009C">
        <w:rPr>
          <w:u w:val="single"/>
        </w:rPr>
        <w:t>Modalité de passation des marchés spécifiques</w:t>
      </w:r>
    </w:p>
    <w:p w14:paraId="052053D0" w14:textId="77777777" w:rsidR="00E8272F" w:rsidRDefault="00E8272F" w:rsidP="00E8272F">
      <w:pPr>
        <w:jc w:val="both"/>
      </w:pPr>
      <w:r w:rsidRPr="00E8272F">
        <w:t xml:space="preserve">La procédure de consultation est entièrement électronique et se déroule comme suit : </w:t>
      </w:r>
    </w:p>
    <w:p w14:paraId="033A3415" w14:textId="295D7110" w:rsidR="00073708" w:rsidRDefault="00073708" w:rsidP="00E8272F">
      <w:pPr>
        <w:pStyle w:val="Paragraphedeliste"/>
        <w:numPr>
          <w:ilvl w:val="0"/>
          <w:numId w:val="14"/>
        </w:numPr>
        <w:jc w:val="both"/>
      </w:pPr>
      <w:r>
        <w:t>Envoi de lettre d’invitation à soumissionner</w:t>
      </w:r>
      <w:r w:rsidR="006E2495">
        <w:t xml:space="preserve"> aux candidats acceptés</w:t>
      </w:r>
    </w:p>
    <w:p w14:paraId="2DEBB7D9" w14:textId="496B1E9E" w:rsidR="00E8272F" w:rsidRDefault="00E8272F" w:rsidP="00E8272F">
      <w:pPr>
        <w:pStyle w:val="Paragraphedeliste"/>
        <w:numPr>
          <w:ilvl w:val="0"/>
          <w:numId w:val="14"/>
        </w:numPr>
        <w:jc w:val="both"/>
      </w:pPr>
      <w:r w:rsidRPr="00E8272F">
        <w:t>Les entreprises sont informées via la plateforme du lancement d’une consultation et sont invitées à télécharger un dossier de consultation qui précise les caractéristiques d</w:t>
      </w:r>
      <w:r w:rsidR="006E2495">
        <w:t>u besoin</w:t>
      </w:r>
      <w:r w:rsidRPr="00E8272F">
        <w:t>.</w:t>
      </w:r>
    </w:p>
    <w:p w14:paraId="4FFAB8BD" w14:textId="2670FD30" w:rsidR="00E8272F" w:rsidRDefault="00E8272F" w:rsidP="00E8272F">
      <w:pPr>
        <w:pStyle w:val="Paragraphedeliste"/>
        <w:numPr>
          <w:ilvl w:val="0"/>
          <w:numId w:val="14"/>
        </w:numPr>
        <w:jc w:val="both"/>
      </w:pPr>
      <w:r w:rsidRPr="00E8272F">
        <w:t>Les entreprises, qui souhaitent répondre, déposent une offre selon les modalités</w:t>
      </w:r>
      <w:r w:rsidR="00073708">
        <w:t xml:space="preserve"> </w:t>
      </w:r>
      <w:r w:rsidRPr="00E8272F">
        <w:t>présentées dans le dossier de consultation</w:t>
      </w:r>
      <w:r w:rsidR="006E2495">
        <w:t xml:space="preserve"> (confère article 5 du présent règlement de consultation).</w:t>
      </w:r>
    </w:p>
    <w:p w14:paraId="21E1B5C5" w14:textId="77777777" w:rsidR="00E8272F" w:rsidRDefault="00E8272F" w:rsidP="00E8272F">
      <w:pPr>
        <w:pStyle w:val="Paragraphedeliste"/>
        <w:jc w:val="both"/>
      </w:pPr>
      <w:r w:rsidRPr="00E8272F">
        <w:t xml:space="preserve">Le délai de remise des offres sera précisé dans l’invitation à soumissionner ; il ne pourra pas cependant être inférieur à 10 jours. </w:t>
      </w:r>
    </w:p>
    <w:p w14:paraId="137CF50C" w14:textId="22D6B4C5" w:rsidR="00E8272F" w:rsidRDefault="00E8272F" w:rsidP="00E8272F">
      <w:pPr>
        <w:pStyle w:val="Paragraphedeliste"/>
        <w:numPr>
          <w:ilvl w:val="0"/>
          <w:numId w:val="14"/>
        </w:numPr>
        <w:jc w:val="both"/>
      </w:pPr>
      <w:r w:rsidRPr="00E8272F">
        <w:t>Les offres sont analysées. L’acheteur procède à un classement, l’offre classée en première position étant retenue. Ce classement est opéré en fonction de critères indiqués dans le dossier de consultation.</w:t>
      </w:r>
    </w:p>
    <w:p w14:paraId="06791AFB" w14:textId="6DB8833D" w:rsidR="00E8272F" w:rsidRPr="005B009C" w:rsidRDefault="004E6862" w:rsidP="00E8272F">
      <w:pPr>
        <w:ind w:left="708"/>
        <w:jc w:val="both"/>
      </w:pPr>
      <w:r w:rsidRPr="005B009C">
        <w:t>7</w:t>
      </w:r>
      <w:r w:rsidR="006C37BB" w:rsidRPr="005B009C">
        <w:t xml:space="preserve">.2 </w:t>
      </w:r>
      <w:r w:rsidR="006C37BB" w:rsidRPr="005B009C">
        <w:rPr>
          <w:u w:val="single"/>
        </w:rPr>
        <w:t>E</w:t>
      </w:r>
      <w:r w:rsidR="00E8272F" w:rsidRPr="005B009C">
        <w:rPr>
          <w:u w:val="single"/>
        </w:rPr>
        <w:t>xamen et sélection des offres</w:t>
      </w:r>
      <w:r w:rsidR="00E8272F" w:rsidRPr="005B009C">
        <w:t xml:space="preserve"> </w:t>
      </w:r>
    </w:p>
    <w:p w14:paraId="1A592A18" w14:textId="77777777" w:rsidR="006C37BB" w:rsidRDefault="00E8272F" w:rsidP="00E8272F">
      <w:pPr>
        <w:jc w:val="both"/>
      </w:pPr>
      <w:r w:rsidRPr="00E8272F">
        <w:t xml:space="preserve">L’acheteur pourra demander aux candidats de préciser la teneur de leur offre. Cette demande ne peut aboutir à une négociation ni à une modification de l’offre. </w:t>
      </w:r>
    </w:p>
    <w:p w14:paraId="3515484B" w14:textId="77777777" w:rsidR="006C37BB" w:rsidRDefault="00E8272F" w:rsidP="00E8272F">
      <w:pPr>
        <w:jc w:val="both"/>
      </w:pPr>
      <w:r w:rsidRPr="00E8272F">
        <w:t xml:space="preserve">Les offres seront évaluées au regard de critères indiqués par l’acheteur lors de la consultation des marchés spécifiques. </w:t>
      </w:r>
    </w:p>
    <w:p w14:paraId="22431EBA" w14:textId="77777777" w:rsidR="006C37BB" w:rsidRDefault="00E8272F" w:rsidP="00E8272F">
      <w:pPr>
        <w:jc w:val="both"/>
      </w:pPr>
      <w:r w:rsidRPr="00E8272F">
        <w:t xml:space="preserve">Les critères seront pondérés (affectés d’un coefficient) et détaillés dans les documents de la consultation du marché spécifique concerné. </w:t>
      </w:r>
    </w:p>
    <w:p w14:paraId="0A236FF9" w14:textId="77777777" w:rsidR="006C37BB" w:rsidRDefault="00E8272F" w:rsidP="00E8272F">
      <w:pPr>
        <w:jc w:val="both"/>
      </w:pPr>
      <w:r w:rsidRPr="00E8272F">
        <w:t xml:space="preserve">A titre indicatif, pourront être pris en compte : </w:t>
      </w:r>
    </w:p>
    <w:p w14:paraId="1FB768D2" w14:textId="29266DCE" w:rsidR="006C37BB" w:rsidRDefault="00E8272F" w:rsidP="006C37BB">
      <w:pPr>
        <w:pStyle w:val="Paragraphedeliste"/>
        <w:numPr>
          <w:ilvl w:val="0"/>
          <w:numId w:val="15"/>
        </w:numPr>
        <w:jc w:val="both"/>
      </w:pPr>
      <w:r w:rsidRPr="00E8272F">
        <w:t>Le prix ou le coût global ou les conditions financières</w:t>
      </w:r>
      <w:r w:rsidR="006E2495">
        <w:t xml:space="preserve"> (maintenance, location, autres prestations associées)</w:t>
      </w:r>
    </w:p>
    <w:p w14:paraId="3A40F35C" w14:textId="68C4F366" w:rsidR="006C37BB" w:rsidRDefault="00E8272F" w:rsidP="006C37BB">
      <w:pPr>
        <w:pStyle w:val="Paragraphedeliste"/>
        <w:numPr>
          <w:ilvl w:val="0"/>
          <w:numId w:val="15"/>
        </w:numPr>
        <w:jc w:val="both"/>
      </w:pPr>
      <w:r w:rsidRPr="00E8272F">
        <w:t xml:space="preserve">La qualité technique  </w:t>
      </w:r>
    </w:p>
    <w:p w14:paraId="34F7EB9E" w14:textId="77777777" w:rsidR="006C37BB" w:rsidRDefault="00E8272F" w:rsidP="006C37BB">
      <w:pPr>
        <w:pStyle w:val="Paragraphedeliste"/>
        <w:numPr>
          <w:ilvl w:val="0"/>
          <w:numId w:val="15"/>
        </w:numPr>
        <w:jc w:val="both"/>
      </w:pPr>
      <w:r w:rsidRPr="00E8272F">
        <w:t>La qualité de la prestation</w:t>
      </w:r>
    </w:p>
    <w:p w14:paraId="6B056410" w14:textId="77777777" w:rsidR="006C37BB" w:rsidRDefault="00E8272F" w:rsidP="006C37BB">
      <w:pPr>
        <w:pStyle w:val="Paragraphedeliste"/>
        <w:numPr>
          <w:ilvl w:val="0"/>
          <w:numId w:val="15"/>
        </w:numPr>
        <w:jc w:val="both"/>
      </w:pPr>
      <w:r w:rsidRPr="00E8272F">
        <w:t>Les performances environnementales</w:t>
      </w:r>
    </w:p>
    <w:p w14:paraId="278A2557" w14:textId="77777777" w:rsidR="006C37BB" w:rsidRDefault="00E8272F" w:rsidP="006C37BB">
      <w:pPr>
        <w:pStyle w:val="Paragraphedeliste"/>
        <w:numPr>
          <w:ilvl w:val="0"/>
          <w:numId w:val="15"/>
        </w:numPr>
        <w:jc w:val="both"/>
      </w:pPr>
      <w:r w:rsidRPr="00E8272F">
        <w:t>Les</w:t>
      </w:r>
      <w:r w:rsidR="006C37BB">
        <w:t xml:space="preserve"> délais d’intervention </w:t>
      </w:r>
    </w:p>
    <w:p w14:paraId="3BAFEB49" w14:textId="5F039579" w:rsidR="006C37BB" w:rsidRDefault="00E8272F" w:rsidP="006C37BB">
      <w:pPr>
        <w:pStyle w:val="Paragraphedeliste"/>
        <w:numPr>
          <w:ilvl w:val="0"/>
          <w:numId w:val="15"/>
        </w:numPr>
        <w:jc w:val="both"/>
      </w:pPr>
      <w:r w:rsidRPr="00E8272F">
        <w:t xml:space="preserve">Les conditions de garantie </w:t>
      </w:r>
    </w:p>
    <w:p w14:paraId="799DC8E9" w14:textId="54958D3E" w:rsidR="00073708" w:rsidRDefault="00E8272F" w:rsidP="006C37BB">
      <w:pPr>
        <w:jc w:val="both"/>
      </w:pPr>
      <w:r w:rsidRPr="00E8272F">
        <w:t>L’acheteur pourra autoriser la régularisation des offres irrégulières à condition qu’elles ne soient pas anormalement basses. Cette régularisation ne doit pas avoir pour effet de modifier les caractéristiques substantielles de l’offre.</w:t>
      </w:r>
    </w:p>
    <w:p w14:paraId="568EA36C" w14:textId="68A12CCE" w:rsidR="00073708" w:rsidRPr="00073708" w:rsidRDefault="005B009C" w:rsidP="00073708">
      <w:pPr>
        <w:ind w:left="708"/>
        <w:jc w:val="both"/>
      </w:pPr>
      <w:r>
        <w:t xml:space="preserve">7.3 </w:t>
      </w:r>
      <w:r w:rsidRPr="005B009C">
        <w:rPr>
          <w:u w:val="single"/>
        </w:rPr>
        <w:t>Suite</w:t>
      </w:r>
      <w:r w:rsidR="00073708" w:rsidRPr="00073708">
        <w:rPr>
          <w:u w:val="single"/>
        </w:rPr>
        <w:t xml:space="preserve"> à donner à la consultation</w:t>
      </w:r>
    </w:p>
    <w:p w14:paraId="392056DA" w14:textId="77777777" w:rsidR="00073708" w:rsidRPr="00073708" w:rsidRDefault="00073708" w:rsidP="00073708">
      <w:pPr>
        <w:jc w:val="both"/>
      </w:pPr>
      <w:r w:rsidRPr="00073708">
        <w:t>L'offre la mieux classée sera retenue à titre provisoire en attendant que le ou les candidats produisent les certificats et attestations des articles R. 2143-6 à R. 2143-10 du Code de la commande publique. Le délai imparti par le pouvoir adjudicateur pour remettre ces documents ne pourra être supérieur à 6 jours.</w:t>
      </w:r>
    </w:p>
    <w:p w14:paraId="6D865C45" w14:textId="101DDA9C" w:rsidR="00073708" w:rsidRDefault="00073708" w:rsidP="006C37BB">
      <w:pPr>
        <w:jc w:val="both"/>
      </w:pPr>
      <w:r w:rsidRPr="00073708">
        <w:t xml:space="preserve">Toutefois le Pouvoir adjudicateur se réserve de </w:t>
      </w:r>
      <w:r>
        <w:t>déclarer une consultation sans suite.</w:t>
      </w:r>
    </w:p>
    <w:p w14:paraId="01C09F57" w14:textId="762D883D" w:rsidR="004C7ED0" w:rsidRDefault="00E8272F" w:rsidP="00073708">
      <w:pPr>
        <w:pStyle w:val="Titre1"/>
      </w:pPr>
      <w:bookmarkStart w:id="11" w:name="_Toc191036155"/>
      <w:r>
        <w:lastRenderedPageBreak/>
        <w:t>Article</w:t>
      </w:r>
      <w:r w:rsidR="004E6862">
        <w:t xml:space="preserve"> 8</w:t>
      </w:r>
      <w:r>
        <w:t>. NON EXCLISIVITE DU SYSTEME D’ACQUISITION DYNAMIQUE</w:t>
      </w:r>
      <w:bookmarkEnd w:id="11"/>
      <w:r w:rsidR="004C7ED0">
        <w:t xml:space="preserve"> </w:t>
      </w:r>
    </w:p>
    <w:p w14:paraId="67B2C264" w14:textId="23452359" w:rsidR="00E8272F" w:rsidRPr="00E8272F" w:rsidRDefault="00E8272F" w:rsidP="00E8272F">
      <w:r w:rsidRPr="00E8272F">
        <w:t xml:space="preserve">S’agissant d’une technique d’achat, le SAD ne confère pas d’exclusivité contractuelle. Ainsi la </w:t>
      </w:r>
      <w:r>
        <w:t xml:space="preserve">Chambre d’agriculture de la Somme </w:t>
      </w:r>
      <w:r w:rsidRPr="00E8272F">
        <w:t>se réserve la possibilité d’acquérir des</w:t>
      </w:r>
      <w:r>
        <w:t xml:space="preserve"> services de locations de robot agricole</w:t>
      </w:r>
      <w:r w:rsidRPr="00E8272F">
        <w:t xml:space="preserve"> auprès de centrale d’achat.</w:t>
      </w:r>
    </w:p>
    <w:p w14:paraId="48CEF5CD" w14:textId="1DF4205D" w:rsidR="00E44529" w:rsidRDefault="00E44529" w:rsidP="00073708">
      <w:pPr>
        <w:pStyle w:val="Titre1"/>
      </w:pPr>
      <w:bookmarkStart w:id="12" w:name="_Toc191036156"/>
      <w:r>
        <w:t>Article 9. ECHANGE AVEC LES OPERATEURS ECONOMIQUES</w:t>
      </w:r>
      <w:bookmarkEnd w:id="12"/>
    </w:p>
    <w:p w14:paraId="47EF978E" w14:textId="5CFE4F5A" w:rsidR="005B009C" w:rsidRDefault="004C7ED0" w:rsidP="00351F3E">
      <w:pPr>
        <w:jc w:val="both"/>
      </w:pPr>
      <w:r w:rsidRPr="004C7ED0">
        <w:t>Conformément au III de l’article R. 2132-6 du Code de la commande publique,</w:t>
      </w:r>
      <w:r w:rsidR="005B009C">
        <w:t xml:space="preserve"> p</w:t>
      </w:r>
      <w:r w:rsidR="005B009C" w:rsidRPr="005B009C">
        <w:t>our obtenir tous renseignements complémentaires qui leur seraient nécessaires au cours de leur étude, les candidats devront faire parvenir une demande uniquement via le profil d’acheteur. Une réponse sera déposée sur le profil d’acheteur à tous les candidats ayant retiré le dossier, au plus tard 5 jours après la réception de la demande</w:t>
      </w:r>
    </w:p>
    <w:p w14:paraId="099663C1" w14:textId="6CC339E5" w:rsidR="00E44529" w:rsidRDefault="00E44529" w:rsidP="00073708">
      <w:pPr>
        <w:pStyle w:val="Titre1"/>
      </w:pPr>
      <w:bookmarkStart w:id="13" w:name="_Toc191036157"/>
      <w:r>
        <w:t>Article 10. RECOURS ET JURIDICTION COMPETENTE</w:t>
      </w:r>
      <w:bookmarkEnd w:id="13"/>
    </w:p>
    <w:p w14:paraId="67E3B951" w14:textId="6833DD5F" w:rsidR="004C7ED0" w:rsidRDefault="004C7ED0" w:rsidP="00351F3E">
      <w:pPr>
        <w:jc w:val="both"/>
      </w:pPr>
      <w:r w:rsidRPr="004C7ED0">
        <w:t>Les voies de recours ouvertes aux candidats dans le cadre de cette consultation sont les suivantes</w:t>
      </w:r>
      <w:r>
        <w:t> :</w:t>
      </w:r>
    </w:p>
    <w:p w14:paraId="7BC1D639" w14:textId="220952F4" w:rsidR="00E44529" w:rsidRPr="005B009C" w:rsidRDefault="00E44529" w:rsidP="00351F3E">
      <w:pPr>
        <w:ind w:left="708"/>
        <w:jc w:val="both"/>
        <w:rPr>
          <w:u w:val="single"/>
        </w:rPr>
      </w:pPr>
      <w:r>
        <w:t xml:space="preserve">10.1 </w:t>
      </w:r>
      <w:r w:rsidRPr="005B009C">
        <w:rPr>
          <w:u w:val="single"/>
        </w:rPr>
        <w:t>Référé précontractuel</w:t>
      </w:r>
    </w:p>
    <w:p w14:paraId="51AF664C" w14:textId="6C538A46" w:rsidR="004C7ED0" w:rsidRDefault="004C7ED0" w:rsidP="00351F3E">
      <w:pPr>
        <w:jc w:val="both"/>
      </w:pPr>
      <w:r w:rsidRPr="004C7ED0">
        <w:t>Prévu aux articles L.551-1 à L.551-12 du Code de justice administrative (CJA), et pouvant être exercé avant la signature du contrat.</w:t>
      </w:r>
    </w:p>
    <w:p w14:paraId="14F3062F" w14:textId="3E3ACF00" w:rsidR="00E44529" w:rsidRDefault="00E44529" w:rsidP="00351F3E">
      <w:pPr>
        <w:ind w:left="708"/>
        <w:jc w:val="both"/>
      </w:pPr>
      <w:r>
        <w:t xml:space="preserve">10.2 </w:t>
      </w:r>
      <w:r w:rsidR="00C565DF">
        <w:rPr>
          <w:u w:val="single"/>
        </w:rPr>
        <w:t>R</w:t>
      </w:r>
      <w:r w:rsidRPr="005B009C">
        <w:rPr>
          <w:u w:val="single"/>
        </w:rPr>
        <w:t>éféré contractuel</w:t>
      </w:r>
    </w:p>
    <w:p w14:paraId="3AC4F00F" w14:textId="76BDDF28" w:rsidR="004C7ED0" w:rsidRDefault="004C7ED0" w:rsidP="00351F3E">
      <w:pPr>
        <w:jc w:val="both"/>
      </w:pPr>
      <w:r w:rsidRPr="004C7ED0">
        <w:t>Prévu aux articles L.551-13 à L.551-23 du CJA, et pouvant être exercé dans les délais prévus à l'article R. 551-7 du CJA, à compter de la signature du contrat et dans un délai de 31 jours, à compter de la publication de l’avis d’attribution ou 6 mois, à compter du lendemain du jour de la conclusion du contrat, si aucun avis d’attribution n’a été publié.</w:t>
      </w:r>
    </w:p>
    <w:p w14:paraId="42290DCE" w14:textId="498576B8" w:rsidR="00E44529" w:rsidRDefault="00E44529" w:rsidP="00351F3E">
      <w:pPr>
        <w:ind w:left="708"/>
        <w:jc w:val="both"/>
      </w:pPr>
      <w:r>
        <w:t xml:space="preserve">10.3 </w:t>
      </w:r>
      <w:r w:rsidRPr="005B009C">
        <w:rPr>
          <w:u w:val="single"/>
        </w:rPr>
        <w:t>Recours de pleine juridiction</w:t>
      </w:r>
    </w:p>
    <w:p w14:paraId="4E8E88D1" w14:textId="0F998607" w:rsidR="004C7ED0" w:rsidRDefault="004C7ED0" w:rsidP="00351F3E">
      <w:pPr>
        <w:jc w:val="both"/>
      </w:pPr>
      <w:r w:rsidRPr="004C7ED0">
        <w:t>Ouvert aux tiers justifiant d’un intérêt lésé, et pouvant être exercé dans les deux mois suivant la date à laquelle la conclusion du contrat est rendue publique. C’est un recours en contestation de validité, dans un délai de deux mois à compter de la publication de l’avis d’attribution.</w:t>
      </w:r>
    </w:p>
    <w:p w14:paraId="46585B24" w14:textId="7031196D" w:rsidR="00E44529" w:rsidRDefault="00E44529" w:rsidP="00351F3E">
      <w:pPr>
        <w:ind w:left="708"/>
        <w:jc w:val="both"/>
      </w:pPr>
      <w:r>
        <w:t xml:space="preserve">10.4 </w:t>
      </w:r>
      <w:r w:rsidRPr="005B009C">
        <w:rPr>
          <w:u w:val="single"/>
        </w:rPr>
        <w:t>Juridiction compétente</w:t>
      </w:r>
    </w:p>
    <w:p w14:paraId="6FF9B3F3" w14:textId="29D53E00" w:rsidR="004C7ED0" w:rsidRDefault="004C7ED0" w:rsidP="00351F3E">
      <w:pPr>
        <w:jc w:val="both"/>
      </w:pPr>
      <w:r w:rsidRPr="004C7ED0">
        <w:t>La juridiction compétente dans le cadre cette consultation, y compris l’exécution des marchés est le Tribunal administratif d</w:t>
      </w:r>
      <w:r w:rsidR="006E2495">
        <w:t>’Amiens</w:t>
      </w:r>
      <w:r>
        <w:t>.</w:t>
      </w:r>
    </w:p>
    <w:p w14:paraId="34265821" w14:textId="77777777" w:rsidR="009722C8" w:rsidRDefault="009722C8" w:rsidP="00351F3E">
      <w:pPr>
        <w:jc w:val="both"/>
      </w:pPr>
    </w:p>
    <w:sectPr w:rsidR="009722C8" w:rsidSect="00782D89">
      <w:pgSz w:w="11906" w:h="16838"/>
      <w:pgMar w:top="1417" w:right="1417" w:bottom="1276" w:left="1417" w:header="708" w:footer="708" w:gutter="0"/>
      <w:pgBorders w:display="notFirstPage" w:offsetFrom="page">
        <w:top w:val="single" w:sz="12" w:space="24" w:color="92D050"/>
        <w:left w:val="single" w:sz="12" w:space="24" w:color="92D050"/>
        <w:bottom w:val="single" w:sz="12" w:space="24" w:color="92D050"/>
        <w:right w:val="single" w:sz="12" w:space="24" w:color="92D05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4FA"/>
    <w:multiLevelType w:val="hybridMultilevel"/>
    <w:tmpl w:val="480EA9AC"/>
    <w:lvl w:ilvl="0" w:tplc="26BE9D5E">
      <w:start w:val="1"/>
      <w:numFmt w:val="decimal"/>
      <w:lvlText w:val="Article %1"/>
      <w:lvlJc w:val="right"/>
      <w:pPr>
        <w:ind w:left="720" w:hanging="360"/>
      </w:pPr>
      <w:rPr>
        <w:rFonts w:ascii="Arial" w:hAnsi="Arial" w:hint="default"/>
        <w:b/>
        <w:i w:val="0"/>
        <w:caps/>
        <w:strike w:val="0"/>
        <w:dstrike w:val="0"/>
        <w:spacing w:val="20"/>
        <w:w w:val="100"/>
        <w:kern w:val="44"/>
        <w:position w:val="6"/>
        <w:u w:val="double"/>
        <w:vertAlign w:val="baseline"/>
        <w14:ligatures w14:val="none"/>
        <w14:numForm w14:val="lining"/>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976063"/>
    <w:multiLevelType w:val="hybridMultilevel"/>
    <w:tmpl w:val="E0B40E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7116E4"/>
    <w:multiLevelType w:val="hybridMultilevel"/>
    <w:tmpl w:val="CE9835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0522C"/>
    <w:multiLevelType w:val="hybridMultilevel"/>
    <w:tmpl w:val="620E27A8"/>
    <w:lvl w:ilvl="0" w:tplc="040C0005">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4" w15:restartNumberingAfterBreak="0">
    <w:nsid w:val="1E205F7B"/>
    <w:multiLevelType w:val="multilevel"/>
    <w:tmpl w:val="A67EBBC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23937BBA"/>
    <w:multiLevelType w:val="hybridMultilevel"/>
    <w:tmpl w:val="E996BC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532DA2"/>
    <w:multiLevelType w:val="hybridMultilevel"/>
    <w:tmpl w:val="0BD8B7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65317"/>
    <w:multiLevelType w:val="hybridMultilevel"/>
    <w:tmpl w:val="E31413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C3690"/>
    <w:multiLevelType w:val="hybridMultilevel"/>
    <w:tmpl w:val="916C49F8"/>
    <w:lvl w:ilvl="0" w:tplc="DA8EFF3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10D6D50"/>
    <w:multiLevelType w:val="hybridMultilevel"/>
    <w:tmpl w:val="CDAE3E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721E3"/>
    <w:multiLevelType w:val="hybridMultilevel"/>
    <w:tmpl w:val="7DC2FE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FE2533"/>
    <w:multiLevelType w:val="multilevel"/>
    <w:tmpl w:val="B222418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C2F5A7C"/>
    <w:multiLevelType w:val="hybridMultilevel"/>
    <w:tmpl w:val="FFA620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532783"/>
    <w:multiLevelType w:val="hybridMultilevel"/>
    <w:tmpl w:val="EA8C9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3C0FE9"/>
    <w:multiLevelType w:val="hybridMultilevel"/>
    <w:tmpl w:val="000C0B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9514D1"/>
    <w:multiLevelType w:val="hybridMultilevel"/>
    <w:tmpl w:val="9BFA55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8D71B8"/>
    <w:multiLevelType w:val="hybridMultilevel"/>
    <w:tmpl w:val="EF146B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456289"/>
    <w:multiLevelType w:val="hybridMultilevel"/>
    <w:tmpl w:val="A74EDF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641737">
    <w:abstractNumId w:val="4"/>
  </w:num>
  <w:num w:numId="2" w16cid:durableId="1195386442">
    <w:abstractNumId w:val="8"/>
  </w:num>
  <w:num w:numId="3" w16cid:durableId="1626960724">
    <w:abstractNumId w:val="0"/>
  </w:num>
  <w:num w:numId="4" w16cid:durableId="452212629">
    <w:abstractNumId w:val="15"/>
  </w:num>
  <w:num w:numId="5" w16cid:durableId="1676032614">
    <w:abstractNumId w:val="1"/>
  </w:num>
  <w:num w:numId="6" w16cid:durableId="135419645">
    <w:abstractNumId w:val="11"/>
  </w:num>
  <w:num w:numId="7" w16cid:durableId="1336955580">
    <w:abstractNumId w:val="12"/>
  </w:num>
  <w:num w:numId="8" w16cid:durableId="1665667363">
    <w:abstractNumId w:val="2"/>
  </w:num>
  <w:num w:numId="9" w16cid:durableId="1593200783">
    <w:abstractNumId w:val="9"/>
  </w:num>
  <w:num w:numId="10" w16cid:durableId="919217427">
    <w:abstractNumId w:val="10"/>
  </w:num>
  <w:num w:numId="11" w16cid:durableId="785738622">
    <w:abstractNumId w:val="14"/>
  </w:num>
  <w:num w:numId="12" w16cid:durableId="414940505">
    <w:abstractNumId w:val="7"/>
  </w:num>
  <w:num w:numId="13" w16cid:durableId="1758987913">
    <w:abstractNumId w:val="17"/>
  </w:num>
  <w:num w:numId="14" w16cid:durableId="28653055">
    <w:abstractNumId w:val="6"/>
  </w:num>
  <w:num w:numId="15" w16cid:durableId="1112894360">
    <w:abstractNumId w:val="13"/>
  </w:num>
  <w:num w:numId="16" w16cid:durableId="290524024">
    <w:abstractNumId w:val="5"/>
  </w:num>
  <w:num w:numId="17" w16cid:durableId="681123812">
    <w:abstractNumId w:val="3"/>
  </w:num>
  <w:num w:numId="18" w16cid:durableId="1508180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2C8"/>
    <w:rsid w:val="000039F8"/>
    <w:rsid w:val="00017E9E"/>
    <w:rsid w:val="00025E66"/>
    <w:rsid w:val="00073708"/>
    <w:rsid w:val="000C3853"/>
    <w:rsid w:val="001015A8"/>
    <w:rsid w:val="00193175"/>
    <w:rsid w:val="002D46F2"/>
    <w:rsid w:val="00351F3E"/>
    <w:rsid w:val="0036534C"/>
    <w:rsid w:val="00434B6E"/>
    <w:rsid w:val="004371E9"/>
    <w:rsid w:val="0046665F"/>
    <w:rsid w:val="00473895"/>
    <w:rsid w:val="004A521A"/>
    <w:rsid w:val="004C235C"/>
    <w:rsid w:val="004C7ED0"/>
    <w:rsid w:val="004E6862"/>
    <w:rsid w:val="0051175C"/>
    <w:rsid w:val="00514435"/>
    <w:rsid w:val="00535F61"/>
    <w:rsid w:val="005B009C"/>
    <w:rsid w:val="005B5DB5"/>
    <w:rsid w:val="0061448F"/>
    <w:rsid w:val="00646EF8"/>
    <w:rsid w:val="0065200C"/>
    <w:rsid w:val="00667371"/>
    <w:rsid w:val="006C37BB"/>
    <w:rsid w:val="006E2495"/>
    <w:rsid w:val="007618ED"/>
    <w:rsid w:val="00782D89"/>
    <w:rsid w:val="00784A5C"/>
    <w:rsid w:val="007E20C3"/>
    <w:rsid w:val="007E575F"/>
    <w:rsid w:val="00802035"/>
    <w:rsid w:val="008B57C8"/>
    <w:rsid w:val="0097211B"/>
    <w:rsid w:val="009722C8"/>
    <w:rsid w:val="009B0C11"/>
    <w:rsid w:val="00A0381B"/>
    <w:rsid w:val="00A179A9"/>
    <w:rsid w:val="00A27422"/>
    <w:rsid w:val="00A6017F"/>
    <w:rsid w:val="00B359E3"/>
    <w:rsid w:val="00B40832"/>
    <w:rsid w:val="00B45389"/>
    <w:rsid w:val="00C127E7"/>
    <w:rsid w:val="00C47BAE"/>
    <w:rsid w:val="00C565DF"/>
    <w:rsid w:val="00D7583B"/>
    <w:rsid w:val="00DB1430"/>
    <w:rsid w:val="00E44529"/>
    <w:rsid w:val="00E460CF"/>
    <w:rsid w:val="00E51963"/>
    <w:rsid w:val="00E675B2"/>
    <w:rsid w:val="00E8272F"/>
    <w:rsid w:val="00EA6447"/>
    <w:rsid w:val="00EB1196"/>
    <w:rsid w:val="00F64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3E33"/>
  <w15:chartTrackingRefBased/>
  <w15:docId w15:val="{7F00B0D8-AC2D-482D-86BF-D92C4DD6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autoRedefine/>
    <w:uiPriority w:val="9"/>
    <w:rsid w:val="00073708"/>
    <w:pPr>
      <w:keepNext/>
      <w:keepLines/>
      <w:pBdr>
        <w:bottom w:val="single" w:sz="12" w:space="1" w:color="A02B93" w:themeColor="accent5"/>
      </w:pBdr>
      <w:spacing w:before="360" w:after="80"/>
      <w:outlineLvl w:val="0"/>
    </w:pPr>
    <w:rPr>
      <w:rFonts w:ascii="Arial" w:eastAsiaTheme="majorEastAsia" w:hAnsi="Arial" w:cstheme="majorBidi"/>
      <w:b/>
      <w:color w:val="92D050"/>
      <w:sz w:val="24"/>
      <w:szCs w:val="40"/>
    </w:rPr>
  </w:style>
  <w:style w:type="paragraph" w:styleId="Titre2">
    <w:name w:val="heading 2"/>
    <w:basedOn w:val="Normal"/>
    <w:next w:val="Normal"/>
    <w:link w:val="Titre2Car"/>
    <w:autoRedefine/>
    <w:uiPriority w:val="9"/>
    <w:unhideWhenUsed/>
    <w:rsid w:val="004C7ED0"/>
    <w:pPr>
      <w:keepNext/>
      <w:keepLines/>
      <w:spacing w:before="160" w:after="80"/>
      <w:outlineLvl w:val="1"/>
    </w:pPr>
    <w:rPr>
      <w:rFonts w:asciiTheme="majorHAnsi" w:eastAsiaTheme="majorEastAsia" w:hAnsiTheme="majorHAnsi" w:cstheme="majorBidi"/>
      <w:color w:val="92D050"/>
      <w:sz w:val="32"/>
      <w:szCs w:val="32"/>
    </w:rPr>
  </w:style>
  <w:style w:type="paragraph" w:styleId="Titre3">
    <w:name w:val="heading 3"/>
    <w:basedOn w:val="Normal"/>
    <w:next w:val="Normal"/>
    <w:link w:val="Titre3Car"/>
    <w:uiPriority w:val="9"/>
    <w:semiHidden/>
    <w:unhideWhenUsed/>
    <w:qFormat/>
    <w:rsid w:val="009722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22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22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22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22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22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22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3708"/>
    <w:rPr>
      <w:rFonts w:ascii="Arial" w:eastAsiaTheme="majorEastAsia" w:hAnsi="Arial" w:cstheme="majorBidi"/>
      <w:b/>
      <w:color w:val="92D050"/>
      <w:sz w:val="24"/>
      <w:szCs w:val="40"/>
    </w:rPr>
  </w:style>
  <w:style w:type="character" w:customStyle="1" w:styleId="Titre2Car">
    <w:name w:val="Titre 2 Car"/>
    <w:basedOn w:val="Policepardfaut"/>
    <w:link w:val="Titre2"/>
    <w:uiPriority w:val="9"/>
    <w:rsid w:val="004C7ED0"/>
    <w:rPr>
      <w:rFonts w:asciiTheme="majorHAnsi" w:eastAsiaTheme="majorEastAsia" w:hAnsiTheme="majorHAnsi" w:cstheme="majorBidi"/>
      <w:color w:val="92D050"/>
      <w:sz w:val="32"/>
      <w:szCs w:val="32"/>
    </w:rPr>
  </w:style>
  <w:style w:type="character" w:customStyle="1" w:styleId="Titre3Car">
    <w:name w:val="Titre 3 Car"/>
    <w:basedOn w:val="Policepardfaut"/>
    <w:link w:val="Titre3"/>
    <w:uiPriority w:val="9"/>
    <w:semiHidden/>
    <w:rsid w:val="009722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22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22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22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22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22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22C8"/>
    <w:rPr>
      <w:rFonts w:eastAsiaTheme="majorEastAsia" w:cstheme="majorBidi"/>
      <w:color w:val="272727" w:themeColor="text1" w:themeTint="D8"/>
    </w:rPr>
  </w:style>
  <w:style w:type="paragraph" w:styleId="Titre">
    <w:name w:val="Title"/>
    <w:basedOn w:val="Normal"/>
    <w:next w:val="Normal"/>
    <w:link w:val="TitreCar"/>
    <w:uiPriority w:val="10"/>
    <w:qFormat/>
    <w:rsid w:val="00972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22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22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22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22C8"/>
    <w:pPr>
      <w:spacing w:before="160"/>
      <w:jc w:val="center"/>
    </w:pPr>
    <w:rPr>
      <w:i/>
      <w:iCs/>
      <w:color w:val="404040" w:themeColor="text1" w:themeTint="BF"/>
    </w:rPr>
  </w:style>
  <w:style w:type="character" w:customStyle="1" w:styleId="CitationCar">
    <w:name w:val="Citation Car"/>
    <w:basedOn w:val="Policepardfaut"/>
    <w:link w:val="Citation"/>
    <w:uiPriority w:val="29"/>
    <w:rsid w:val="009722C8"/>
    <w:rPr>
      <w:i/>
      <w:iCs/>
      <w:color w:val="404040" w:themeColor="text1" w:themeTint="BF"/>
    </w:rPr>
  </w:style>
  <w:style w:type="paragraph" w:styleId="Paragraphedeliste">
    <w:name w:val="List Paragraph"/>
    <w:basedOn w:val="Normal"/>
    <w:uiPriority w:val="34"/>
    <w:qFormat/>
    <w:rsid w:val="009722C8"/>
    <w:pPr>
      <w:ind w:left="720"/>
      <w:contextualSpacing/>
    </w:pPr>
  </w:style>
  <w:style w:type="character" w:styleId="Accentuationintense">
    <w:name w:val="Intense Emphasis"/>
    <w:basedOn w:val="Policepardfaut"/>
    <w:uiPriority w:val="21"/>
    <w:qFormat/>
    <w:rsid w:val="009722C8"/>
    <w:rPr>
      <w:i/>
      <w:iCs/>
      <w:color w:val="0F4761" w:themeColor="accent1" w:themeShade="BF"/>
    </w:rPr>
  </w:style>
  <w:style w:type="paragraph" w:styleId="Citationintense">
    <w:name w:val="Intense Quote"/>
    <w:basedOn w:val="Normal"/>
    <w:next w:val="Normal"/>
    <w:link w:val="CitationintenseCar"/>
    <w:uiPriority w:val="30"/>
    <w:qFormat/>
    <w:rsid w:val="00972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22C8"/>
    <w:rPr>
      <w:i/>
      <w:iCs/>
      <w:color w:val="0F4761" w:themeColor="accent1" w:themeShade="BF"/>
    </w:rPr>
  </w:style>
  <w:style w:type="character" w:styleId="Rfrenceintense">
    <w:name w:val="Intense Reference"/>
    <w:basedOn w:val="Policepardfaut"/>
    <w:uiPriority w:val="32"/>
    <w:qFormat/>
    <w:rsid w:val="009722C8"/>
    <w:rPr>
      <w:b/>
      <w:bCs/>
      <w:smallCaps/>
      <w:color w:val="0F4761" w:themeColor="accent1" w:themeShade="BF"/>
      <w:spacing w:val="5"/>
    </w:rPr>
  </w:style>
  <w:style w:type="paragraph" w:styleId="Sansinterligne">
    <w:name w:val="No Spacing"/>
    <w:link w:val="SansinterligneCar"/>
    <w:uiPriority w:val="1"/>
    <w:qFormat/>
    <w:rsid w:val="001015A8"/>
    <w:pPr>
      <w:spacing w:after="0" w:line="240" w:lineRule="auto"/>
    </w:pPr>
  </w:style>
  <w:style w:type="character" w:styleId="Lienhypertexte">
    <w:name w:val="Hyperlink"/>
    <w:basedOn w:val="Policepardfaut"/>
    <w:uiPriority w:val="99"/>
    <w:unhideWhenUsed/>
    <w:rsid w:val="004C7ED0"/>
    <w:rPr>
      <w:color w:val="467886" w:themeColor="hyperlink"/>
      <w:u w:val="single"/>
    </w:rPr>
  </w:style>
  <w:style w:type="character" w:customStyle="1" w:styleId="Mentionnonrsolue1">
    <w:name w:val="Mention non résolue1"/>
    <w:basedOn w:val="Policepardfaut"/>
    <w:uiPriority w:val="99"/>
    <w:semiHidden/>
    <w:unhideWhenUsed/>
    <w:rsid w:val="004C7ED0"/>
    <w:rPr>
      <w:color w:val="605E5C"/>
      <w:shd w:val="clear" w:color="auto" w:fill="E1DFDD"/>
    </w:rPr>
  </w:style>
  <w:style w:type="paragraph" w:styleId="En-ttedetabledesmatires">
    <w:name w:val="TOC Heading"/>
    <w:basedOn w:val="Titre1"/>
    <w:next w:val="Normal"/>
    <w:uiPriority w:val="39"/>
    <w:unhideWhenUsed/>
    <w:qFormat/>
    <w:rsid w:val="00351F3E"/>
    <w:pPr>
      <w:pBdr>
        <w:bottom w:val="none" w:sz="0" w:space="0" w:color="auto"/>
      </w:pBdr>
      <w:spacing w:before="240" w:after="0"/>
      <w:outlineLvl w:val="9"/>
    </w:pPr>
    <w:rPr>
      <w:rFonts w:asciiTheme="majorHAnsi" w:hAnsiTheme="majorHAnsi"/>
      <w:b w:val="0"/>
      <w:color w:val="0F4761" w:themeColor="accent1" w:themeShade="BF"/>
      <w:kern w:val="0"/>
      <w:sz w:val="32"/>
      <w:szCs w:val="32"/>
      <w:lang w:eastAsia="fr-FR"/>
      <w14:ligatures w14:val="none"/>
    </w:rPr>
  </w:style>
  <w:style w:type="paragraph" w:styleId="TM1">
    <w:name w:val="toc 1"/>
    <w:basedOn w:val="Normal"/>
    <w:next w:val="Normal"/>
    <w:autoRedefine/>
    <w:uiPriority w:val="39"/>
    <w:unhideWhenUsed/>
    <w:rsid w:val="00351F3E"/>
    <w:pPr>
      <w:spacing w:after="100"/>
    </w:pPr>
  </w:style>
  <w:style w:type="character" w:customStyle="1" w:styleId="SansinterligneCar">
    <w:name w:val="Sans interligne Car"/>
    <w:basedOn w:val="Policepardfaut"/>
    <w:link w:val="Sansinterligne"/>
    <w:uiPriority w:val="1"/>
    <w:rsid w:val="004A521A"/>
  </w:style>
  <w:style w:type="character" w:styleId="Lienhypertextesuivivisit">
    <w:name w:val="FollowedHyperlink"/>
    <w:basedOn w:val="Policepardfaut"/>
    <w:uiPriority w:val="99"/>
    <w:semiHidden/>
    <w:unhideWhenUsed/>
    <w:rsid w:val="000C3853"/>
    <w:rPr>
      <w:color w:val="96607D" w:themeColor="followedHyperlink"/>
      <w:u w:val="single"/>
    </w:rPr>
  </w:style>
  <w:style w:type="character" w:styleId="Mentionnonrsolue">
    <w:name w:val="Unresolved Mention"/>
    <w:basedOn w:val="Policepardfaut"/>
    <w:uiPriority w:val="99"/>
    <w:semiHidden/>
    <w:unhideWhenUsed/>
    <w:rsid w:val="009B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entreprise" TargetMode="External"/><Relationship Id="rId3" Type="http://schemas.openxmlformats.org/officeDocument/2006/relationships/styles" Target="styles.xml"/><Relationship Id="rId7" Type="http://schemas.openxmlformats.org/officeDocument/2006/relationships/hyperlink" Target="https://www.marches-publics.gouv.fr/entrepr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39D6-031C-4D91-8B45-3D6227AC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2804</Words>
  <Characters>15428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APCA - Paquet1</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YAO</dc:creator>
  <cp:keywords/>
  <dc:description/>
  <cp:lastModifiedBy>Henri YAO</cp:lastModifiedBy>
  <cp:revision>3</cp:revision>
  <dcterms:created xsi:type="dcterms:W3CDTF">2025-02-28T10:25:00Z</dcterms:created>
  <dcterms:modified xsi:type="dcterms:W3CDTF">2025-03-10T15:32:00Z</dcterms:modified>
</cp:coreProperties>
</file>