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29358835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kern w:val="2"/>
          <w:sz w:val="22"/>
          <w:szCs w:val="22"/>
          <w:lang w:eastAsia="en-US"/>
          <w14:ligatures w14:val="standardContextual"/>
        </w:rPr>
      </w:sdtEndPr>
      <w:sdtContent>
        <w:p w14:paraId="45ECE2F9" w14:textId="2F56CA5E" w:rsidR="00CF5E52" w:rsidRDefault="00CF5E52">
          <w:pPr>
            <w:pStyle w:val="En-ttedetabledesmatires"/>
          </w:pPr>
          <w:r>
            <w:t>Table des matières</w:t>
          </w:r>
        </w:p>
        <w:p w14:paraId="4C66030D" w14:textId="34517F68" w:rsidR="00CF5E52" w:rsidRDefault="00CF5E52">
          <w:pPr>
            <w:pStyle w:val="TM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047539" w:history="1">
            <w:r w:rsidRPr="00521E3D">
              <w:rPr>
                <w:rStyle w:val="Lienhypertexte"/>
                <w:noProof/>
              </w:rPr>
              <w:t>Préambule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_Toc191047539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FE7C3" w14:textId="7FCB9114" w:rsidR="00CF5E52" w:rsidRDefault="00CF5E52">
          <w:pPr>
            <w:pStyle w:val="TM1"/>
            <w:tabs>
              <w:tab w:val="left" w:pos="720"/>
              <w:tab w:val="right" w:leader="dot" w:pos="9062"/>
            </w:tabs>
            <w:rPr>
              <w:noProof/>
            </w:rPr>
          </w:pPr>
          <w:hyperlink w:anchor="_Toc191047540" w:history="1">
            <w:r w:rsidRPr="00521E3D">
              <w:rPr>
                <w:rStyle w:val="Lienhypertexte"/>
                <w:rFonts w:ascii="Arial" w:hAnsi="Arial"/>
                <w:b/>
                <w:caps/>
                <w:noProof/>
                <w:spacing w:val="20"/>
                <w:kern w:val="44"/>
                <w:position w:val="6"/>
                <w14:ligatures w14:val="none"/>
                <w14:numForm w14:val="lining"/>
              </w:rPr>
              <w:t>1.</w:t>
            </w:r>
            <w:r>
              <w:rPr>
                <w:noProof/>
              </w:rPr>
              <w:tab/>
            </w:r>
            <w:r w:rsidRPr="00521E3D">
              <w:rPr>
                <w:rStyle w:val="Lienhypertexte"/>
                <w:noProof/>
              </w:rPr>
              <w:t>Lancement du SAD et intégration dans le système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_Toc191047540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AD5BE" w14:textId="60C38DEC" w:rsidR="00CF5E52" w:rsidRDefault="00CF5E52">
          <w:pPr>
            <w:pStyle w:val="TM1"/>
            <w:tabs>
              <w:tab w:val="left" w:pos="720"/>
              <w:tab w:val="right" w:leader="dot" w:pos="9062"/>
            </w:tabs>
            <w:rPr>
              <w:noProof/>
            </w:rPr>
          </w:pPr>
          <w:hyperlink w:anchor="_Toc191047541" w:history="1">
            <w:r w:rsidRPr="00521E3D">
              <w:rPr>
                <w:rStyle w:val="Lienhypertexte"/>
                <w:rFonts w:ascii="Arial" w:hAnsi="Arial"/>
                <w:b/>
                <w:caps/>
                <w:noProof/>
                <w:spacing w:val="20"/>
                <w:kern w:val="44"/>
                <w:position w:val="6"/>
                <w14:ligatures w14:val="none"/>
                <w14:numForm w14:val="lining"/>
              </w:rPr>
              <w:t>2.</w:t>
            </w:r>
            <w:r>
              <w:rPr>
                <w:noProof/>
              </w:rPr>
              <w:tab/>
            </w:r>
            <w:r w:rsidRPr="00521E3D">
              <w:rPr>
                <w:rStyle w:val="Lienhypertexte"/>
                <w:noProof/>
              </w:rPr>
              <w:t>Lancement de marchés spécifiques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_Toc191047541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C51B6" w14:textId="49286FD3" w:rsidR="00CF5E52" w:rsidRDefault="00CF5E52">
          <w:r>
            <w:rPr>
              <w:b/>
              <w:bCs/>
            </w:rPr>
            <w:fldChar w:fldCharType="end"/>
          </w:r>
        </w:p>
      </w:sdtContent>
    </w:sdt>
    <w:p w14:paraId="5DF5558C" w14:textId="77777777" w:rsidR="00CF5E52" w:rsidRDefault="00CF5E52" w:rsidP="002E3540">
      <w:pPr>
        <w:pStyle w:val="Titre1"/>
        <w:numPr>
          <w:ilvl w:val="0"/>
          <w:numId w:val="0"/>
        </w:numPr>
        <w:ind w:left="720"/>
      </w:pPr>
    </w:p>
    <w:p w14:paraId="216B7B6C" w14:textId="4B9994FC" w:rsidR="00E64506" w:rsidRDefault="00E64506" w:rsidP="002E3540">
      <w:pPr>
        <w:pStyle w:val="Titre1"/>
        <w:numPr>
          <w:ilvl w:val="0"/>
          <w:numId w:val="0"/>
        </w:numPr>
        <w:ind w:left="720"/>
      </w:pPr>
      <w:bookmarkStart w:id="0" w:name="_Toc191047539"/>
      <w:r>
        <w:t>Préambule</w:t>
      </w:r>
      <w:bookmarkEnd w:id="0"/>
    </w:p>
    <w:p w14:paraId="138E00B9" w14:textId="2E19735D" w:rsidR="00790C22" w:rsidRDefault="00790C22" w:rsidP="009440C5">
      <w:pPr>
        <w:jc w:val="both"/>
      </w:pPr>
      <w:r w:rsidRPr="00790C22">
        <w:t xml:space="preserve">Le système d’acquisition dynamique (SAD) est régi par les articles R2162-37 et suivants du code de la commande publique. </w:t>
      </w:r>
    </w:p>
    <w:p w14:paraId="1E1B1C0B" w14:textId="01883EA8" w:rsidR="009440C5" w:rsidRDefault="009440C5" w:rsidP="009440C5">
      <w:pPr>
        <w:jc w:val="both"/>
      </w:pPr>
      <w:r>
        <w:t>Le système d’acquisition dynamique (SAD) est une technique d’achat consistant à présélectionner des opérateurs économiques susceptibles de répondre aux besoins d’un pouvoir adjudicateur</w:t>
      </w:r>
      <w:r w:rsidR="00B42ECB">
        <w:t>.</w:t>
      </w:r>
    </w:p>
    <w:p w14:paraId="1BB4024E" w14:textId="383CC7EC" w:rsidR="009440C5" w:rsidRDefault="009440C5" w:rsidP="009440C5">
      <w:pPr>
        <w:jc w:val="both"/>
      </w:pPr>
      <w:r>
        <w:t xml:space="preserve">Cette procédure permet ainsi de constituer un vivier de partenaires économiques capables de </w:t>
      </w:r>
      <w:r w:rsidR="00790C22">
        <w:t>répondre</w:t>
      </w:r>
      <w:r>
        <w:t xml:space="preserve"> aux besoins de l’acheteur. </w:t>
      </w:r>
    </w:p>
    <w:p w14:paraId="35DA029D" w14:textId="77777777" w:rsidR="009440C5" w:rsidRDefault="009440C5" w:rsidP="009440C5">
      <w:pPr>
        <w:jc w:val="both"/>
      </w:pPr>
      <w:r>
        <w:t xml:space="preserve">Le système est ouvert à l’intégration de nouveaux opérateurs pendant toute sa durée. Pour être admis, il suffit aux candidats de satisfaire aux critères d’intégration définis dans l’avis d’appel public à la concurrence du SAD. </w:t>
      </w:r>
    </w:p>
    <w:p w14:paraId="6F009FF2" w14:textId="77777777" w:rsidR="009440C5" w:rsidRDefault="009440C5" w:rsidP="009440C5">
      <w:pPr>
        <w:jc w:val="both"/>
      </w:pPr>
      <w:r>
        <w:t xml:space="preserve">C’est une procédure entièrement dématérialisée. Elle se déroule en deux temps : </w:t>
      </w:r>
    </w:p>
    <w:p w14:paraId="0F5FCD9D" w14:textId="6657F48B" w:rsidR="009440C5" w:rsidRDefault="009440C5" w:rsidP="009440C5">
      <w:pPr>
        <w:pStyle w:val="Paragraphedeliste"/>
        <w:numPr>
          <w:ilvl w:val="0"/>
          <w:numId w:val="1"/>
        </w:numPr>
        <w:jc w:val="both"/>
      </w:pPr>
      <w:r>
        <w:t>D’abord on lance le SAD, ce qui permet d’ouvrir le système aux candidatures et d’intégrer les premiers opérateurs économiques ;</w:t>
      </w:r>
    </w:p>
    <w:p w14:paraId="25152A3F" w14:textId="7593DA64" w:rsidR="009440C5" w:rsidRDefault="009440C5" w:rsidP="009440C5">
      <w:pPr>
        <w:pStyle w:val="Paragraphedeliste"/>
        <w:numPr>
          <w:ilvl w:val="0"/>
          <w:numId w:val="1"/>
        </w:numPr>
        <w:jc w:val="both"/>
      </w:pPr>
      <w:r>
        <w:t xml:space="preserve">Une fois le système créé et en parallèle de la phase d’intégration qui se poursuit toute la </w:t>
      </w:r>
      <w:proofErr w:type="gramStart"/>
      <w:r>
        <w:t>durée</w:t>
      </w:r>
      <w:proofErr w:type="gramEnd"/>
      <w:r>
        <w:t xml:space="preserve"> du système, on lance des marchés spécifiques destinés à répondre aux besoins de l’acheteur au fur et à mesure qu’ils surviennent.</w:t>
      </w:r>
    </w:p>
    <w:p w14:paraId="1FB4FD42" w14:textId="35D8B0ED" w:rsidR="009440C5" w:rsidRDefault="009440C5" w:rsidP="009440C5">
      <w:pPr>
        <w:jc w:val="both"/>
      </w:pPr>
      <w:r w:rsidRPr="009440C5">
        <w:t>Le</w:t>
      </w:r>
      <w:r w:rsidR="00790C22">
        <w:t xml:space="preserve"> Règlement de la consultation </w:t>
      </w:r>
      <w:r w:rsidR="00790C22" w:rsidRPr="009440C5">
        <w:t>précise</w:t>
      </w:r>
      <w:r w:rsidR="00790C22">
        <w:t xml:space="preserve"> </w:t>
      </w:r>
      <w:r w:rsidRPr="009440C5">
        <w:t>la nature des achats envisagés</w:t>
      </w:r>
      <w:r w:rsidR="00B42ECB">
        <w:t>, le montant maximum estimés</w:t>
      </w:r>
      <w:r w:rsidRPr="009440C5">
        <w:t xml:space="preserve"> leur subdivision en catégories</w:t>
      </w:r>
      <w:r w:rsidR="00B42ECB">
        <w:t xml:space="preserve"> (solutions) </w:t>
      </w:r>
      <w:r w:rsidR="00B42ECB" w:rsidRPr="009440C5">
        <w:t>et</w:t>
      </w:r>
      <w:r w:rsidRPr="009440C5">
        <w:t xml:space="preserve"> les caractéristiques de ces catégories</w:t>
      </w:r>
      <w:r w:rsidR="00B42ECB">
        <w:t xml:space="preserve"> (solutions), </w:t>
      </w:r>
      <w:r w:rsidRPr="009440C5">
        <w:t>les modalités de fonctionnement du SAD</w:t>
      </w:r>
      <w:r w:rsidR="00790C22">
        <w:t xml:space="preserve"> </w:t>
      </w:r>
      <w:r w:rsidR="00B42ECB">
        <w:t>ainsi que la</w:t>
      </w:r>
      <w:r w:rsidR="00790C22">
        <w:t xml:space="preserve"> participation </w:t>
      </w:r>
      <w:r w:rsidR="00B42ECB">
        <w:t>des candidats.</w:t>
      </w:r>
    </w:p>
    <w:p w14:paraId="2AC628DC" w14:textId="6B469760" w:rsidR="009440C5" w:rsidRPr="009440C5" w:rsidRDefault="009440C5" w:rsidP="00790C22">
      <w:pPr>
        <w:pStyle w:val="Titre1"/>
      </w:pPr>
      <w:bookmarkStart w:id="1" w:name="_Toc191047540"/>
      <w:r w:rsidRPr="009440C5">
        <w:t>Lancement du SAD et intégration dans le système</w:t>
      </w:r>
      <w:bookmarkEnd w:id="1"/>
      <w:r w:rsidRPr="009440C5">
        <w:t xml:space="preserve"> </w:t>
      </w:r>
    </w:p>
    <w:p w14:paraId="69E8ADE4" w14:textId="13659BFE" w:rsidR="009440C5" w:rsidRPr="008377E6" w:rsidRDefault="008377E6" w:rsidP="008377E6">
      <w:pPr>
        <w:ind w:left="708"/>
        <w:rPr>
          <w:b/>
          <w:bCs/>
        </w:rPr>
      </w:pPr>
      <w:r w:rsidRPr="008377E6">
        <w:rPr>
          <w:b/>
          <w:bCs/>
        </w:rPr>
        <w:t xml:space="preserve">1.1 </w:t>
      </w:r>
      <w:r w:rsidR="009440C5" w:rsidRPr="008377E6">
        <w:rPr>
          <w:b/>
          <w:bCs/>
        </w:rPr>
        <w:t xml:space="preserve">Étape de l’agrément des candidatures </w:t>
      </w:r>
    </w:p>
    <w:p w14:paraId="7C29CD87" w14:textId="77777777" w:rsidR="009440C5" w:rsidRDefault="009440C5" w:rsidP="009440C5">
      <w:pPr>
        <w:jc w:val="both"/>
      </w:pPr>
      <w:r>
        <w:t xml:space="preserve">L’acheteur publie un avis d’appel à la concurrence du SAD précisant l’objet du SAD et invitant les opérateurs économiques à solliciter leur intégration au système. </w:t>
      </w:r>
    </w:p>
    <w:p w14:paraId="2D94CEFC" w14:textId="6EE511E1" w:rsidR="009440C5" w:rsidRPr="008377E6" w:rsidRDefault="008377E6" w:rsidP="008377E6">
      <w:pPr>
        <w:ind w:left="708"/>
        <w:rPr>
          <w:b/>
          <w:bCs/>
        </w:rPr>
      </w:pPr>
      <w:r w:rsidRPr="008377E6">
        <w:rPr>
          <w:b/>
          <w:bCs/>
        </w:rPr>
        <w:t xml:space="preserve">1.2 </w:t>
      </w:r>
      <w:r w:rsidR="009440C5" w:rsidRPr="008377E6">
        <w:rPr>
          <w:b/>
          <w:bCs/>
        </w:rPr>
        <w:t xml:space="preserve">Avis d’appel à la concurrence du SAD </w:t>
      </w:r>
    </w:p>
    <w:p w14:paraId="6A29B541" w14:textId="0BB8CE0A" w:rsidR="009440C5" w:rsidRDefault="009440C5" w:rsidP="009440C5">
      <w:pPr>
        <w:jc w:val="both"/>
      </w:pPr>
      <w:r>
        <w:lastRenderedPageBreak/>
        <w:t>Il porte à la connaissance des opérateurs économiques le recours à un SAD. Il indique notamment sa durée de validité et les critères de sélection des candidatures. Il doit rester en accès libre, direct et complet pour toute la durée du SAD</w:t>
      </w:r>
      <w:r w:rsidR="00B42ECB">
        <w:t>.</w:t>
      </w:r>
      <w:r>
        <w:t xml:space="preserve"> </w:t>
      </w:r>
    </w:p>
    <w:p w14:paraId="7FAF6E31" w14:textId="4889DF2D" w:rsidR="009440C5" w:rsidRPr="008377E6" w:rsidRDefault="008377E6" w:rsidP="008377E6">
      <w:pPr>
        <w:ind w:left="708"/>
        <w:rPr>
          <w:b/>
          <w:bCs/>
        </w:rPr>
      </w:pPr>
      <w:r w:rsidRPr="008377E6">
        <w:rPr>
          <w:b/>
          <w:bCs/>
        </w:rPr>
        <w:t xml:space="preserve">1.3 </w:t>
      </w:r>
      <w:r w:rsidR="009440C5" w:rsidRPr="008377E6">
        <w:rPr>
          <w:b/>
          <w:bCs/>
        </w:rPr>
        <w:t xml:space="preserve">Soumission et analyse des candidatures </w:t>
      </w:r>
    </w:p>
    <w:p w14:paraId="339F7B76" w14:textId="6FA0D616" w:rsidR="009440C5" w:rsidRDefault="009440C5" w:rsidP="009440C5">
      <w:pPr>
        <w:jc w:val="both"/>
      </w:pPr>
      <w:r>
        <w:t>Les entreprises intéressées soumettent leur candidature qui peut faire l’objet d’une demande de précisions.</w:t>
      </w:r>
    </w:p>
    <w:p w14:paraId="06DADEEC" w14:textId="75ED1AB6" w:rsidR="009440C5" w:rsidRDefault="009440C5" w:rsidP="009440C5">
      <w:pPr>
        <w:jc w:val="both"/>
      </w:pPr>
      <w:r>
        <w:t xml:space="preserve">L’acheteur analyse la candidature et répond au candidat à compter de la réception du dossier de candidature (article R.2162-45 </w:t>
      </w:r>
      <w:r w:rsidR="00E64506">
        <w:t>du code</w:t>
      </w:r>
      <w:r>
        <w:t xml:space="preserve"> de la commande publique). </w:t>
      </w:r>
    </w:p>
    <w:p w14:paraId="66AB07A3" w14:textId="77777777" w:rsidR="00B42ECB" w:rsidRDefault="00B42ECB" w:rsidP="009440C5">
      <w:pPr>
        <w:jc w:val="both"/>
      </w:pPr>
    </w:p>
    <w:p w14:paraId="1AD64668" w14:textId="77777777" w:rsidR="00B42ECB" w:rsidRDefault="00B42ECB" w:rsidP="009440C5">
      <w:pPr>
        <w:jc w:val="both"/>
      </w:pPr>
    </w:p>
    <w:p w14:paraId="155D32D6" w14:textId="6FCA1B6B" w:rsidR="009440C5" w:rsidRPr="008377E6" w:rsidRDefault="008377E6" w:rsidP="008377E6">
      <w:pPr>
        <w:ind w:left="708"/>
        <w:rPr>
          <w:b/>
          <w:bCs/>
        </w:rPr>
      </w:pPr>
      <w:r w:rsidRPr="008377E6">
        <w:rPr>
          <w:b/>
          <w:bCs/>
        </w:rPr>
        <w:t xml:space="preserve">1.4 </w:t>
      </w:r>
      <w:r w:rsidR="009440C5" w:rsidRPr="008377E6">
        <w:rPr>
          <w:b/>
          <w:bCs/>
        </w:rPr>
        <w:t xml:space="preserve">Admission au SAD </w:t>
      </w:r>
    </w:p>
    <w:p w14:paraId="501CC812" w14:textId="77777777" w:rsidR="009440C5" w:rsidRDefault="009440C5" w:rsidP="009440C5">
      <w:pPr>
        <w:jc w:val="both"/>
      </w:pPr>
      <w:r>
        <w:t xml:space="preserve">Tous les soumissionnaires satisfaisant aux critères de sélection sont admis dans le système. Le nombre d’entreprises membres du SAD n’est pas limité. </w:t>
      </w:r>
    </w:p>
    <w:p w14:paraId="1DCFD325" w14:textId="77777777" w:rsidR="009440C5" w:rsidRDefault="009440C5" w:rsidP="009440C5">
      <w:pPr>
        <w:jc w:val="both"/>
      </w:pPr>
      <w:r>
        <w:t xml:space="preserve">Après un délai de 30 jours à compter du lancement du SAD, l’acheteur peut lancer des marchés spécifiques. </w:t>
      </w:r>
    </w:p>
    <w:p w14:paraId="1DC8BCE0" w14:textId="390294D3" w:rsidR="009440C5" w:rsidRPr="009440C5" w:rsidRDefault="009440C5" w:rsidP="009D6F4A">
      <w:pPr>
        <w:pStyle w:val="Titre1"/>
      </w:pPr>
      <w:bookmarkStart w:id="2" w:name="_Toc191047541"/>
      <w:r w:rsidRPr="009440C5">
        <w:t>Lancement de marchés spécifiques</w:t>
      </w:r>
      <w:bookmarkEnd w:id="2"/>
      <w:r w:rsidRPr="009440C5">
        <w:t xml:space="preserve"> </w:t>
      </w:r>
    </w:p>
    <w:p w14:paraId="257D0C62" w14:textId="708D83EB" w:rsidR="00B42ECB" w:rsidRPr="00B42ECB" w:rsidRDefault="00B42ECB" w:rsidP="00B42ECB">
      <w:pPr>
        <w:ind w:left="708"/>
        <w:jc w:val="both"/>
        <w:rPr>
          <w:b/>
          <w:bCs/>
        </w:rPr>
      </w:pPr>
      <w:r w:rsidRPr="00B42ECB">
        <w:rPr>
          <w:b/>
          <w:bCs/>
        </w:rPr>
        <w:t>2.1 Envoie de lettre d’invitation à soumissionner</w:t>
      </w:r>
    </w:p>
    <w:p w14:paraId="6A7A8D87" w14:textId="2957B9BB" w:rsidR="009440C5" w:rsidRDefault="009440C5" w:rsidP="009440C5">
      <w:pPr>
        <w:jc w:val="both"/>
      </w:pPr>
      <w:r>
        <w:t xml:space="preserve">Lorsque l’acheteur a un besoin, il consulte les seuls opérateurs économiques ayant intégré le SAD en leur transmettant le DCE du marché spécifique. </w:t>
      </w:r>
    </w:p>
    <w:p w14:paraId="0CB110DB" w14:textId="120FC61C" w:rsidR="009440C5" w:rsidRPr="008377E6" w:rsidRDefault="008377E6" w:rsidP="008377E6">
      <w:pPr>
        <w:ind w:left="708"/>
        <w:rPr>
          <w:b/>
          <w:bCs/>
        </w:rPr>
      </w:pPr>
      <w:r w:rsidRPr="008377E6">
        <w:rPr>
          <w:b/>
          <w:bCs/>
        </w:rPr>
        <w:t xml:space="preserve">2.1 </w:t>
      </w:r>
      <w:r w:rsidR="009440C5" w:rsidRPr="008377E6">
        <w:rPr>
          <w:b/>
          <w:bCs/>
        </w:rPr>
        <w:t xml:space="preserve">La mise à disposition des documents de la consultation des MS </w:t>
      </w:r>
    </w:p>
    <w:p w14:paraId="5DD9E12C" w14:textId="77777777" w:rsidR="009440C5" w:rsidRDefault="009440C5" w:rsidP="009440C5">
      <w:pPr>
        <w:jc w:val="both"/>
      </w:pPr>
      <w:r>
        <w:t xml:space="preserve">Les opérateurs économiques disposent d’un délai d’au moins 10 jours à compter de la date d’envoi de l’avis simplifié pour soumettre leur offre. </w:t>
      </w:r>
    </w:p>
    <w:p w14:paraId="3FEBD269" w14:textId="5F158D9D" w:rsidR="009440C5" w:rsidRPr="008377E6" w:rsidRDefault="008377E6" w:rsidP="008377E6">
      <w:pPr>
        <w:ind w:left="708"/>
        <w:rPr>
          <w:b/>
          <w:bCs/>
        </w:rPr>
      </w:pPr>
      <w:r w:rsidRPr="008377E6">
        <w:rPr>
          <w:b/>
          <w:bCs/>
        </w:rPr>
        <w:t xml:space="preserve">2.2 </w:t>
      </w:r>
      <w:r w:rsidR="009440C5" w:rsidRPr="008377E6">
        <w:rPr>
          <w:b/>
          <w:bCs/>
        </w:rPr>
        <w:t xml:space="preserve">Analyse et attribution des </w:t>
      </w:r>
      <w:r w:rsidR="00B42ECB">
        <w:rPr>
          <w:b/>
          <w:bCs/>
        </w:rPr>
        <w:t>marchés spécifiques</w:t>
      </w:r>
      <w:r w:rsidR="009440C5" w:rsidRPr="008377E6">
        <w:rPr>
          <w:b/>
          <w:bCs/>
        </w:rPr>
        <w:t xml:space="preserve"> </w:t>
      </w:r>
    </w:p>
    <w:p w14:paraId="40877BFD" w14:textId="77777777" w:rsidR="009440C5" w:rsidRDefault="009440C5" w:rsidP="009440C5">
      <w:pPr>
        <w:jc w:val="both"/>
      </w:pPr>
      <w:r>
        <w:t xml:space="preserve">L’acheteur analyse les offres et procède à l’attribution des MS. </w:t>
      </w:r>
    </w:p>
    <w:p w14:paraId="7DBD15F0" w14:textId="2CE4A687" w:rsidR="008377E6" w:rsidRPr="008377E6" w:rsidRDefault="008377E6" w:rsidP="008377E6">
      <w:pPr>
        <w:ind w:left="708"/>
        <w:rPr>
          <w:b/>
          <w:bCs/>
        </w:rPr>
      </w:pPr>
      <w:r w:rsidRPr="008377E6">
        <w:rPr>
          <w:b/>
          <w:bCs/>
        </w:rPr>
        <w:t xml:space="preserve">2.3 Exécution </w:t>
      </w:r>
    </w:p>
    <w:p w14:paraId="1AFEC414" w14:textId="28AC7AEB" w:rsidR="00E675B2" w:rsidRDefault="009440C5" w:rsidP="009440C5">
      <w:pPr>
        <w:jc w:val="both"/>
      </w:pPr>
      <w:r>
        <w:t>Le marché est exécuté par le service gestionnaire</w:t>
      </w:r>
    </w:p>
    <w:sectPr w:rsidR="00E67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7B36"/>
    <w:multiLevelType w:val="multilevel"/>
    <w:tmpl w:val="BCEAD524"/>
    <w:styleLink w:val="Style1"/>
    <w:lvl w:ilvl="0">
      <w:start w:val="1"/>
      <w:numFmt w:val="decimal"/>
      <w:lvlText w:val="1.%1"/>
      <w:lvlJc w:val="right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spacing w:val="20"/>
        <w:w w:val="100"/>
        <w:kern w:val="44"/>
        <w:position w:val="6"/>
        <w:sz w:val="20"/>
        <w:u w:val="none"/>
        <w:vertAlign w:val="baseline"/>
        <w14:ligatures w14:val="none"/>
        <w14:numForm w14:val="lining"/>
        <w14:stylisticSets>
          <w14:styleSet w14:id="2"/>
        </w14:stylisticSets>
        <w14:cntxtAlt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F3F54"/>
    <w:multiLevelType w:val="hybridMultilevel"/>
    <w:tmpl w:val="353815BE"/>
    <w:lvl w:ilvl="0" w:tplc="CD20D98C">
      <w:start w:val="1"/>
      <w:numFmt w:val="decimal"/>
      <w:lvlText w:val="1.%1"/>
      <w:lvlJc w:val="right"/>
      <w:pPr>
        <w:ind w:left="1776" w:hanging="360"/>
      </w:pPr>
      <w:rPr>
        <w:rFonts w:ascii="Arial" w:hAnsi="Arial" w:hint="default"/>
        <w:b/>
        <w:i w:val="0"/>
        <w:caps/>
        <w:strike w:val="0"/>
        <w:dstrike w:val="0"/>
        <w:spacing w:val="20"/>
        <w:w w:val="100"/>
        <w:kern w:val="44"/>
        <w:position w:val="6"/>
        <w:sz w:val="20"/>
        <w:u w:val="none"/>
        <w:vertAlign w:val="baseline"/>
        <w14:ligatures w14:val="none"/>
        <w14:numForm w14:val="lining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0153D"/>
    <w:multiLevelType w:val="multilevel"/>
    <w:tmpl w:val="57609626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3" w15:restartNumberingAfterBreak="0">
    <w:nsid w:val="53A658CD"/>
    <w:multiLevelType w:val="multilevel"/>
    <w:tmpl w:val="F85C9E76"/>
    <w:lvl w:ilvl="0">
      <w:start w:val="1"/>
      <w:numFmt w:val="decimal"/>
      <w:pStyle w:val="Titre1"/>
      <w:lvlText w:val="%1."/>
      <w:lvlJc w:val="right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spacing w:val="20"/>
        <w:w w:val="100"/>
        <w:kern w:val="44"/>
        <w:position w:val="6"/>
        <w:sz w:val="28"/>
        <w:u w:val="none"/>
        <w:vertAlign w:val="baseline"/>
        <w14:ligatures w14:val="none"/>
        <w14:numForm w14:val="lining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59B66A32"/>
    <w:multiLevelType w:val="hybridMultilevel"/>
    <w:tmpl w:val="46A6D364"/>
    <w:lvl w:ilvl="0" w:tplc="58C27EC8">
      <w:start w:val="1"/>
      <w:numFmt w:val="decimal"/>
      <w:lvlText w:val="1.%1"/>
      <w:lvlJc w:val="right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spacing w:val="20"/>
        <w:w w:val="100"/>
        <w:kern w:val="44"/>
        <w:position w:val="6"/>
        <w:sz w:val="20"/>
        <w:u w:val="none"/>
        <w:vertAlign w:val="baseline"/>
        <w14:ligatures w14:val="none"/>
        <w14:numForm w14:val="lining"/>
        <w14:stylisticSets>
          <w14:styleSet w14:id="2"/>
        </w14:stylisticSets>
        <w14:cntxtAlt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D7CB6"/>
    <w:multiLevelType w:val="hybridMultilevel"/>
    <w:tmpl w:val="4A96AB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961026">
    <w:abstractNumId w:val="5"/>
  </w:num>
  <w:num w:numId="2" w16cid:durableId="1436169678">
    <w:abstractNumId w:val="2"/>
  </w:num>
  <w:num w:numId="3" w16cid:durableId="178278357">
    <w:abstractNumId w:val="3"/>
  </w:num>
  <w:num w:numId="4" w16cid:durableId="1557664915">
    <w:abstractNumId w:val="1"/>
  </w:num>
  <w:num w:numId="5" w16cid:durableId="386223608">
    <w:abstractNumId w:val="4"/>
  </w:num>
  <w:num w:numId="6" w16cid:durableId="22742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C5"/>
    <w:rsid w:val="002E3540"/>
    <w:rsid w:val="00434B6E"/>
    <w:rsid w:val="00667371"/>
    <w:rsid w:val="00784A5C"/>
    <w:rsid w:val="00790C22"/>
    <w:rsid w:val="008377E6"/>
    <w:rsid w:val="008A6C1B"/>
    <w:rsid w:val="008B57C8"/>
    <w:rsid w:val="009440C5"/>
    <w:rsid w:val="009D6F4A"/>
    <w:rsid w:val="00A27422"/>
    <w:rsid w:val="00B42ECB"/>
    <w:rsid w:val="00CF5E52"/>
    <w:rsid w:val="00D277A3"/>
    <w:rsid w:val="00E64506"/>
    <w:rsid w:val="00E675B2"/>
    <w:rsid w:val="00F6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EEE2"/>
  <w15:chartTrackingRefBased/>
  <w15:docId w15:val="{794A3B48-FB91-40E8-A650-B7AE145C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7E6"/>
  </w:style>
  <w:style w:type="paragraph" w:styleId="Titre1">
    <w:name w:val="heading 1"/>
    <w:basedOn w:val="Normal"/>
    <w:next w:val="Normal"/>
    <w:link w:val="Titre1Car"/>
    <w:uiPriority w:val="9"/>
    <w:qFormat/>
    <w:rsid w:val="009D6F4A"/>
    <w:pPr>
      <w:keepNext/>
      <w:keepLines/>
      <w:numPr>
        <w:numId w:val="3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rsid w:val="008377E6"/>
    <w:pPr>
      <w:keepNext/>
      <w:keepLines/>
      <w:spacing w:before="160" w:after="80"/>
      <w:ind w:left="708"/>
      <w:outlineLvl w:val="1"/>
    </w:pPr>
    <w:rPr>
      <w:rFonts w:asciiTheme="majorHAnsi" w:eastAsiaTheme="majorEastAsia" w:hAnsiTheme="majorHAnsi" w:cstheme="majorBidi"/>
      <w:color w:val="0F4761" w:themeColor="accent1" w:themeShade="BF"/>
      <w:spacing w:val="20"/>
      <w:position w:val="4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0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0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0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0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0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0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0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D6F4A"/>
    <w:rPr>
      <w:rFonts w:asciiTheme="majorHAnsi" w:eastAsiaTheme="majorEastAsia" w:hAnsiTheme="majorHAnsi" w:cstheme="majorBidi"/>
      <w:color w:val="0F4761" w:themeColor="accent1" w:themeShade="BF"/>
      <w:sz w:val="40"/>
      <w:szCs w:val="4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377E6"/>
    <w:rPr>
      <w:rFonts w:asciiTheme="majorHAnsi" w:eastAsiaTheme="majorEastAsia" w:hAnsiTheme="majorHAnsi" w:cstheme="majorBidi"/>
      <w:color w:val="0F4761" w:themeColor="accent1" w:themeShade="BF"/>
      <w:spacing w:val="20"/>
      <w:position w:val="4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40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40C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0C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0C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40C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40C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40C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40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0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0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40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40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0C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40C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0C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0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0C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40C5"/>
    <w:rPr>
      <w:b/>
      <w:bCs/>
      <w:smallCaps/>
      <w:color w:val="0F4761" w:themeColor="accent1" w:themeShade="BF"/>
      <w:spacing w:val="5"/>
    </w:rPr>
  </w:style>
  <w:style w:type="numbering" w:customStyle="1" w:styleId="Style1">
    <w:name w:val="Style1"/>
    <w:basedOn w:val="Aucuneliste"/>
    <w:uiPriority w:val="99"/>
    <w:rsid w:val="008A6C1B"/>
    <w:pPr>
      <w:numPr>
        <w:numId w:val="6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F5E52"/>
    <w:pPr>
      <w:numPr>
        <w:numId w:val="0"/>
      </w:numPr>
      <w:spacing w:before="240" w:after="0"/>
      <w:outlineLvl w:val="9"/>
    </w:pPr>
    <w:rPr>
      <w:kern w:val="0"/>
      <w:sz w:val="32"/>
      <w:szCs w:val="32"/>
      <w:u w:val="none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CF5E5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CF5E52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773D4-37B8-470B-83C3-BDC04404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APCA - Paquet1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YAO</dc:creator>
  <cp:keywords/>
  <dc:description/>
  <cp:lastModifiedBy>Henri YAO</cp:lastModifiedBy>
  <cp:revision>4</cp:revision>
  <dcterms:created xsi:type="dcterms:W3CDTF">2025-02-21T13:43:00Z</dcterms:created>
  <dcterms:modified xsi:type="dcterms:W3CDTF">2025-02-21T15:25:00Z</dcterms:modified>
</cp:coreProperties>
</file>