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3A10" w14:textId="2F5C7276" w:rsidR="00D5106D" w:rsidRPr="00781DD2"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Marianne" w:eastAsia="Times New Roman" w:hAnsi="Marianne" w:cs="Arial"/>
          <w:b/>
          <w:kern w:val="0"/>
          <w:sz w:val="22"/>
          <w:szCs w:val="22"/>
          <w:lang w:eastAsia="fr-FR" w:bidi="ar-SA"/>
        </w:rPr>
      </w:pPr>
      <w:r w:rsidRPr="00781DD2">
        <w:rPr>
          <w:rFonts w:ascii="Marianne" w:eastAsia="Times New Roman" w:hAnsi="Marianne" w:cs="Arial"/>
          <w:b/>
          <w:kern w:val="0"/>
          <w:sz w:val="22"/>
          <w:szCs w:val="22"/>
          <w:lang w:eastAsia="fr-FR" w:bidi="ar-SA"/>
        </w:rPr>
        <w:t xml:space="preserve">ANNEXE </w:t>
      </w:r>
      <w:r w:rsidR="00403A3A" w:rsidRPr="00781DD2">
        <w:rPr>
          <w:rFonts w:ascii="Marianne" w:eastAsia="Times New Roman" w:hAnsi="Marianne" w:cs="Arial"/>
          <w:b/>
          <w:kern w:val="0"/>
          <w:sz w:val="22"/>
          <w:szCs w:val="22"/>
          <w:lang w:eastAsia="fr-FR" w:bidi="ar-SA"/>
        </w:rPr>
        <w:t xml:space="preserve">RELATIVE </w:t>
      </w:r>
      <w:r w:rsidR="00CC7EC4" w:rsidRPr="00781DD2">
        <w:rPr>
          <w:rFonts w:ascii="Marianne" w:eastAsia="Times New Roman" w:hAnsi="Marianne" w:cs="Arial"/>
          <w:b/>
          <w:kern w:val="0"/>
          <w:sz w:val="22"/>
          <w:szCs w:val="22"/>
          <w:lang w:eastAsia="fr-FR" w:bidi="ar-SA"/>
        </w:rPr>
        <w:t>AUX PRATIQUES DE L’ATTRIBUTAIRE EN MATIERE DE PROMOTION ET DE L’EGALITE ET DE LA MIXITE PROFESSIONNELLES ET DE PREVENTION DES DISCRIMINATIONS</w:t>
      </w:r>
    </w:p>
    <w:p w14:paraId="6AD355C5" w14:textId="77777777" w:rsidR="00D5106D" w:rsidRPr="00781DD2" w:rsidRDefault="00D5106D" w:rsidP="0010701C">
      <w:pPr>
        <w:jc w:val="center"/>
        <w:rPr>
          <w:rFonts w:ascii="Marianne" w:hAnsi="Marianne" w:cs="Arial"/>
          <w:b/>
          <w:bCs/>
          <w:sz w:val="22"/>
          <w:szCs w:val="22"/>
        </w:rPr>
      </w:pPr>
    </w:p>
    <w:p w14:paraId="488E5E60" w14:textId="77777777" w:rsidR="00655DCF" w:rsidRPr="00781DD2" w:rsidRDefault="00655DCF" w:rsidP="00655DCF">
      <w:pPr>
        <w:jc w:val="both"/>
        <w:rPr>
          <w:rFonts w:ascii="Marianne" w:hAnsi="Marianne" w:cs="Arial"/>
          <w:sz w:val="22"/>
          <w:szCs w:val="22"/>
        </w:rPr>
      </w:pPr>
    </w:p>
    <w:p w14:paraId="318895E2" w14:textId="77777777" w:rsidR="00923EAF" w:rsidRPr="00781DD2" w:rsidRDefault="00923EAF" w:rsidP="00923EAF">
      <w:pPr>
        <w:jc w:val="both"/>
        <w:rPr>
          <w:rFonts w:ascii="Marianne" w:hAnsi="Marianne" w:cs="Arial"/>
          <w:sz w:val="22"/>
          <w:szCs w:val="22"/>
        </w:rPr>
      </w:pPr>
      <w:r w:rsidRPr="00B32321">
        <w:rPr>
          <w:rFonts w:ascii="Marianne" w:hAnsi="Marianne" w:cs="Arial"/>
          <w:b/>
          <w:bCs/>
          <w:sz w:val="22"/>
          <w:szCs w:val="22"/>
        </w:rPr>
        <w:t>La Direction des services administratifs et financiers (DSAF)</w:t>
      </w:r>
      <w:r w:rsidRPr="00781DD2">
        <w:rPr>
          <w:rFonts w:ascii="Marianne" w:hAnsi="Marianne" w:cs="Arial"/>
          <w:sz w:val="22"/>
          <w:szCs w:val="22"/>
        </w:rPr>
        <w:t xml:space="preserve"> du Premier ministre bénéficie du Label Egalité professionnelle entre les femmes et les hommes et du Label Diversité. </w:t>
      </w:r>
    </w:p>
    <w:p w14:paraId="445122E8" w14:textId="77777777" w:rsidR="00923EAF" w:rsidRPr="00781DD2" w:rsidRDefault="00923EAF" w:rsidP="00923EAF">
      <w:pPr>
        <w:jc w:val="both"/>
        <w:rPr>
          <w:rFonts w:ascii="Marianne" w:hAnsi="Marianne" w:cs="Arial"/>
          <w:sz w:val="22"/>
          <w:szCs w:val="22"/>
        </w:rPr>
      </w:pPr>
    </w:p>
    <w:p w14:paraId="5FEAC2E9"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14:paraId="0730B0EB" w14:textId="77777777" w:rsidR="00923EAF" w:rsidRPr="00781DD2" w:rsidRDefault="00923EAF" w:rsidP="00923EAF">
      <w:pPr>
        <w:jc w:val="both"/>
        <w:rPr>
          <w:rFonts w:ascii="Marianne" w:hAnsi="Marianne" w:cs="Arial"/>
          <w:sz w:val="22"/>
          <w:szCs w:val="22"/>
        </w:rPr>
      </w:pPr>
    </w:p>
    <w:p w14:paraId="4C444D3E"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14:paraId="6A1355F2" w14:textId="77777777" w:rsidR="00923EAF" w:rsidRPr="00781DD2" w:rsidRDefault="00923EAF" w:rsidP="00923EAF">
      <w:pPr>
        <w:jc w:val="both"/>
        <w:rPr>
          <w:rFonts w:ascii="Marianne" w:hAnsi="Marianne" w:cs="Arial"/>
          <w:sz w:val="22"/>
          <w:szCs w:val="22"/>
        </w:rPr>
      </w:pPr>
    </w:p>
    <w:p w14:paraId="7354333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dossier de consultation des entreprises. </w:t>
      </w:r>
    </w:p>
    <w:p w14:paraId="337F2C53" w14:textId="77777777" w:rsidR="00923EAF" w:rsidRPr="00781DD2" w:rsidRDefault="00923EAF" w:rsidP="00923EAF">
      <w:pPr>
        <w:jc w:val="both"/>
        <w:rPr>
          <w:rFonts w:ascii="Marianne" w:hAnsi="Marianne" w:cs="Arial"/>
          <w:sz w:val="22"/>
          <w:szCs w:val="22"/>
        </w:rPr>
      </w:pPr>
    </w:p>
    <w:p w14:paraId="003EA4B3"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3C1288C8" w14:textId="77777777" w:rsidR="00923EAF" w:rsidRPr="00781DD2" w:rsidRDefault="00923EAF" w:rsidP="00923EAF">
      <w:pPr>
        <w:jc w:val="both"/>
        <w:rPr>
          <w:rFonts w:ascii="Marianne" w:hAnsi="Marianne" w:cs="Arial"/>
          <w:sz w:val="22"/>
          <w:szCs w:val="22"/>
        </w:rPr>
      </w:pPr>
    </w:p>
    <w:p w14:paraId="7E410C1D" w14:textId="77777777" w:rsidR="00923EAF" w:rsidRPr="00781DD2" w:rsidRDefault="00923EAF" w:rsidP="00923EAF">
      <w:pPr>
        <w:jc w:val="both"/>
        <w:rPr>
          <w:rFonts w:ascii="Marianne" w:hAnsi="Marianne" w:cs="Arial"/>
          <w:sz w:val="22"/>
          <w:szCs w:val="22"/>
        </w:rPr>
      </w:pPr>
      <w:r w:rsidRPr="00781DD2">
        <w:rPr>
          <w:rFonts w:ascii="Marianne" w:hAnsi="Marianne" w:cs="Arial"/>
          <w:sz w:val="22"/>
          <w:szCs w:val="22"/>
        </w:rPr>
        <w:t xml:space="preserve">Le questionnaire complété peut être remis soit au moment de la remise de l’offre soit au moment de l’attribution de l’accord-cadre au soumissionnaire retenu. Il n’est exigé que du seul attributaire. </w:t>
      </w:r>
    </w:p>
    <w:p w14:paraId="62BFB80F" w14:textId="77777777" w:rsidR="00923EAF" w:rsidRPr="00781DD2" w:rsidRDefault="00923EAF" w:rsidP="00923EAF">
      <w:pPr>
        <w:jc w:val="both"/>
        <w:rPr>
          <w:rFonts w:ascii="Marianne" w:hAnsi="Marianne" w:cs="Arial"/>
          <w:sz w:val="22"/>
          <w:szCs w:val="22"/>
        </w:rPr>
      </w:pPr>
    </w:p>
    <w:p w14:paraId="5640B20D" w14:textId="5FA2080B" w:rsidR="00655DCF" w:rsidRPr="00781DD2" w:rsidRDefault="00923EAF" w:rsidP="001568B7">
      <w:pPr>
        <w:jc w:val="both"/>
        <w:rPr>
          <w:rFonts w:ascii="Marianne" w:hAnsi="Marianne" w:cs="Arial"/>
          <w:sz w:val="22"/>
          <w:szCs w:val="22"/>
        </w:rPr>
      </w:pPr>
      <w:r w:rsidRPr="00B32321">
        <w:rPr>
          <w:rFonts w:ascii="Marianne" w:hAnsi="Marianne" w:cs="Arial"/>
          <w:b/>
          <w:bCs/>
          <w:sz w:val="22"/>
          <w:szCs w:val="22"/>
        </w:rPr>
        <w:t>Le contenu du questionnaire doit être actualisé par le titulaire du marché tous les ans et transmis à l’acheteur par tout moyen.</w:t>
      </w:r>
      <w:r w:rsidRPr="00781DD2">
        <w:rPr>
          <w:rFonts w:ascii="Marianne" w:hAnsi="Marianne" w:cs="Arial"/>
          <w:sz w:val="22"/>
          <w:szCs w:val="22"/>
        </w:rPr>
        <w:t xml:space="preserve"> </w:t>
      </w:r>
    </w:p>
    <w:p w14:paraId="0AFB75F7" w14:textId="77777777" w:rsidR="00655DCF" w:rsidRPr="00781DD2" w:rsidRDefault="00655DCF" w:rsidP="001568B7">
      <w:pPr>
        <w:jc w:val="both"/>
        <w:rPr>
          <w:rFonts w:ascii="Marianne" w:hAnsi="Marianne" w:cs="Arial"/>
          <w:sz w:val="22"/>
          <w:szCs w:val="22"/>
        </w:rPr>
      </w:pPr>
      <w:r w:rsidRPr="00781DD2">
        <w:rPr>
          <w:rFonts w:ascii="Marianne" w:hAnsi="Marianne" w:cs="Arial"/>
          <w:sz w:val="22"/>
          <w:szCs w:val="22"/>
        </w:rPr>
        <w:t xml:space="preserve">Au préalable sont rappelées les interdictions obligatoires de soumissionner sanctionnant le non-respect des politiques d’égalité entre les femmes et les hommes et de prévention des discriminations. </w:t>
      </w:r>
    </w:p>
    <w:p w14:paraId="6BE94504" w14:textId="77777777" w:rsidR="001568B7" w:rsidRPr="00781DD2" w:rsidRDefault="001568B7">
      <w:pPr>
        <w:rPr>
          <w:rFonts w:ascii="Marianne" w:hAnsi="Marianne" w:cs="Arial"/>
          <w:b/>
          <w:sz w:val="22"/>
          <w:szCs w:val="22"/>
        </w:rPr>
      </w:pPr>
      <w:r w:rsidRPr="00781DD2">
        <w:rPr>
          <w:rFonts w:ascii="Marianne" w:hAnsi="Marianne" w:cs="Arial"/>
          <w:b/>
          <w:sz w:val="22"/>
          <w:szCs w:val="22"/>
        </w:rPr>
        <w:br w:type="page"/>
      </w:r>
    </w:p>
    <w:p w14:paraId="6F09A4CF" w14:textId="77777777" w:rsidR="00655DCF" w:rsidRPr="00781DD2" w:rsidRDefault="00655DCF" w:rsidP="00655DCF">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Marianne" w:hAnsi="Marianne" w:cs="Arial"/>
          <w:b/>
          <w:sz w:val="22"/>
          <w:szCs w:val="22"/>
        </w:rPr>
      </w:pPr>
      <w:r w:rsidRPr="00781DD2">
        <w:rPr>
          <w:rFonts w:ascii="Marianne" w:hAnsi="Marianne" w:cs="Arial"/>
          <w:b/>
          <w:sz w:val="22"/>
          <w:szCs w:val="22"/>
        </w:rPr>
        <w:lastRenderedPageBreak/>
        <w:t>Interdictions de soumissionner relatives au non-respect des politiques d’égalité entre les femmes et les hommes et de prévention des discriminations</w:t>
      </w:r>
    </w:p>
    <w:p w14:paraId="656ABBC3" w14:textId="77777777" w:rsidR="00781DD2" w:rsidRPr="00B32321" w:rsidRDefault="00781DD2" w:rsidP="00781DD2">
      <w:pPr>
        <w:rPr>
          <w:rFonts w:ascii="Marianne" w:eastAsiaTheme="minorHAnsi" w:hAnsi="Marianne" w:cstheme="minorBidi"/>
          <w:sz w:val="22"/>
          <w:szCs w:val="22"/>
        </w:rPr>
      </w:pPr>
      <w:r w:rsidRPr="00B32321">
        <w:rPr>
          <w:rFonts w:ascii="Marianne" w:hAnsi="Marianne"/>
          <w:sz w:val="22"/>
          <w:szCs w:val="22"/>
        </w:rPr>
        <w:t>L’article L2141-4 du code de la commande publique dispose notamment que sont obligatoirement exclues des procédures de passation des marchés publics les personnes qui :</w:t>
      </w:r>
    </w:p>
    <w:p w14:paraId="4AB2090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proofErr w:type="gramStart"/>
      <w:r w:rsidRPr="00B32321">
        <w:rPr>
          <w:rFonts w:ascii="Marianne" w:hAnsi="Marianne"/>
          <w:sz w:val="22"/>
          <w:szCs w:val="22"/>
        </w:rPr>
        <w:t>ont</w:t>
      </w:r>
      <w:proofErr w:type="gramEnd"/>
      <w:r w:rsidRPr="00B32321">
        <w:rPr>
          <w:rFonts w:ascii="Marianne" w:hAnsi="Marianne"/>
          <w:sz w:val="22"/>
          <w:szCs w:val="22"/>
        </w:rPr>
        <w:t xml:space="preserve"> été condamnées au titre de l’article L. 1146-1 du code du travail ou de l’article 225-1 du code pénal ;</w:t>
      </w:r>
    </w:p>
    <w:p w14:paraId="2B10F536" w14:textId="77777777" w:rsidR="00781DD2" w:rsidRPr="00B32321" w:rsidRDefault="00781DD2" w:rsidP="00781DD2">
      <w:pPr>
        <w:pStyle w:val="Paragraphedeliste"/>
        <w:numPr>
          <w:ilvl w:val="0"/>
          <w:numId w:val="21"/>
        </w:numPr>
        <w:suppressAutoHyphens w:val="0"/>
        <w:spacing w:after="200" w:line="276" w:lineRule="auto"/>
        <w:contextualSpacing/>
        <w:rPr>
          <w:rFonts w:ascii="Marianne" w:hAnsi="Marianne"/>
          <w:sz w:val="22"/>
          <w:szCs w:val="22"/>
        </w:rPr>
      </w:pPr>
      <w:proofErr w:type="gramStart"/>
      <w:r w:rsidRPr="00B32321">
        <w:rPr>
          <w:rFonts w:ascii="Marianne" w:hAnsi="Marianne"/>
          <w:sz w:val="22"/>
          <w:szCs w:val="22"/>
        </w:rPr>
        <w:t>au</w:t>
      </w:r>
      <w:proofErr w:type="gramEnd"/>
      <w:r w:rsidRPr="00B32321">
        <w:rPr>
          <w:rFonts w:ascii="Marianne" w:hAnsi="Marianne"/>
          <w:sz w:val="22"/>
          <w:szCs w:val="22"/>
        </w:rPr>
        <w:t xml:space="preserve">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449BDDC7" w14:textId="77777777" w:rsidR="00781DD2" w:rsidRPr="00B32321" w:rsidRDefault="00781DD2" w:rsidP="00781DD2">
      <w:pPr>
        <w:rPr>
          <w:rFonts w:ascii="Marianne" w:hAnsi="Marianne"/>
          <w:b/>
          <w:sz w:val="22"/>
          <w:szCs w:val="22"/>
        </w:rPr>
      </w:pPr>
      <w:r w:rsidRPr="00B32321">
        <w:rPr>
          <w:rFonts w:ascii="Marianne" w:hAnsi="Marianne"/>
          <w:b/>
          <w:sz w:val="22"/>
          <w:szCs w:val="22"/>
        </w:rPr>
        <w:t>Textes des articles concernés</w:t>
      </w:r>
    </w:p>
    <w:p w14:paraId="2A97E7DF" w14:textId="77777777" w:rsidR="00781DD2" w:rsidRPr="00B32321" w:rsidRDefault="00781DD2" w:rsidP="00781DD2">
      <w:pPr>
        <w:spacing w:before="60"/>
        <w:rPr>
          <w:rFonts w:ascii="Marianne" w:eastAsiaTheme="minorHAnsi" w:hAnsi="Marianne" w:cstheme="minorBidi"/>
          <w:i/>
          <w:sz w:val="22"/>
          <w:szCs w:val="22"/>
        </w:rPr>
      </w:pPr>
      <w:r w:rsidRPr="00B32321">
        <w:rPr>
          <w:rFonts w:ascii="Marianne" w:hAnsi="Marianne"/>
          <w:i/>
          <w:sz w:val="22"/>
          <w:szCs w:val="22"/>
        </w:rPr>
        <w:t>Art. L 1146-1 du code du travail :</w:t>
      </w:r>
    </w:p>
    <w:p w14:paraId="20A721EB" w14:textId="773E2A8F" w:rsidR="00781DD2" w:rsidRPr="00B32321" w:rsidRDefault="00781DD2" w:rsidP="00781DD2">
      <w:pPr>
        <w:pStyle w:val="NormalWeb"/>
        <w:spacing w:before="60" w:after="0"/>
        <w:jc w:val="both"/>
        <w:rPr>
          <w:rFonts w:ascii="Marianne" w:hAnsi="Marianne"/>
          <w:i/>
        </w:rPr>
      </w:pPr>
      <w:r w:rsidRPr="00B32321">
        <w:rPr>
          <w:rFonts w:ascii="Marianne" w:hAnsi="Marianne"/>
          <w:i/>
        </w:rPr>
        <w:t xml:space="preserve">Le fait de méconnaître les dispositions relatives à l'égalité professionnelle entre les femmes et les hommes, prévues par les </w:t>
      </w:r>
      <w:hyperlink r:id="rId7" w:history="1">
        <w:r w:rsidRPr="00B32321">
          <w:rPr>
            <w:rStyle w:val="Lienhypertexte"/>
            <w:rFonts w:ascii="Marianne" w:hAnsi="Marianne"/>
            <w:i/>
          </w:rPr>
          <w:t>articles L. 1142-1 et L. 1142-2</w:t>
        </w:r>
      </w:hyperlink>
      <w:r w:rsidRPr="00B32321">
        <w:rPr>
          <w:rFonts w:ascii="Marianne" w:hAnsi="Marianne"/>
          <w:i/>
        </w:rPr>
        <w:t>, est puni d'un emprisonnement d'un an et d'une amende de 3 750 Euros.</w:t>
      </w:r>
      <w:r w:rsidR="00B32321">
        <w:rPr>
          <w:rFonts w:ascii="Marianne" w:hAnsi="Marianne"/>
          <w:i/>
        </w:rPr>
        <w:t xml:space="preserve"> </w:t>
      </w:r>
    </w:p>
    <w:p w14:paraId="46CCE7EC" w14:textId="77777777" w:rsidR="00781DD2" w:rsidRPr="00B32321" w:rsidRDefault="00781DD2" w:rsidP="00781DD2">
      <w:pPr>
        <w:pStyle w:val="NormalWeb"/>
        <w:jc w:val="both"/>
        <w:rPr>
          <w:rFonts w:ascii="Marianne" w:hAnsi="Marianne"/>
          <w:i/>
        </w:rPr>
      </w:pPr>
      <w:r w:rsidRPr="00B32321">
        <w:rPr>
          <w:rFonts w:ascii="Marianne" w:hAnsi="Marianne"/>
          <w:i/>
        </w:rPr>
        <w:t xml:space="preserve">La juridiction peut également ordonner, à titre de peine complémentaire, l'affichage du jugement aux frais de la personne condamnée dans les conditions prévues à </w:t>
      </w:r>
      <w:hyperlink r:id="rId8" w:history="1">
        <w:r w:rsidRPr="00B32321">
          <w:rPr>
            <w:rStyle w:val="Lienhypertexte"/>
            <w:rFonts w:ascii="Marianne" w:hAnsi="Marianne"/>
            <w:i/>
          </w:rPr>
          <w:t>l'article 131-35</w:t>
        </w:r>
      </w:hyperlink>
      <w:r w:rsidRPr="00B32321">
        <w:rPr>
          <w:rFonts w:ascii="Marianne" w:hAnsi="Marianne"/>
          <w:i/>
        </w:rPr>
        <w:t xml:space="preserve"> du code pénal et son insertion, intégrale ou par extraits, dans les journaux qu'elle désigne. Ces frais ne peuvent excéder le montant maximum de l'amende encourue.</w:t>
      </w:r>
    </w:p>
    <w:p w14:paraId="3DEA2160" w14:textId="77777777" w:rsidR="00781DD2" w:rsidRPr="00B32321" w:rsidRDefault="00781DD2" w:rsidP="00781DD2">
      <w:pPr>
        <w:pStyle w:val="NormalWeb"/>
        <w:jc w:val="both"/>
        <w:rPr>
          <w:rFonts w:ascii="Marianne" w:hAnsi="Marianne"/>
          <w:i/>
        </w:rPr>
      </w:pPr>
    </w:p>
    <w:p w14:paraId="5A0F3524" w14:textId="77777777" w:rsidR="00781DD2" w:rsidRPr="00B32321" w:rsidRDefault="00781DD2" w:rsidP="00781DD2">
      <w:pPr>
        <w:spacing w:before="60"/>
        <w:rPr>
          <w:rFonts w:ascii="Marianne" w:hAnsi="Marianne"/>
          <w:i/>
          <w:sz w:val="22"/>
          <w:szCs w:val="22"/>
        </w:rPr>
      </w:pPr>
      <w:r w:rsidRPr="00B32321">
        <w:rPr>
          <w:rFonts w:ascii="Marianne" w:hAnsi="Marianne"/>
          <w:i/>
          <w:sz w:val="22"/>
          <w:szCs w:val="22"/>
        </w:rPr>
        <w:t xml:space="preserve">Art. 225-1 du code pénal : </w:t>
      </w:r>
    </w:p>
    <w:p w14:paraId="14769B0B" w14:textId="77777777" w:rsidR="00781DD2" w:rsidRPr="00B32321" w:rsidRDefault="00781DD2" w:rsidP="00781DD2">
      <w:pPr>
        <w:pStyle w:val="NormalWeb"/>
        <w:jc w:val="both"/>
        <w:rPr>
          <w:rFonts w:ascii="Marianne" w:eastAsia="Times New Roman" w:hAnsi="Marianne"/>
          <w:i/>
        </w:rPr>
      </w:pPr>
      <w:r w:rsidRPr="00B32321">
        <w:rPr>
          <w:rFonts w:ascii="Marianne" w:hAnsi="Marianne"/>
          <w:i/>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9" w:tooltip="LOI n°2016-1691 du 9 décembre 2016 - art. 6-1 (V)" w:history="1">
        <w:r w:rsidRPr="00B32321">
          <w:rPr>
            <w:rStyle w:val="Lienhypertexte"/>
            <w:rFonts w:ascii="Marianne" w:hAnsi="Marianne"/>
            <w:i/>
          </w:rPr>
          <w:t>1° et 2° de l'article 6-1 de la loi n° 2016-1691 du 9 décembre 2016</w:t>
        </w:r>
      </w:hyperlink>
      <w:r w:rsidRPr="00B32321">
        <w:rPr>
          <w:rFonts w:ascii="Marianne" w:hAnsi="Marianne"/>
          <w:i/>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2526BD3B" w14:textId="77777777" w:rsidR="00781DD2" w:rsidRPr="00B32321" w:rsidRDefault="00781DD2" w:rsidP="00781DD2">
      <w:pPr>
        <w:pStyle w:val="NormalWeb"/>
        <w:jc w:val="both"/>
        <w:rPr>
          <w:rFonts w:ascii="Marianne" w:hAnsi="Marianne"/>
          <w:i/>
        </w:rPr>
      </w:pPr>
      <w:r w:rsidRPr="00B32321">
        <w:rPr>
          <w:rFonts w:ascii="Marianne" w:hAnsi="Marianne"/>
          <w:i/>
        </w:rPr>
        <w:lastRenderedPageBreak/>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w:t>
      </w:r>
      <w:hyperlink r:id="rId10" w:tooltip="LOI n°2016-1691 du 9 décembre 2016 - art. 6-1 (V)" w:history="1">
        <w:r w:rsidRPr="00B32321">
          <w:rPr>
            <w:rStyle w:val="Lienhypertexte"/>
            <w:rFonts w:ascii="Marianne" w:hAnsi="Marianne"/>
            <w:i/>
          </w:rPr>
          <w:t>1° et 2° de l'article 6-1 de la loi n° 2016-1691 du 9 décembre 2016 précitée</w:t>
        </w:r>
      </w:hyperlink>
      <w:r w:rsidRPr="00B32321">
        <w:rPr>
          <w:rFonts w:ascii="Marianne" w:hAnsi="Marianne"/>
          <w:i/>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5A3637CE" w14:textId="77777777" w:rsidR="00781DD2" w:rsidRPr="00B32321" w:rsidRDefault="00781DD2" w:rsidP="00781DD2">
      <w:pPr>
        <w:pStyle w:val="NormalWeb"/>
        <w:spacing w:before="60" w:after="0"/>
        <w:jc w:val="both"/>
        <w:rPr>
          <w:rFonts w:ascii="Marianne" w:hAnsi="Marianne"/>
          <w:i/>
        </w:rPr>
      </w:pPr>
    </w:p>
    <w:p w14:paraId="6D07BC97" w14:textId="77777777" w:rsidR="00781DD2" w:rsidRPr="00B32321" w:rsidRDefault="00781DD2" w:rsidP="00781DD2">
      <w:pPr>
        <w:rPr>
          <w:rFonts w:ascii="Marianne" w:hAnsi="Marianne"/>
          <w:i/>
          <w:sz w:val="22"/>
          <w:szCs w:val="22"/>
        </w:rPr>
      </w:pPr>
      <w:r w:rsidRPr="00B32321">
        <w:rPr>
          <w:rFonts w:ascii="Marianne" w:hAnsi="Marianne"/>
          <w:i/>
          <w:sz w:val="22"/>
          <w:szCs w:val="22"/>
        </w:rPr>
        <w:t>Art. L. 2242-1 du code du travail :</w:t>
      </w:r>
    </w:p>
    <w:p w14:paraId="5CDAD621"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Dans les entreprises où sont constituées une ou plusieurs sections syndicales d'organisations représentatives, l'employeur engage au moins une fois tous les quatre ans :</w:t>
      </w:r>
    </w:p>
    <w:p w14:paraId="525591C5"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1° Une négociation sur la rémunération, notamment les salaires effectifs, le temps de travail et le partage de la valeur ajoutée dans l'entreprise ;</w:t>
      </w:r>
    </w:p>
    <w:p w14:paraId="37C60DFB" w14:textId="77777777" w:rsidR="00781DD2" w:rsidRPr="00B32321" w:rsidRDefault="00781DD2" w:rsidP="00781DD2">
      <w:pPr>
        <w:pStyle w:val="NormalWeb"/>
        <w:spacing w:before="60" w:after="0"/>
        <w:jc w:val="both"/>
        <w:rPr>
          <w:rFonts w:ascii="Marianne" w:hAnsi="Marianne"/>
          <w:i/>
        </w:rPr>
      </w:pPr>
      <w:r w:rsidRPr="00B32321">
        <w:rPr>
          <w:rFonts w:ascii="Marianne" w:hAnsi="Marianne"/>
          <w:i/>
        </w:rPr>
        <w:t>2° Une négociation sur l'égalité professionnelle entre les femmes et les hommes, portant notamment sur les mesures visant à supprimer les écarts de rémunération, et la qualité de vie et des conditions de travail. »</w:t>
      </w:r>
    </w:p>
    <w:p w14:paraId="7BD09E51" w14:textId="77777777" w:rsidR="00D512DA" w:rsidRPr="00781DD2" w:rsidRDefault="00D512DA" w:rsidP="00655DCF">
      <w:pPr>
        <w:pStyle w:val="NormalWeb"/>
        <w:spacing w:after="0"/>
        <w:jc w:val="both"/>
        <w:rPr>
          <w:rFonts w:ascii="Marianne" w:hAnsi="Marianne" w:cs="Arial"/>
          <w:i/>
        </w:rPr>
      </w:pPr>
    </w:p>
    <w:p w14:paraId="0D5673AD" w14:textId="77777777" w:rsidR="00655DCF" w:rsidRPr="00781DD2" w:rsidRDefault="00655DCF" w:rsidP="00655DCF">
      <w:pPr>
        <w:pBdr>
          <w:top w:val="single" w:sz="4" w:space="1" w:color="auto"/>
          <w:left w:val="single" w:sz="4" w:space="4" w:color="auto"/>
          <w:bottom w:val="single" w:sz="4" w:space="1" w:color="auto"/>
          <w:right w:val="single" w:sz="4" w:space="4" w:color="auto"/>
        </w:pBdr>
        <w:jc w:val="center"/>
        <w:rPr>
          <w:rFonts w:ascii="Marianne" w:hAnsi="Marianne" w:cs="Arial"/>
          <w:b/>
          <w:bCs/>
          <w:sz w:val="22"/>
          <w:szCs w:val="22"/>
        </w:rPr>
      </w:pPr>
      <w:r w:rsidRPr="00781DD2">
        <w:rPr>
          <w:rFonts w:ascii="Marianne" w:hAnsi="Marianne" w:cs="Arial"/>
          <w:b/>
          <w:bCs/>
          <w:sz w:val="22"/>
          <w:szCs w:val="22"/>
        </w:rPr>
        <w:t>Questionnaire relatif aux pratiques de l’attributaire en matière de promotion et de l’égalité et de la mixité professionnelles et de</w:t>
      </w:r>
      <w:r w:rsidR="00D512DA" w:rsidRPr="00781DD2">
        <w:rPr>
          <w:rFonts w:ascii="Marianne" w:hAnsi="Marianne" w:cs="Arial"/>
          <w:b/>
          <w:bCs/>
          <w:sz w:val="22"/>
          <w:szCs w:val="22"/>
        </w:rPr>
        <w:t xml:space="preserve"> prévention des discriminations</w:t>
      </w:r>
    </w:p>
    <w:p w14:paraId="48A07D34" w14:textId="77777777" w:rsidR="00655DCF" w:rsidRPr="00781DD2" w:rsidRDefault="00655DCF" w:rsidP="00655DCF">
      <w:pPr>
        <w:jc w:val="both"/>
        <w:rPr>
          <w:rFonts w:ascii="Marianne" w:hAnsi="Marianne" w:cs="Arial"/>
          <w:b/>
          <w:bCs/>
          <w:sz w:val="22"/>
          <w:szCs w:val="22"/>
        </w:rPr>
      </w:pPr>
    </w:p>
    <w:p w14:paraId="4FF0070F" w14:textId="77777777" w:rsidR="00747887" w:rsidRPr="00781DD2" w:rsidRDefault="00747887" w:rsidP="00747887">
      <w:pPr>
        <w:autoSpaceDE w:val="0"/>
        <w:jc w:val="both"/>
        <w:rPr>
          <w:rFonts w:ascii="Marianne" w:hAnsi="Marianne" w:cs="Arial"/>
          <w:sz w:val="22"/>
          <w:szCs w:val="22"/>
        </w:rPr>
      </w:pPr>
      <w:r w:rsidRPr="00781DD2">
        <w:rPr>
          <w:rFonts w:ascii="Marianne" w:hAnsi="Marianne" w:cs="Arial"/>
          <w:sz w:val="22"/>
          <w:szCs w:val="22"/>
        </w:rPr>
        <w:t xml:space="preserve">Les informations renseignées dans ce formulaire n’ont aucune incidence sur l’analyse des candidatures ni sur l’évaluation et la sélection des offres reçues. </w:t>
      </w:r>
    </w:p>
    <w:p w14:paraId="464BBC1E" w14:textId="77777777" w:rsidR="004D30F0" w:rsidRPr="00781DD2" w:rsidRDefault="004D30F0" w:rsidP="00747887">
      <w:pPr>
        <w:autoSpaceDE w:val="0"/>
        <w:jc w:val="both"/>
        <w:rPr>
          <w:rFonts w:ascii="Marianne" w:hAnsi="Marianne" w:cs="Arial"/>
          <w:sz w:val="22"/>
          <w:szCs w:val="22"/>
        </w:rPr>
      </w:pPr>
    </w:p>
    <w:p w14:paraId="627C936D" w14:textId="117ABBB2" w:rsidR="00747887" w:rsidRPr="00781DD2" w:rsidRDefault="00747887" w:rsidP="00747887">
      <w:pPr>
        <w:autoSpaceDE w:val="0"/>
        <w:jc w:val="both"/>
        <w:rPr>
          <w:rFonts w:ascii="Marianne" w:hAnsi="Marianne" w:cs="Arial"/>
          <w:b/>
          <w:bCs/>
          <w:sz w:val="22"/>
          <w:szCs w:val="22"/>
        </w:rPr>
      </w:pPr>
      <w:r w:rsidRPr="00781DD2">
        <w:rPr>
          <w:rFonts w:ascii="Marianne" w:hAnsi="Marianne" w:cs="Arial"/>
          <w:sz w:val="22"/>
          <w:szCs w:val="22"/>
        </w:rPr>
        <w:t>Le présent questionnaire complété peut être remis soit au moment de la remise de l’offre soit au moment de l’attribution de l’accord-cadre au soumissionnaire retenu. Il n’est exigé que du seul attributaire (</w:t>
      </w:r>
      <w:r w:rsidRPr="00781DD2">
        <w:rPr>
          <w:rFonts w:ascii="Marianne" w:hAnsi="Marianne" w:cs="Arial"/>
          <w:bCs/>
          <w:color w:val="0070C0"/>
          <w:sz w:val="22"/>
          <w:szCs w:val="22"/>
        </w:rPr>
        <w:t xml:space="preserve">article </w:t>
      </w:r>
      <w:r w:rsidR="0005663F" w:rsidRPr="00781DD2">
        <w:rPr>
          <w:rFonts w:ascii="Marianne" w:hAnsi="Marianne" w:cs="Arial"/>
          <w:bCs/>
          <w:color w:val="0070C0"/>
          <w:sz w:val="22"/>
          <w:szCs w:val="22"/>
        </w:rPr>
        <w:t>6</w:t>
      </w:r>
      <w:r w:rsidRPr="00781DD2">
        <w:rPr>
          <w:rFonts w:ascii="Marianne" w:hAnsi="Marianne" w:cs="Arial"/>
          <w:bCs/>
          <w:color w:val="0070C0"/>
          <w:sz w:val="22"/>
          <w:szCs w:val="22"/>
        </w:rPr>
        <w:t xml:space="preserve"> du CC</w:t>
      </w:r>
      <w:r w:rsidR="00EA63E8" w:rsidRPr="00781DD2">
        <w:rPr>
          <w:rFonts w:ascii="Marianne" w:hAnsi="Marianne" w:cs="Arial"/>
          <w:bCs/>
          <w:color w:val="0070C0"/>
          <w:sz w:val="22"/>
          <w:szCs w:val="22"/>
        </w:rPr>
        <w:t>A</w:t>
      </w:r>
      <w:r w:rsidRPr="00781DD2">
        <w:rPr>
          <w:rFonts w:ascii="Marianne" w:hAnsi="Marianne" w:cs="Arial"/>
          <w:bCs/>
          <w:color w:val="0070C0"/>
          <w:sz w:val="22"/>
          <w:szCs w:val="22"/>
        </w:rPr>
        <w:t>P</w:t>
      </w:r>
      <w:r w:rsidRPr="00781DD2">
        <w:rPr>
          <w:rFonts w:ascii="Marianne" w:hAnsi="Marianne" w:cs="Arial"/>
          <w:bCs/>
          <w:sz w:val="22"/>
          <w:szCs w:val="22"/>
        </w:rPr>
        <w:t xml:space="preserve">). </w:t>
      </w:r>
    </w:p>
    <w:p w14:paraId="6030B634" w14:textId="77777777" w:rsidR="00655DCF" w:rsidRPr="00781DD2" w:rsidRDefault="00655DCF" w:rsidP="00655DCF">
      <w:pPr>
        <w:jc w:val="both"/>
        <w:rPr>
          <w:rFonts w:ascii="Marianne" w:hAnsi="Marianne" w:cs="Arial"/>
          <w:sz w:val="22"/>
          <w:szCs w:val="22"/>
        </w:rPr>
      </w:pPr>
    </w:p>
    <w:p w14:paraId="7B9F085C" w14:textId="77777777" w:rsidR="00CC7EC4" w:rsidRPr="00B32321" w:rsidRDefault="00CC7EC4" w:rsidP="00CC7EC4">
      <w:pPr>
        <w:widowControl/>
        <w:autoSpaceDN/>
        <w:spacing w:before="240" w:after="120"/>
        <w:jc w:val="both"/>
        <w:textAlignment w:val="auto"/>
        <w:rPr>
          <w:rFonts w:ascii="Marianne" w:eastAsia="Century Gothic" w:hAnsi="Marianne" w:cs="Arial"/>
          <w:b/>
          <w:bCs/>
          <w:kern w:val="0"/>
          <w:sz w:val="22"/>
          <w:szCs w:val="22"/>
          <w:lang w:eastAsia="en-US" w:bidi="ar-SA"/>
        </w:rPr>
      </w:pPr>
      <w:r w:rsidRPr="00B32321">
        <w:rPr>
          <w:rFonts w:ascii="Marianne" w:eastAsia="Century Gothic" w:hAnsi="Marianne" w:cs="Arial"/>
          <w:b/>
          <w:bCs/>
          <w:kern w:val="0"/>
          <w:sz w:val="22"/>
          <w:szCs w:val="22"/>
          <w:lang w:eastAsia="en-US" w:bidi="ar-SA"/>
        </w:rPr>
        <w:t xml:space="preserve">Référence de la consultation : </w:t>
      </w:r>
    </w:p>
    <w:p w14:paraId="1F10B467" w14:textId="77777777" w:rsidR="00CC7EC4" w:rsidRPr="00B32321" w:rsidRDefault="00CC7EC4" w:rsidP="00CC7EC4">
      <w:pPr>
        <w:widowControl/>
        <w:autoSpaceDN/>
        <w:spacing w:before="240" w:after="120"/>
        <w:jc w:val="both"/>
        <w:textAlignment w:val="auto"/>
        <w:rPr>
          <w:rFonts w:ascii="Marianne" w:eastAsia="Century Gothic" w:hAnsi="Marianne" w:cs="Arial"/>
          <w:b/>
          <w:bCs/>
          <w:kern w:val="0"/>
          <w:sz w:val="22"/>
          <w:szCs w:val="22"/>
          <w:lang w:eastAsia="en-US" w:bidi="ar-SA"/>
        </w:rPr>
      </w:pPr>
      <w:r w:rsidRPr="00B32321">
        <w:rPr>
          <w:rFonts w:ascii="Marianne" w:eastAsia="Century Gothic" w:hAnsi="Marianne" w:cs="Arial"/>
          <w:b/>
          <w:bCs/>
          <w:kern w:val="0"/>
          <w:sz w:val="22"/>
          <w:szCs w:val="22"/>
          <w:lang w:eastAsia="en-US" w:bidi="ar-SA"/>
        </w:rPr>
        <w:t xml:space="preserve">Informations relatives au candidat / attributaire : </w:t>
      </w:r>
    </w:p>
    <w:p w14:paraId="5EE58B17" w14:textId="77777777" w:rsidR="00CC7EC4" w:rsidRPr="00B32321"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Coordonnées de la société : </w:t>
      </w:r>
      <w:r w:rsidRPr="00B32321">
        <w:rPr>
          <w:rFonts w:ascii="Marianne" w:eastAsia="Century Gothic" w:hAnsi="Marianne" w:cs="Arial"/>
          <w:i/>
          <w:kern w:val="0"/>
          <w:sz w:val="22"/>
          <w:szCs w:val="22"/>
          <w:highlight w:val="lightGray"/>
          <w:lang w:eastAsia="en-US" w:bidi="ar-SA"/>
        </w:rPr>
        <w:t>[à compléter]</w:t>
      </w:r>
    </w:p>
    <w:p w14:paraId="09E4B18E" w14:textId="4F7215C7" w:rsidR="00CC7EC4" w:rsidRDefault="00CC7EC4" w:rsidP="00CC7EC4">
      <w:pPr>
        <w:widowControl/>
        <w:autoSpaceDN/>
        <w:spacing w:before="240" w:after="120"/>
        <w:jc w:val="both"/>
        <w:textAlignment w:val="auto"/>
        <w:rPr>
          <w:rFonts w:ascii="Marianne" w:eastAsia="Century Gothic" w:hAnsi="Marianne" w:cs="Arial"/>
          <w:i/>
          <w:kern w:val="0"/>
          <w:sz w:val="22"/>
          <w:szCs w:val="22"/>
          <w:lang w:eastAsia="en-US" w:bidi="ar-SA"/>
        </w:rPr>
      </w:pPr>
      <w:r w:rsidRPr="00B32321">
        <w:rPr>
          <w:rFonts w:ascii="Marianne" w:eastAsia="Century Gothic" w:hAnsi="Marianne" w:cs="Arial"/>
          <w:kern w:val="0"/>
          <w:sz w:val="22"/>
          <w:szCs w:val="22"/>
          <w:lang w:eastAsia="en-US" w:bidi="ar-SA"/>
        </w:rPr>
        <w:t xml:space="preserve">Nom et coordonnées du référent RH du candidat (si applicable) : </w:t>
      </w:r>
      <w:r w:rsidRPr="00B32321">
        <w:rPr>
          <w:rFonts w:ascii="Marianne" w:eastAsia="Century Gothic" w:hAnsi="Marianne" w:cs="Arial"/>
          <w:i/>
          <w:kern w:val="0"/>
          <w:sz w:val="22"/>
          <w:szCs w:val="22"/>
          <w:highlight w:val="lightGray"/>
          <w:lang w:eastAsia="en-US" w:bidi="ar-SA"/>
        </w:rPr>
        <w:t>[à compléter]</w:t>
      </w:r>
    </w:p>
    <w:p w14:paraId="284AEE9A" w14:textId="77777777" w:rsidR="00781DD2" w:rsidRPr="00B32321" w:rsidRDefault="00781DD2" w:rsidP="00CC7EC4">
      <w:pPr>
        <w:widowControl/>
        <w:autoSpaceDN/>
        <w:spacing w:before="240" w:after="120"/>
        <w:jc w:val="both"/>
        <w:textAlignment w:val="auto"/>
        <w:rPr>
          <w:rFonts w:ascii="Marianne" w:eastAsia="Century Gothic" w:hAnsi="Marianne" w:cs="Arial"/>
          <w:i/>
          <w:kern w:val="0"/>
          <w:sz w:val="22"/>
          <w:szCs w:val="22"/>
          <w:lang w:eastAsia="en-US" w:bidi="ar-SA"/>
        </w:rPr>
      </w:pPr>
    </w:p>
    <w:p w14:paraId="2D4CAF52" w14:textId="0E2269F9" w:rsidR="00CC7EC4" w:rsidRPr="00B32321" w:rsidRDefault="00CC7EC4" w:rsidP="00B32321">
      <w:pPr>
        <w:widowControl/>
        <w:autoSpaceDN/>
        <w:spacing w:before="240" w:after="12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lastRenderedPageBreak/>
        <w:t xml:space="preserve">I- </w:t>
      </w:r>
      <w:r w:rsidRPr="00B32321">
        <w:rPr>
          <w:rFonts w:ascii="Marianne" w:eastAsia="Century Gothic" w:hAnsi="Marianne" w:cs="Arial"/>
          <w:b/>
          <w:bCs/>
          <w:kern w:val="0"/>
          <w:sz w:val="22"/>
          <w:szCs w:val="22"/>
          <w:u w:val="single"/>
          <w:lang w:eastAsia="en-US" w:bidi="ar-SA"/>
        </w:rPr>
        <w:t>Promotion de l’égalité et de la mixité professionnelles</w:t>
      </w:r>
    </w:p>
    <w:p w14:paraId="71EEA5C4"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les proportions de femmes et d’hommes : </w:t>
      </w:r>
    </w:p>
    <w:p w14:paraId="6B5A4D4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252BCF7"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encadrant affecté à la réalisation du marché, la proportion de femmes et d’hommes : </w:t>
      </w:r>
    </w:p>
    <w:p w14:paraId="3B27F712"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73E2EE2"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pour le personnel affecté à la réalisation du marché, la proportion d’intervenants qui bénéficieront d’une formation de sensibilisation sur les stéréotypes, les préjugés et les comportements sexistes au travail : </w:t>
      </w:r>
    </w:p>
    <w:p w14:paraId="77994733" w14:textId="77777777" w:rsidR="00CC7EC4" w:rsidRPr="00B32321" w:rsidRDefault="00CC7EC4" w:rsidP="00B32321">
      <w:pPr>
        <w:widowControl/>
        <w:suppressAutoHyphens w:val="0"/>
        <w:autoSpaceDN/>
        <w:spacing w:before="240" w:after="120"/>
        <w:ind w:left="720"/>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E4D6B15" w14:textId="77777777" w:rsidR="00CC7EC4" w:rsidRPr="00B32321" w:rsidRDefault="00CC7EC4" w:rsidP="00CC7EC4">
      <w:pPr>
        <w:widowControl/>
        <w:numPr>
          <w:ilvl w:val="0"/>
          <w:numId w:val="15"/>
        </w:numPr>
        <w:suppressAutoHyphens w:val="0"/>
        <w:autoSpaceDN/>
        <w:spacing w:before="240" w:after="120"/>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Préciser les écarts moyens de rémunérations à responsabilités égales existant entre les femmes et les hommes affectés à la réalisation des prestations du marché. </w:t>
      </w:r>
    </w:p>
    <w:p w14:paraId="0B11F2B4"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p>
    <w:p w14:paraId="4A989059"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59E67F92"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7AB8EAB0"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825247158"/>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23105C4C"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1726290864"/>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45B19AEA"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0CFB9B83" w14:textId="1AAE0AFB"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3ADF6683" w14:textId="3A45015D" w:rsidR="00CC7EC4" w:rsidRPr="00B32321" w:rsidRDefault="00CC7EC4" w:rsidP="00CC7EC4">
      <w:pPr>
        <w:widowControl/>
        <w:autoSpaceDN/>
        <w:spacing w:before="240" w:after="120"/>
        <w:ind w:left="360"/>
        <w:jc w:val="center"/>
        <w:textAlignment w:val="auto"/>
        <w:rPr>
          <w:rFonts w:ascii="Marianne" w:eastAsia="Century Gothic" w:hAnsi="Marianne" w:cs="Arial"/>
          <w:b/>
          <w:bCs/>
          <w:kern w:val="0"/>
          <w:sz w:val="22"/>
          <w:szCs w:val="22"/>
          <w:u w:val="single"/>
          <w:lang w:eastAsia="en-US" w:bidi="ar-SA"/>
        </w:rPr>
      </w:pPr>
      <w:r w:rsidRPr="00B32321">
        <w:rPr>
          <w:rFonts w:ascii="Marianne" w:eastAsia="Century Gothic" w:hAnsi="Marianne" w:cs="Arial"/>
          <w:b/>
          <w:bCs/>
          <w:kern w:val="0"/>
          <w:sz w:val="22"/>
          <w:szCs w:val="22"/>
          <w:lang w:eastAsia="en-US" w:bidi="ar-SA"/>
        </w:rPr>
        <w:t>II</w:t>
      </w:r>
      <w:proofErr w:type="gramStart"/>
      <w:r w:rsidRPr="00B32321">
        <w:rPr>
          <w:rFonts w:ascii="Marianne" w:eastAsia="Century Gothic" w:hAnsi="Marianne" w:cs="Arial"/>
          <w:b/>
          <w:bCs/>
          <w:kern w:val="0"/>
          <w:sz w:val="22"/>
          <w:szCs w:val="22"/>
          <w:lang w:eastAsia="en-US" w:bidi="ar-SA"/>
        </w:rPr>
        <w:t xml:space="preserve">-  </w:t>
      </w:r>
      <w:r w:rsidRPr="00B32321">
        <w:rPr>
          <w:rFonts w:ascii="Marianne" w:eastAsia="Century Gothic" w:hAnsi="Marianne" w:cs="Arial"/>
          <w:b/>
          <w:bCs/>
          <w:kern w:val="0"/>
          <w:sz w:val="22"/>
          <w:szCs w:val="22"/>
          <w:u w:val="single"/>
          <w:lang w:eastAsia="en-US" w:bidi="ar-SA"/>
        </w:rPr>
        <w:t>Prévention</w:t>
      </w:r>
      <w:proofErr w:type="gramEnd"/>
      <w:r w:rsidRPr="00B32321">
        <w:rPr>
          <w:rFonts w:ascii="Marianne" w:eastAsia="Century Gothic" w:hAnsi="Marianne" w:cs="Arial"/>
          <w:b/>
          <w:bCs/>
          <w:kern w:val="0"/>
          <w:sz w:val="22"/>
          <w:szCs w:val="22"/>
          <w:u w:val="single"/>
          <w:lang w:eastAsia="en-US" w:bidi="ar-SA"/>
        </w:rPr>
        <w:t xml:space="preserve"> des discriminations</w:t>
      </w:r>
    </w:p>
    <w:p w14:paraId="276C85C2"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Votre structure est-elle engagée dans une démarche de prévention contre les discriminations et de promotion de la diversité ?</w:t>
      </w:r>
    </w:p>
    <w:p w14:paraId="095438F9" w14:textId="77777777" w:rsidR="00CC7EC4" w:rsidRPr="00B32321" w:rsidRDefault="00CC7EC4" w:rsidP="00B32321">
      <w:pPr>
        <w:widowControl/>
        <w:autoSpaceDN/>
        <w:spacing w:before="240" w:after="120"/>
        <w:ind w:left="1066"/>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Dans l’affirmative, comment cet engagement s’est-il matérialisé ? Label, charte, accord d’entreprise ?</w:t>
      </w:r>
    </w:p>
    <w:p w14:paraId="7F1A6598"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32B880D0"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Quels sont les types de publics concernés par ces actions de prévention des discriminations ?</w:t>
      </w:r>
    </w:p>
    <w:p w14:paraId="6B328A7F"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lastRenderedPageBreak/>
        <w:t>[À compléter]</w:t>
      </w:r>
    </w:p>
    <w:p w14:paraId="0CF8094D"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Quels leviers privilégiez-vous dans la conduite de ces actions de prévention des discriminations et de promotion de l’égalité professionnelle ? </w:t>
      </w:r>
    </w:p>
    <w:p w14:paraId="22897676"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0E925C25"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Pour quelles raisons menez-vous ces actions de prévention des discriminations et de promotion de l’égalité professionnelle ?</w:t>
      </w:r>
    </w:p>
    <w:p w14:paraId="1FE5B1AA"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i/>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9DD7F67" w14:textId="77777777" w:rsidR="00CC7EC4" w:rsidRPr="00B32321" w:rsidRDefault="00CC7EC4" w:rsidP="00B32321">
      <w:pPr>
        <w:widowControl/>
        <w:numPr>
          <w:ilvl w:val="0"/>
          <w:numId w:val="15"/>
        </w:numPr>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kern w:val="0"/>
          <w:sz w:val="22"/>
          <w:szCs w:val="22"/>
          <w:lang w:eastAsia="en-US" w:bidi="ar-SA"/>
        </w:rPr>
        <w:t xml:space="preserve">Autres éléments à porter à la connaissance des services du pouvoir adjudicateur concernant les actions menées en matière de prévention des discriminations et de promotion de l’égalité professionnelle : </w:t>
      </w:r>
    </w:p>
    <w:p w14:paraId="6FB65C70" w14:textId="77777777" w:rsidR="00CC7EC4" w:rsidRPr="00B32321" w:rsidRDefault="00CC7EC4" w:rsidP="00B32321">
      <w:pPr>
        <w:widowControl/>
        <w:suppressAutoHyphens w:val="0"/>
        <w:autoSpaceDN/>
        <w:spacing w:before="240" w:after="120"/>
        <w:ind w:left="1066"/>
        <w:jc w:val="both"/>
        <w:textAlignment w:val="auto"/>
        <w:rPr>
          <w:rFonts w:ascii="Marianne" w:eastAsia="Calibri" w:hAnsi="Marianne" w:cs="Arial"/>
          <w:kern w:val="0"/>
          <w:sz w:val="22"/>
          <w:szCs w:val="22"/>
          <w:lang w:eastAsia="en-US" w:bidi="ar-SA"/>
        </w:rPr>
      </w:pPr>
      <w:r w:rsidRPr="00B32321">
        <w:rPr>
          <w:rFonts w:ascii="Marianne" w:eastAsia="Calibri" w:hAnsi="Marianne" w:cs="Arial"/>
          <w:i/>
          <w:kern w:val="0"/>
          <w:sz w:val="22"/>
          <w:szCs w:val="22"/>
          <w:highlight w:val="lightGray"/>
          <w:lang w:eastAsia="en-US" w:bidi="ar-SA"/>
        </w:rPr>
        <w:t>[À compléter]</w:t>
      </w:r>
    </w:p>
    <w:p w14:paraId="42051CC3"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40065AD" w14:textId="77777777" w:rsidR="00781DD2" w:rsidRPr="00B32321" w:rsidRDefault="00781DD2" w:rsidP="00CC7EC4">
      <w:pPr>
        <w:widowControl/>
        <w:suppressAutoHyphens w:val="0"/>
        <w:autoSpaceDN/>
        <w:textAlignment w:val="auto"/>
        <w:rPr>
          <w:rFonts w:ascii="Marianne" w:eastAsia="Century Gothic" w:hAnsi="Marianne" w:cs="Times New Roman"/>
          <w:kern w:val="0"/>
          <w:sz w:val="22"/>
          <w:szCs w:val="22"/>
          <w:lang w:eastAsia="en-US" w:bidi="ar-SA"/>
        </w:rPr>
      </w:pPr>
    </w:p>
    <w:p w14:paraId="592D4A37" w14:textId="77777777" w:rsidR="00CC7EC4" w:rsidRPr="00B32321" w:rsidRDefault="00CC7EC4" w:rsidP="00CC7EC4">
      <w:pPr>
        <w:widowControl/>
        <w:suppressAutoHyphens w:val="0"/>
        <w:autoSpaceDN/>
        <w:textAlignment w:val="auto"/>
        <w:rPr>
          <w:rFonts w:ascii="Marianne" w:eastAsia="Century Gothic" w:hAnsi="Marianne" w:cs="Times New Roman"/>
          <w:kern w:val="0"/>
          <w:sz w:val="22"/>
          <w:szCs w:val="22"/>
          <w:lang w:eastAsia="en-US" w:bidi="ar-SA"/>
        </w:rPr>
      </w:pPr>
    </w:p>
    <w:p w14:paraId="398516F8" w14:textId="77777777" w:rsidR="00CC7EC4" w:rsidRPr="00B32321" w:rsidRDefault="00CC7EC4" w:rsidP="00CC7EC4">
      <w:pPr>
        <w:widowControl/>
        <w:autoSpaceDN/>
        <w:spacing w:before="240" w:after="120"/>
        <w:jc w:val="both"/>
        <w:textAlignment w:val="auto"/>
        <w:rPr>
          <w:rFonts w:ascii="Marianne" w:eastAsia="Century Gothic" w:hAnsi="Marianne" w:cs="Arial"/>
          <w:b/>
          <w:i/>
          <w:kern w:val="0"/>
          <w:sz w:val="22"/>
          <w:szCs w:val="22"/>
          <w:lang w:eastAsia="en-US" w:bidi="ar-SA"/>
        </w:rPr>
      </w:pPr>
      <w:r w:rsidRPr="00B32321">
        <w:rPr>
          <w:rFonts w:ascii="Marianne" w:eastAsia="Century Gothic" w:hAnsi="Marianne" w:cs="Arial"/>
          <w:b/>
          <w:i/>
          <w:kern w:val="0"/>
          <w:sz w:val="22"/>
          <w:szCs w:val="22"/>
          <w:lang w:eastAsia="en-US" w:bidi="ar-SA"/>
        </w:rPr>
        <w:t xml:space="preserve">Actualisation annuelle du questionnaire : </w:t>
      </w:r>
    </w:p>
    <w:p w14:paraId="41CEECA7"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Avez-vous apporté d’éventuelles améliorations par rapport au questionnaire remis précédemment ? </w:t>
      </w:r>
    </w:p>
    <w:p w14:paraId="3A59A43A"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OUI </w:t>
      </w:r>
      <w:sdt>
        <w:sdtPr>
          <w:rPr>
            <w:rFonts w:ascii="Marianne" w:eastAsia="Century Gothic" w:hAnsi="Marianne" w:cs="Arial"/>
            <w:kern w:val="0"/>
            <w:sz w:val="22"/>
            <w:szCs w:val="22"/>
            <w:lang w:eastAsia="en-US" w:bidi="ar-SA"/>
          </w:rPr>
          <w:id w:val="1245070703"/>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1BFE0B95" w14:textId="77777777" w:rsidR="00CC7EC4" w:rsidRPr="00B32321" w:rsidRDefault="00CC7EC4" w:rsidP="00CC7EC4">
      <w:pPr>
        <w:widowControl/>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 xml:space="preserve">NON </w:t>
      </w:r>
      <w:sdt>
        <w:sdtPr>
          <w:rPr>
            <w:rFonts w:ascii="Marianne" w:eastAsia="Century Gothic" w:hAnsi="Marianne" w:cs="Arial"/>
            <w:kern w:val="0"/>
            <w:sz w:val="22"/>
            <w:szCs w:val="22"/>
            <w:lang w:eastAsia="en-US" w:bidi="ar-SA"/>
          </w:rPr>
          <w:id w:val="201518261"/>
          <w14:checkbox>
            <w14:checked w14:val="0"/>
            <w14:checkedState w14:val="2612" w14:font="MS Gothic"/>
            <w14:uncheckedState w14:val="2610" w14:font="MS Gothic"/>
          </w14:checkbox>
        </w:sdtPr>
        <w:sdtEndPr/>
        <w:sdtContent>
          <w:r w:rsidRPr="00B32321">
            <w:rPr>
              <w:rFonts w:ascii="Segoe UI Symbol" w:eastAsia="Century Gothic" w:hAnsi="Segoe UI Symbol" w:cs="Segoe UI Symbol"/>
              <w:kern w:val="0"/>
              <w:sz w:val="22"/>
              <w:szCs w:val="22"/>
              <w:lang w:eastAsia="en-US" w:bidi="ar-SA"/>
            </w:rPr>
            <w:t>☐</w:t>
          </w:r>
        </w:sdtContent>
      </w:sdt>
    </w:p>
    <w:p w14:paraId="7C0F03AE" w14:textId="77777777" w:rsidR="00CC7EC4" w:rsidRPr="00B32321" w:rsidRDefault="00CC7EC4" w:rsidP="00B32321">
      <w:pPr>
        <w:widowControl/>
        <w:suppressAutoHyphens w:val="0"/>
        <w:autoSpaceDN/>
        <w:spacing w:before="240" w:after="120"/>
        <w:jc w:val="both"/>
        <w:textAlignment w:val="auto"/>
        <w:rPr>
          <w:rFonts w:ascii="Marianne" w:eastAsia="Calibri" w:hAnsi="Marianne" w:cs="Arial"/>
          <w:i/>
          <w:kern w:val="0"/>
          <w:sz w:val="22"/>
          <w:szCs w:val="22"/>
          <w:lang w:eastAsia="en-US" w:bidi="ar-SA"/>
        </w:rPr>
      </w:pPr>
      <w:r w:rsidRPr="00B32321">
        <w:rPr>
          <w:rFonts w:ascii="Marianne" w:eastAsia="Century Gothic" w:hAnsi="Marianne" w:cs="Arial"/>
          <w:kern w:val="0"/>
          <w:sz w:val="22"/>
          <w:szCs w:val="22"/>
          <w:lang w:eastAsia="en-US" w:bidi="ar-SA"/>
        </w:rPr>
        <w:t>S</w:t>
      </w:r>
      <w:r w:rsidRPr="00B32321">
        <w:rPr>
          <w:rFonts w:ascii="Marianne" w:eastAsia="Calibri" w:hAnsi="Marianne" w:cs="Arial"/>
          <w:kern w:val="0"/>
          <w:sz w:val="22"/>
          <w:szCs w:val="22"/>
          <w:lang w:eastAsia="en-US" w:bidi="ar-SA"/>
        </w:rPr>
        <w:t xml:space="preserve">i oui, développez les améliorations apportées : </w:t>
      </w:r>
      <w:r w:rsidRPr="00B32321">
        <w:rPr>
          <w:rFonts w:ascii="Marianne" w:eastAsia="Calibri" w:hAnsi="Marianne" w:cs="Arial"/>
          <w:i/>
          <w:kern w:val="0"/>
          <w:sz w:val="22"/>
          <w:szCs w:val="22"/>
          <w:highlight w:val="lightGray"/>
          <w:lang w:eastAsia="en-US" w:bidi="ar-SA"/>
        </w:rPr>
        <w:t>[à compléter]</w:t>
      </w:r>
    </w:p>
    <w:p w14:paraId="670D1F06" w14:textId="77777777"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p>
    <w:p w14:paraId="7D6C09E9" w14:textId="77777777" w:rsidR="00CC7EC4" w:rsidRPr="00B32321" w:rsidRDefault="00CC7EC4" w:rsidP="00CC7EC4">
      <w:pPr>
        <w:widowControl/>
        <w:tabs>
          <w:tab w:val="left" w:pos="3737"/>
        </w:tabs>
        <w:autoSpaceDN/>
        <w:spacing w:before="240" w:after="120"/>
        <w:jc w:val="both"/>
        <w:textAlignment w:val="auto"/>
        <w:rPr>
          <w:rFonts w:ascii="Marianne" w:eastAsia="Century Gothic" w:hAnsi="Marianne" w:cs="Arial"/>
          <w:kern w:val="0"/>
          <w:sz w:val="22"/>
          <w:szCs w:val="22"/>
          <w:lang w:eastAsia="en-US" w:bidi="ar-SA"/>
        </w:rPr>
      </w:pPr>
      <w:r w:rsidRPr="00B32321">
        <w:rPr>
          <w:rFonts w:ascii="Marianne" w:eastAsia="Century Gothic" w:hAnsi="Marianne" w:cs="Arial"/>
          <w:kern w:val="0"/>
          <w:sz w:val="22"/>
          <w:szCs w:val="22"/>
          <w:lang w:eastAsia="en-US" w:bidi="ar-SA"/>
        </w:rPr>
        <w:tab/>
      </w:r>
    </w:p>
    <w:p w14:paraId="6C0B7964" w14:textId="77777777" w:rsidR="002462A6" w:rsidRPr="00781DD2" w:rsidRDefault="002462A6" w:rsidP="00C721F1">
      <w:pPr>
        <w:jc w:val="both"/>
        <w:rPr>
          <w:rFonts w:ascii="Marianne" w:hAnsi="Marianne" w:cs="Arial"/>
          <w:sz w:val="22"/>
          <w:szCs w:val="22"/>
        </w:rPr>
      </w:pPr>
    </w:p>
    <w:sectPr w:rsidR="002462A6" w:rsidRPr="00781DD2" w:rsidSect="004C48D0">
      <w:headerReference w:type="default" r:id="rId11"/>
      <w:footerReference w:type="default" r:id="rId12"/>
      <w:headerReference w:type="first" r:id="rId13"/>
      <w:footerReference w:type="first" r:id="rId14"/>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52205" w14:textId="77777777" w:rsidR="000C1A4B" w:rsidRDefault="000C1A4B">
      <w:r>
        <w:separator/>
      </w:r>
    </w:p>
  </w:endnote>
  <w:endnote w:type="continuationSeparator" w:id="0">
    <w:p w14:paraId="2987FAEE" w14:textId="77777777" w:rsidR="000C1A4B" w:rsidRDefault="000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B06A" w14:textId="4F4729E6" w:rsidR="00513411" w:rsidRPr="00F651C8" w:rsidRDefault="00F651C8" w:rsidP="00751A16">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00751A16" w:rsidRPr="00F651C8">
      <w:rPr>
        <w:rFonts w:ascii="Marianne" w:hAnsi="Marianne"/>
      </w:rPr>
      <w:tab/>
    </w:r>
    <w:r w:rsidR="000C1A4B">
      <w:rPr>
        <w:rFonts w:ascii="Marianne" w:hAnsi="Marianne"/>
      </w:rPr>
      <w:t>2</w:t>
    </w:r>
    <w:r w:rsidR="00A83B31">
      <w:rPr>
        <w:rFonts w:ascii="Marianne" w:hAnsi="Marianne"/>
      </w:rPr>
      <w:t>4</w:t>
    </w:r>
    <w:r w:rsidR="00751A16" w:rsidRPr="00F651C8">
      <w:rPr>
        <w:rFonts w:ascii="Marianne" w:hAnsi="Marianne"/>
      </w:rPr>
      <w:t>_BAM_</w:t>
    </w:r>
    <w:r w:rsidR="00A83B31">
      <w:rPr>
        <w:rFonts w:ascii="Marianne" w:hAnsi="Marianne"/>
      </w:rPr>
      <w:t>657</w:t>
    </w:r>
    <w:r w:rsidR="00751A16" w:rsidRPr="00F651C8">
      <w:rPr>
        <w:rFonts w:ascii="Marianne" w:hAnsi="Marianne"/>
      </w:rPr>
      <w:tab/>
      <w:t xml:space="preserve">Page </w:t>
    </w:r>
    <w:r w:rsidR="00751A16" w:rsidRPr="00F651C8">
      <w:rPr>
        <w:rFonts w:ascii="Marianne" w:hAnsi="Marianne"/>
      </w:rPr>
      <w:fldChar w:fldCharType="begin"/>
    </w:r>
    <w:r w:rsidR="00751A16" w:rsidRPr="00F651C8">
      <w:rPr>
        <w:rFonts w:ascii="Marianne" w:hAnsi="Marianne"/>
      </w:rPr>
      <w:instrText xml:space="preserve"> PAGE </w:instrText>
    </w:r>
    <w:r w:rsidR="00751A16" w:rsidRPr="00F651C8">
      <w:rPr>
        <w:rFonts w:ascii="Marianne" w:hAnsi="Marianne"/>
      </w:rPr>
      <w:fldChar w:fldCharType="separate"/>
    </w:r>
    <w:r w:rsidR="00A83B31">
      <w:rPr>
        <w:rFonts w:ascii="Marianne" w:hAnsi="Marianne"/>
        <w:noProof/>
      </w:rPr>
      <w:t>4</w:t>
    </w:r>
    <w:r w:rsidR="00751A16" w:rsidRPr="00F651C8">
      <w:rPr>
        <w:rFonts w:ascii="Marianne" w:hAnsi="Marianne"/>
      </w:rPr>
      <w:fldChar w:fldCharType="end"/>
    </w:r>
    <w:r w:rsidR="00751A16"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sidR="00A83B31">
      <w:rPr>
        <w:rFonts w:ascii="Marianne" w:hAnsi="Marianne"/>
        <w:noProof/>
      </w:rPr>
      <w:t>4</w:t>
    </w:r>
    <w:r w:rsidRPr="00F651C8">
      <w:rPr>
        <w:rFonts w:ascii="Marianne" w:hAnsi="Marianne"/>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8BE0" w14:textId="19F1544A" w:rsidR="00D5106D" w:rsidRPr="00F651C8" w:rsidRDefault="00F651C8" w:rsidP="00D5106D">
    <w:pPr>
      <w:pStyle w:val="Pieddepage"/>
      <w:pBdr>
        <w:top w:val="single" w:sz="2" w:space="3" w:color="000000"/>
        <w:left w:val="single" w:sz="2" w:space="3" w:color="000000"/>
        <w:bottom w:val="single" w:sz="2" w:space="3" w:color="000000"/>
        <w:right w:val="single" w:sz="2" w:space="3" w:color="000000"/>
      </w:pBdr>
      <w:rPr>
        <w:rFonts w:ascii="Marianne" w:hAnsi="Marianne"/>
      </w:rPr>
    </w:pPr>
    <w:r w:rsidRPr="00F651C8">
      <w:rPr>
        <w:rFonts w:ascii="Marianne" w:hAnsi="Marianne"/>
      </w:rPr>
      <w:t>Questionnaire double labellisation</w:t>
    </w:r>
    <w:r w:rsidR="00D5106D" w:rsidRPr="00F651C8">
      <w:rPr>
        <w:rFonts w:ascii="Marianne" w:hAnsi="Marianne"/>
      </w:rPr>
      <w:tab/>
    </w:r>
    <w:r w:rsidR="000C1A4B">
      <w:rPr>
        <w:rFonts w:ascii="Marianne" w:hAnsi="Marianne"/>
      </w:rPr>
      <w:t>2</w:t>
    </w:r>
    <w:r w:rsidR="00A83B31">
      <w:rPr>
        <w:rFonts w:ascii="Marianne" w:hAnsi="Marianne"/>
      </w:rPr>
      <w:t>4</w:t>
    </w:r>
    <w:r w:rsidRPr="00F651C8">
      <w:rPr>
        <w:rFonts w:ascii="Marianne" w:hAnsi="Marianne"/>
      </w:rPr>
      <w:t>_BAM_</w:t>
    </w:r>
    <w:r w:rsidR="00A83B31">
      <w:rPr>
        <w:rFonts w:ascii="Marianne" w:hAnsi="Marianne"/>
      </w:rPr>
      <w:t>657</w:t>
    </w:r>
    <w:r w:rsidR="00D5106D" w:rsidRPr="00F651C8">
      <w:rPr>
        <w:rFonts w:ascii="Marianne" w:hAnsi="Marianne"/>
      </w:rPr>
      <w:tab/>
    </w:r>
    <w:r w:rsidR="009914ED" w:rsidRPr="00F651C8">
      <w:rPr>
        <w:rFonts w:ascii="Marianne" w:hAnsi="Marianne"/>
      </w:rPr>
      <w:t xml:space="preserve">Page </w:t>
    </w:r>
    <w:r w:rsidR="00D5106D" w:rsidRPr="00F651C8">
      <w:rPr>
        <w:rFonts w:ascii="Marianne" w:hAnsi="Marianne"/>
      </w:rPr>
      <w:fldChar w:fldCharType="begin"/>
    </w:r>
    <w:r w:rsidR="00D5106D" w:rsidRPr="00F651C8">
      <w:rPr>
        <w:rFonts w:ascii="Marianne" w:hAnsi="Marianne"/>
      </w:rPr>
      <w:instrText xml:space="preserve"> PAGE </w:instrText>
    </w:r>
    <w:r w:rsidR="00D5106D" w:rsidRPr="00F651C8">
      <w:rPr>
        <w:rFonts w:ascii="Marianne" w:hAnsi="Marianne"/>
      </w:rPr>
      <w:fldChar w:fldCharType="separate"/>
    </w:r>
    <w:r w:rsidR="00A83B31">
      <w:rPr>
        <w:rFonts w:ascii="Marianne" w:hAnsi="Marianne"/>
        <w:noProof/>
      </w:rPr>
      <w:t>1</w:t>
    </w:r>
    <w:r w:rsidR="00D5106D" w:rsidRPr="00F651C8">
      <w:rPr>
        <w:rFonts w:ascii="Marianne" w:hAnsi="Marianne"/>
      </w:rPr>
      <w:fldChar w:fldCharType="end"/>
    </w:r>
    <w:r w:rsidR="009914ED" w:rsidRPr="00F651C8">
      <w:rPr>
        <w:rFonts w:ascii="Marianne" w:hAnsi="Marianne"/>
      </w:rPr>
      <w:t xml:space="preserve"> sur </w:t>
    </w:r>
    <w:r w:rsidRPr="00F651C8">
      <w:rPr>
        <w:rFonts w:ascii="Marianne" w:hAnsi="Marianne"/>
      </w:rPr>
      <w:fldChar w:fldCharType="begin"/>
    </w:r>
    <w:r w:rsidRPr="00F651C8">
      <w:rPr>
        <w:rFonts w:ascii="Marianne" w:hAnsi="Marianne"/>
      </w:rPr>
      <w:instrText xml:space="preserve"> NUMPAGES </w:instrText>
    </w:r>
    <w:r w:rsidRPr="00F651C8">
      <w:rPr>
        <w:rFonts w:ascii="Marianne" w:hAnsi="Marianne"/>
      </w:rPr>
      <w:fldChar w:fldCharType="separate"/>
    </w:r>
    <w:r w:rsidR="00A83B31">
      <w:rPr>
        <w:rFonts w:ascii="Marianne" w:hAnsi="Marianne"/>
        <w:noProof/>
      </w:rPr>
      <w:t>4</w:t>
    </w:r>
    <w:r w:rsidRPr="00F651C8">
      <w:rPr>
        <w:rFonts w:ascii="Marianne" w:hAnsi="Mariann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B5287" w14:textId="77777777" w:rsidR="000C1A4B" w:rsidRDefault="000C1A4B">
      <w:r>
        <w:rPr>
          <w:color w:val="000000"/>
        </w:rPr>
        <w:separator/>
      </w:r>
    </w:p>
  </w:footnote>
  <w:footnote w:type="continuationSeparator" w:id="0">
    <w:p w14:paraId="603819B5" w14:textId="77777777" w:rsidR="000C1A4B" w:rsidRDefault="000C1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AC31" w14:textId="77777777" w:rsidR="003472D7" w:rsidRDefault="003472D7">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EE8E" w14:textId="77777777" w:rsidR="00A34F6D" w:rsidRDefault="00A34F6D" w:rsidP="00A34F6D">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9264" behindDoc="0" locked="0" layoutInCell="1" allowOverlap="1" wp14:anchorId="4B4B3CD8" wp14:editId="2069F806">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48C17DB9" w14:textId="77777777" w:rsidR="00A34F6D" w:rsidRDefault="00A34F6D" w:rsidP="00A34F6D">
    <w:pPr>
      <w:pStyle w:val="ServiceInfo-header"/>
      <w:tabs>
        <w:tab w:val="left" w:pos="1701"/>
        <w:tab w:val="left" w:pos="3261"/>
      </w:tabs>
      <w:ind w:left="426" w:firstLine="1701"/>
      <w:rPr>
        <w:rFonts w:ascii="Marianne" w:hAnsi="Marianne"/>
        <w:sz w:val="18"/>
        <w:lang w:val="fr-FR"/>
      </w:rPr>
    </w:pPr>
  </w:p>
  <w:p w14:paraId="42010EA1" w14:textId="77777777" w:rsidR="00A34F6D" w:rsidRPr="002E576F" w:rsidRDefault="00A34F6D" w:rsidP="00A34F6D">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D9B09F5" w14:textId="77777777" w:rsidR="00A34F6D" w:rsidRPr="002E576F" w:rsidRDefault="00A34F6D" w:rsidP="00A34F6D">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7FD9E32D" w14:textId="77777777" w:rsidR="00A34F6D" w:rsidRDefault="00A34F6D" w:rsidP="00A34F6D">
    <w:pPr>
      <w:pStyle w:val="Corpsdetexte"/>
      <w:rPr>
        <w:rFonts w:ascii="Marianne" w:hAnsi="Marianne"/>
      </w:rPr>
    </w:pPr>
  </w:p>
  <w:p w14:paraId="64ED3A1E" w14:textId="77777777" w:rsidR="00A34F6D" w:rsidRDefault="00A34F6D" w:rsidP="00A34F6D">
    <w:pPr>
      <w:pStyle w:val="Corpsdetexte"/>
    </w:pPr>
  </w:p>
  <w:p w14:paraId="7BDB8C01" w14:textId="77777777" w:rsidR="00DE74FC" w:rsidRPr="00A34F6D" w:rsidRDefault="00DE74FC" w:rsidP="00A34F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EC865D26"/>
    <w:lvl w:ilvl="0" w:tplc="D0E46ECA">
      <w:start w:val="1"/>
      <w:numFmt w:val="decimal"/>
      <w:pStyle w:val="Titre2"/>
      <w:lvlText w:val="%1)"/>
      <w:lvlJc w:val="left"/>
      <w:pPr>
        <w:ind w:left="720" w:hanging="360"/>
      </w:pPr>
      <w:rPr>
        <w:i w:val="0"/>
        <w:i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7"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num w:numId="1" w16cid:durableId="295110290">
    <w:abstractNumId w:val="13"/>
  </w:num>
  <w:num w:numId="2" w16cid:durableId="277107971">
    <w:abstractNumId w:val="9"/>
  </w:num>
  <w:num w:numId="3" w16cid:durableId="913127834">
    <w:abstractNumId w:val="4"/>
  </w:num>
  <w:num w:numId="4" w16cid:durableId="1925605477">
    <w:abstractNumId w:val="11"/>
  </w:num>
  <w:num w:numId="5" w16cid:durableId="1994871459">
    <w:abstractNumId w:val="6"/>
  </w:num>
  <w:num w:numId="6" w16cid:durableId="566960700">
    <w:abstractNumId w:val="15"/>
  </w:num>
  <w:num w:numId="7" w16cid:durableId="1557544044">
    <w:abstractNumId w:val="17"/>
  </w:num>
  <w:num w:numId="8" w16cid:durableId="793601951">
    <w:abstractNumId w:val="12"/>
  </w:num>
  <w:num w:numId="9" w16cid:durableId="962812368">
    <w:abstractNumId w:val="5"/>
  </w:num>
  <w:num w:numId="10" w16cid:durableId="1216431694">
    <w:abstractNumId w:val="7"/>
  </w:num>
  <w:num w:numId="11" w16cid:durableId="455174546">
    <w:abstractNumId w:val="2"/>
  </w:num>
  <w:num w:numId="12" w16cid:durableId="2123112550">
    <w:abstractNumId w:val="14"/>
  </w:num>
  <w:num w:numId="13" w16cid:durableId="488012085">
    <w:abstractNumId w:val="3"/>
  </w:num>
  <w:num w:numId="14" w16cid:durableId="117652866">
    <w:abstractNumId w:val="16"/>
  </w:num>
  <w:num w:numId="15" w16cid:durableId="118570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6361133">
    <w:abstractNumId w:val="1"/>
  </w:num>
  <w:num w:numId="17" w16cid:durableId="1479032690">
    <w:abstractNumId w:val="1"/>
  </w:num>
  <w:num w:numId="18" w16cid:durableId="721056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414846">
    <w:abstractNumId w:val="1"/>
  </w:num>
  <w:num w:numId="20" w16cid:durableId="1536651899">
    <w:abstractNumId w:val="8"/>
  </w:num>
  <w:num w:numId="21" w16cid:durableId="149082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8000613">
    <w:abstractNumId w:val="0"/>
  </w:num>
  <w:num w:numId="23" w16cid:durableId="786776445">
    <w:abstractNumId w:val="0"/>
    <w:lvlOverride w:ilvl="0">
      <w:startOverride w:val="1"/>
    </w:lvlOverride>
  </w:num>
  <w:num w:numId="24" w16cid:durableId="844708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4462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6"/>
  <w:autoHyphenation/>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A4B"/>
    <w:rsid w:val="0005534B"/>
    <w:rsid w:val="0005663F"/>
    <w:rsid w:val="000C1A4B"/>
    <w:rsid w:val="000E5FA4"/>
    <w:rsid w:val="0010701C"/>
    <w:rsid w:val="00134A0A"/>
    <w:rsid w:val="001568B7"/>
    <w:rsid w:val="00163ED9"/>
    <w:rsid w:val="00167A35"/>
    <w:rsid w:val="001A601C"/>
    <w:rsid w:val="001D1A89"/>
    <w:rsid w:val="001D3236"/>
    <w:rsid w:val="001F1A13"/>
    <w:rsid w:val="002462A6"/>
    <w:rsid w:val="00263710"/>
    <w:rsid w:val="00290920"/>
    <w:rsid w:val="003472D7"/>
    <w:rsid w:val="00371139"/>
    <w:rsid w:val="003D4707"/>
    <w:rsid w:val="00403A3A"/>
    <w:rsid w:val="00464C6A"/>
    <w:rsid w:val="004918D1"/>
    <w:rsid w:val="004B462A"/>
    <w:rsid w:val="004B549C"/>
    <w:rsid w:val="004C2A28"/>
    <w:rsid w:val="004C48D0"/>
    <w:rsid w:val="004D30F0"/>
    <w:rsid w:val="00513411"/>
    <w:rsid w:val="0053788A"/>
    <w:rsid w:val="005910AB"/>
    <w:rsid w:val="005C4602"/>
    <w:rsid w:val="005E72AC"/>
    <w:rsid w:val="00635A96"/>
    <w:rsid w:val="00650683"/>
    <w:rsid w:val="00655DCF"/>
    <w:rsid w:val="00666F76"/>
    <w:rsid w:val="006849FE"/>
    <w:rsid w:val="006E59B3"/>
    <w:rsid w:val="006F5F6D"/>
    <w:rsid w:val="006F7DA7"/>
    <w:rsid w:val="00747887"/>
    <w:rsid w:val="00751A16"/>
    <w:rsid w:val="00781AB2"/>
    <w:rsid w:val="00781DD2"/>
    <w:rsid w:val="007E4826"/>
    <w:rsid w:val="0086496B"/>
    <w:rsid w:val="00866DC1"/>
    <w:rsid w:val="008A0BA7"/>
    <w:rsid w:val="008E0664"/>
    <w:rsid w:val="00904564"/>
    <w:rsid w:val="00923EAF"/>
    <w:rsid w:val="00940F6A"/>
    <w:rsid w:val="00983426"/>
    <w:rsid w:val="009914ED"/>
    <w:rsid w:val="009926CE"/>
    <w:rsid w:val="009D2205"/>
    <w:rsid w:val="009F673A"/>
    <w:rsid w:val="00A34F6D"/>
    <w:rsid w:val="00A7305F"/>
    <w:rsid w:val="00A83B31"/>
    <w:rsid w:val="00AC2FA5"/>
    <w:rsid w:val="00AD2211"/>
    <w:rsid w:val="00B32321"/>
    <w:rsid w:val="00B800F2"/>
    <w:rsid w:val="00BA4AB6"/>
    <w:rsid w:val="00BE7FB0"/>
    <w:rsid w:val="00C34722"/>
    <w:rsid w:val="00C54470"/>
    <w:rsid w:val="00C56DA1"/>
    <w:rsid w:val="00C721F1"/>
    <w:rsid w:val="00CC7EC4"/>
    <w:rsid w:val="00CD2E6F"/>
    <w:rsid w:val="00D16CB0"/>
    <w:rsid w:val="00D5106D"/>
    <w:rsid w:val="00D512DA"/>
    <w:rsid w:val="00D54901"/>
    <w:rsid w:val="00D80ADE"/>
    <w:rsid w:val="00D86A27"/>
    <w:rsid w:val="00DB40DA"/>
    <w:rsid w:val="00DC15FC"/>
    <w:rsid w:val="00DE74FC"/>
    <w:rsid w:val="00E30970"/>
    <w:rsid w:val="00E8705E"/>
    <w:rsid w:val="00EA63E8"/>
    <w:rsid w:val="00EA7A66"/>
    <w:rsid w:val="00ED2DE6"/>
    <w:rsid w:val="00F41BA6"/>
    <w:rsid w:val="00F651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15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link w:val="ParagraphedelisteCar"/>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 w:type="paragraph" w:styleId="NormalWeb">
    <w:name w:val="Normal (Web)"/>
    <w:basedOn w:val="Normal"/>
    <w:uiPriority w:val="99"/>
    <w:rsid w:val="00655DCF"/>
    <w:pPr>
      <w:widowControl/>
      <w:suppressAutoHyphens w:val="0"/>
      <w:autoSpaceDN/>
      <w:spacing w:after="200" w:line="276" w:lineRule="auto"/>
      <w:textAlignment w:val="auto"/>
    </w:pPr>
    <w:rPr>
      <w:rFonts w:asciiTheme="minorHAnsi" w:eastAsiaTheme="minorHAnsi" w:hAnsiTheme="minorHAnsi" w:cstheme="minorBidi"/>
      <w:kern w:val="0"/>
      <w:sz w:val="22"/>
      <w:szCs w:val="22"/>
      <w:lang w:eastAsia="en-US" w:bidi="ar-SA"/>
    </w:rPr>
  </w:style>
  <w:style w:type="character" w:styleId="Lienhypertexte">
    <w:name w:val="Hyperlink"/>
    <w:basedOn w:val="Policepardfaut"/>
    <w:uiPriority w:val="99"/>
    <w:semiHidden/>
    <w:unhideWhenUsed/>
    <w:rsid w:val="00655DCF"/>
    <w:rPr>
      <w:color w:val="0563C1" w:themeColor="hyperlink"/>
      <w:u w:val="single"/>
    </w:rPr>
  </w:style>
  <w:style w:type="character" w:styleId="Lienhypertextesuivivisit">
    <w:name w:val="FollowedHyperlink"/>
    <w:basedOn w:val="Policepardfaut"/>
    <w:uiPriority w:val="99"/>
    <w:semiHidden/>
    <w:unhideWhenUsed/>
    <w:rsid w:val="00CD2E6F"/>
    <w:rPr>
      <w:color w:val="954F72" w:themeColor="followedHyperlink"/>
      <w:u w:val="single"/>
    </w:rPr>
  </w:style>
  <w:style w:type="paragraph" w:styleId="Rvision">
    <w:name w:val="Revision"/>
    <w:hidden/>
    <w:uiPriority w:val="99"/>
    <w:semiHidden/>
    <w:rsid w:val="00CC7EC4"/>
    <w:pPr>
      <w:widowControl/>
      <w:suppressAutoHyphens w:val="0"/>
      <w:autoSpaceDN/>
      <w:textAlignment w:val="auto"/>
    </w:pPr>
  </w:style>
  <w:style w:type="character" w:customStyle="1" w:styleId="ParagraphedelisteCar">
    <w:name w:val="Paragraphe de liste Car"/>
    <w:basedOn w:val="Policepardfaut"/>
    <w:link w:val="Paragraphedeliste"/>
    <w:uiPriority w:val="34"/>
    <w:rsid w:val="00781DD2"/>
    <w:rPr>
      <w:rFonts w:ascii="Arial" w:eastAsia="Times New Roman" w:hAnsi="Arial" w:cs="Times New Roman"/>
      <w:kern w:val="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TexteArticle.do?cidTexte=JORFTEXT000033558528&amp;idArticle=LEGIARTI000045389619&amp;dateTexte=&amp;categorieLien=cid" TargetMode="External"/><Relationship Id="rId4" Type="http://schemas.openxmlformats.org/officeDocument/2006/relationships/webSettings" Target="webSettings.xml"/><Relationship Id="rId9" Type="http://schemas.openxmlformats.org/officeDocument/2006/relationships/hyperlink" Target="https://www.legifrance.gouv.fr/affichTexteArticle.do?cidTexte=JORFTEXT000033558528&amp;idArticle=LEGIARTI000045389619&amp;dateTexte=&amp;categorieLien=cid"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1513</Words>
  <Characters>8325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2023-08-21T16:49:00Z</dcterms:created>
  <dcterms:modified xsi:type="dcterms:W3CDTF">2025-05-22T06:46:00Z</dcterms:modified>
</cp:coreProperties>
</file>