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1F6440" w14:paraId="5CD2506A" w14:textId="77777777" w:rsidTr="002A38E8">
        <w:trPr>
          <w:trHeight w:val="262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761FD2" w14:textId="14B3673B" w:rsidR="005C34B1" w:rsidRDefault="00DE1091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2200</w:t>
            </w:r>
            <w:r w:rsidR="001F644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5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– AOO</w:t>
            </w: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LIVRAISON, INSTALLATION ET MISE EN SERVICE D’EQUIPEMENTS DE PHOTOBIOMODULATION POUR LE </w:t>
            </w:r>
            <w:proofErr w:type="gramStart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CENTRE  HOSPITALIER</w:t>
            </w:r>
            <w:proofErr w:type="gramEnd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DE VALENCIENNES</w:t>
            </w:r>
          </w:p>
          <w:p w14:paraId="0D6581DD" w14:textId="77777777" w:rsidR="002A38E8" w:rsidRDefault="002A38E8" w:rsidP="002A38E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39E68D95" w14:textId="4848E336" w:rsidR="002A38E8" w:rsidRPr="002F35B1" w:rsidRDefault="002A38E8" w:rsidP="001F6440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Lot n°</w:t>
            </w:r>
            <w:r w:rsidR="001F6440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5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 xml:space="preserve"> :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1F6440" w:rsidRPr="001F644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 et mise en service d’un laser thérapeutique dédié à la prise en charge de la douleur </w:t>
            </w:r>
            <w:r w:rsidR="001F644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br/>
            </w:r>
            <w:r w:rsidR="001F6440" w:rsidRPr="001F644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(CH de Valenciennes)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3CFE82C3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D71F092" w14:textId="083C0192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0114F770" w14:textId="1B2F0BAE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6DFC3A9" w14:textId="27D43DA9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21B8D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A6061">
        <w:rPr>
          <w:rFonts w:ascii="Arial" w:hAnsi="Arial" w:cs="Arial"/>
          <w:sz w:val="22"/>
        </w:rPr>
      </w:r>
      <w:r w:rsidR="007A60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DE7EA7B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A38E8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440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1F6440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1F6440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1F6440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0D3ACC9" w:rsidR="006B51FC" w:rsidRDefault="009312D9" w:rsidP="008C5F46">
      <w:r>
        <w:t xml:space="preserve"> </w:t>
      </w:r>
    </w:p>
    <w:p w14:paraId="03989C6D" w14:textId="156BF1FC" w:rsidR="003230A7" w:rsidRDefault="003230A7" w:rsidP="008C5F46"/>
    <w:p w14:paraId="692F187A" w14:textId="77777777" w:rsidR="003230A7" w:rsidRDefault="003230A7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440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A6061">
              <w:rPr>
                <w:rFonts w:ascii="Arial" w:hAnsi="Arial" w:cs="Arial"/>
              </w:rPr>
            </w:r>
            <w:r w:rsidR="007A60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1F6440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7A6061">
        <w:rPr>
          <w:rFonts w:ascii="Arial" w:hAnsi="Arial" w:cs="Arial"/>
        </w:rPr>
      </w:r>
      <w:r w:rsidR="007A60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1820B10F" w:rsidR="003F5156" w:rsidRDefault="002A38E8" w:rsidP="002A38E8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2025002200</w:t>
      </w:r>
      <w:r w:rsidR="001F6440">
        <w:rPr>
          <w:rFonts w:ascii="Calibri" w:eastAsia="Calibri" w:hAnsi="Calibri" w:cs="Calibri"/>
          <w:b/>
          <w:color w:val="000000"/>
          <w:sz w:val="20"/>
          <w:lang w:val="fr-FR"/>
        </w:rPr>
        <w:t>5</w:t>
      </w: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AOO – FOURNITURE, LIVRAISON, INSTALLATION ET MISE EN SERVICE D’EQUIPEMENTS DE PHOTOBIOMODULATION POUR LE </w:t>
      </w:r>
      <w:proofErr w:type="gram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CENTRE  HOSPITALIER</w:t>
      </w:r>
      <w:proofErr w:type="gram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DE VALENCIENNES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7A6061">
        <w:rPr>
          <w:sz w:val="20"/>
          <w:szCs w:val="20"/>
        </w:rPr>
      </w:r>
      <w:r w:rsidR="007A6061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69CAB27B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A6061">
        <w:rPr>
          <w:rFonts w:asciiTheme="minorHAnsi" w:hAnsiTheme="minorHAnsi" w:cstheme="minorHAnsi"/>
          <w:sz w:val="22"/>
          <w:szCs w:val="22"/>
        </w:rPr>
      </w:r>
      <w:r w:rsidR="007A606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="001F6440">
        <w:rPr>
          <w:rFonts w:asciiTheme="minorHAnsi" w:hAnsiTheme="minorHAnsi" w:cstheme="minorHAnsi"/>
          <w:b/>
          <w:szCs w:val="22"/>
        </w:rPr>
        <w:t>5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4EEBDA8C" w14:textId="77777777" w:rsidR="001F6440" w:rsidRDefault="001F6440" w:rsidP="003038E8">
      <w:pPr>
        <w:pStyle w:val="fcasegauche"/>
        <w:tabs>
          <w:tab w:val="left" w:pos="851"/>
        </w:tabs>
        <w:spacing w:after="0"/>
        <w:ind w:left="851" w:firstLine="0"/>
        <w:rPr>
          <w:rFonts w:ascii="Calibri" w:eastAsia="Calibri" w:hAnsi="Calibri" w:cs="Calibri"/>
          <w:b/>
          <w:color w:val="000000"/>
          <w:szCs w:val="24"/>
          <w:lang w:eastAsia="en-US"/>
        </w:rPr>
      </w:pPr>
      <w:r w:rsidRPr="001F6440">
        <w:rPr>
          <w:rFonts w:ascii="Calibri" w:eastAsia="Calibri" w:hAnsi="Calibri" w:cs="Calibri"/>
          <w:b/>
          <w:color w:val="000000"/>
          <w:szCs w:val="24"/>
          <w:lang w:eastAsia="en-US"/>
        </w:rPr>
        <w:t>Fourniture, livraison et mise en service d’un laser thérapeutique dédié à la prise en charge de la douleur (CH de Valenciennes)</w:t>
      </w:r>
    </w:p>
    <w:p w14:paraId="76EEF904" w14:textId="52DBA23D" w:rsidR="00FF64DA" w:rsidRPr="004B07C4" w:rsidRDefault="002F35B1" w:rsidP="003038E8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A6061">
        <w:rPr>
          <w:rFonts w:asciiTheme="minorHAnsi" w:hAnsiTheme="minorHAnsi" w:cstheme="minorHAnsi"/>
          <w:sz w:val="22"/>
          <w:szCs w:val="22"/>
        </w:rPr>
      </w:r>
      <w:r w:rsidR="007A606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7A6061">
        <w:rPr>
          <w:rFonts w:asciiTheme="minorHAnsi" w:hAnsiTheme="minorHAnsi" w:cstheme="minorHAnsi"/>
          <w:szCs w:val="22"/>
        </w:rPr>
      </w:r>
      <w:r w:rsidR="007A6061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7A6061">
        <w:rPr>
          <w:rFonts w:asciiTheme="minorHAnsi" w:hAnsiTheme="minorHAnsi" w:cstheme="minorHAnsi"/>
          <w:szCs w:val="22"/>
        </w:rPr>
      </w:r>
      <w:r w:rsidR="007A6061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299700B8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1F6440">
        <w:rPr>
          <w:color w:val="000000"/>
          <w:lang w:val="fr-FR"/>
        </w:rPr>
        <w:t>6</w:t>
      </w:r>
      <w:r>
        <w:rPr>
          <w:color w:val="000000"/>
          <w:lang w:val="fr-FR"/>
        </w:rPr>
        <w:t>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7A6061">
        <w:rPr>
          <w:rFonts w:asciiTheme="minorHAnsi" w:hAnsiTheme="minorHAnsi" w:cstheme="minorHAnsi"/>
        </w:rPr>
      </w:r>
      <w:r w:rsidR="007A6061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7A6061">
        <w:rPr>
          <w:rFonts w:asciiTheme="minorHAnsi" w:hAnsiTheme="minorHAnsi" w:cstheme="minorHAnsi"/>
        </w:rPr>
      </w:r>
      <w:r w:rsidR="007A6061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F93B845" w:rsidR="00B06023" w:rsidRDefault="00B06023">
      <w:pPr>
        <w:rPr>
          <w:lang w:val="fr-FR"/>
        </w:rPr>
      </w:pPr>
    </w:p>
    <w:p w14:paraId="41111B43" w14:textId="77777777" w:rsidR="00B06023" w:rsidRDefault="00B06023">
      <w:pPr>
        <w:rPr>
          <w:lang w:val="fr-FR"/>
        </w:rPr>
      </w:pPr>
    </w:p>
    <w:p w14:paraId="370CCE1C" w14:textId="72E6AAB1" w:rsidR="000216B1" w:rsidRDefault="000216B1">
      <w:pPr>
        <w:rPr>
          <w:lang w:val="fr-FR"/>
        </w:rPr>
      </w:pPr>
    </w:p>
    <w:p w14:paraId="162F2C1C" w14:textId="77777777" w:rsidR="00621B8D" w:rsidRDefault="00621B8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440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7A6061">
              <w:rPr>
                <w:rFonts w:asciiTheme="minorHAnsi" w:hAnsiTheme="minorHAnsi" w:cstheme="minorHAnsi"/>
                <w:sz w:val="20"/>
                <w:szCs w:val="20"/>
              </w:rPr>
            </w:r>
            <w:r w:rsidR="007A60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440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7A6061">
              <w:rPr>
                <w:rFonts w:asciiTheme="minorHAnsi" w:hAnsiTheme="minorHAnsi" w:cstheme="minorHAnsi"/>
                <w:sz w:val="20"/>
                <w:szCs w:val="20"/>
              </w:rPr>
            </w:r>
            <w:r w:rsidR="007A60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1F6440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A606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A6061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A606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A6061">
        <w:rPr>
          <w:rFonts w:asciiTheme="minorHAnsi" w:hAnsiTheme="minorHAnsi" w:cstheme="minorHAnsi"/>
          <w:sz w:val="20"/>
          <w:szCs w:val="20"/>
        </w:rPr>
      </w:r>
      <w:r w:rsidR="007A60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249D730C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1F6440">
        <w:rPr>
          <w:color w:val="000000"/>
          <w:lang w:val="fr-FR"/>
        </w:rPr>
        <w:t>6</w:t>
      </w:r>
      <w:bookmarkStart w:id="21" w:name="_GoBack"/>
      <w:bookmarkEnd w:id="21"/>
      <w:r>
        <w:rPr>
          <w:color w:val="000000"/>
          <w:lang w:val="fr-FR"/>
        </w:rPr>
        <w:t>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03A82DCE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06023">
        <w:rPr>
          <w:b/>
          <w:color w:val="000000"/>
          <w:lang w:val="fr-FR"/>
        </w:rPr>
        <w:t>Nicolas SALVI</w:t>
      </w:r>
    </w:p>
    <w:p w14:paraId="5E7C7D44" w14:textId="09CE825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D25B9B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B6E96" w14:textId="77777777" w:rsidR="007A6061" w:rsidRDefault="007A6061">
      <w:r>
        <w:separator/>
      </w:r>
    </w:p>
  </w:endnote>
  <w:endnote w:type="continuationSeparator" w:id="0">
    <w:p w14:paraId="49A1AFB8" w14:textId="77777777" w:rsidR="007A6061" w:rsidRDefault="007A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544E5D73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F6440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6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F6440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44ECD" w14:textId="77777777" w:rsidR="007A6061" w:rsidRDefault="007A6061">
      <w:r>
        <w:separator/>
      </w:r>
    </w:p>
  </w:footnote>
  <w:footnote w:type="continuationSeparator" w:id="0">
    <w:p w14:paraId="7A7B0F6F" w14:textId="77777777" w:rsidR="007A6061" w:rsidRDefault="007A6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5B5B"/>
    <w:rsid w:val="001B3465"/>
    <w:rsid w:val="001F6440"/>
    <w:rsid w:val="00216352"/>
    <w:rsid w:val="00277002"/>
    <w:rsid w:val="00277B01"/>
    <w:rsid w:val="002A38E8"/>
    <w:rsid w:val="002C399A"/>
    <w:rsid w:val="002D03BE"/>
    <w:rsid w:val="002E4594"/>
    <w:rsid w:val="002F35B1"/>
    <w:rsid w:val="003038E8"/>
    <w:rsid w:val="003230A7"/>
    <w:rsid w:val="0033722F"/>
    <w:rsid w:val="003F5156"/>
    <w:rsid w:val="00446F5A"/>
    <w:rsid w:val="004A6384"/>
    <w:rsid w:val="004B07C4"/>
    <w:rsid w:val="004B1989"/>
    <w:rsid w:val="004C4412"/>
    <w:rsid w:val="004D1863"/>
    <w:rsid w:val="00524D0B"/>
    <w:rsid w:val="00585EC6"/>
    <w:rsid w:val="005A4190"/>
    <w:rsid w:val="005C34B1"/>
    <w:rsid w:val="00621B8D"/>
    <w:rsid w:val="006952A7"/>
    <w:rsid w:val="006A16B2"/>
    <w:rsid w:val="006B38E2"/>
    <w:rsid w:val="006B51FC"/>
    <w:rsid w:val="006D3B46"/>
    <w:rsid w:val="00713C3C"/>
    <w:rsid w:val="00774C0B"/>
    <w:rsid w:val="0077724E"/>
    <w:rsid w:val="00783DBC"/>
    <w:rsid w:val="007A6061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B8D73-7056-4551-9894-DA9DD2AC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1622</Words>
  <Characters>8927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12</cp:revision>
  <dcterms:created xsi:type="dcterms:W3CDTF">2024-10-22T16:07:00Z</dcterms:created>
  <dcterms:modified xsi:type="dcterms:W3CDTF">2025-03-06T12:26:00Z</dcterms:modified>
</cp:coreProperties>
</file>