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BEE5E" w14:textId="3F553CAB" w:rsidR="009274F9" w:rsidRPr="00B06A36" w:rsidRDefault="0066009D" w:rsidP="00955AA6">
      <w:pPr>
        <w:jc w:val="center"/>
        <w:rPr>
          <w:rFonts w:ascii="Calibri" w:hAnsi="Calibri"/>
          <w:b/>
          <w:u w:val="single"/>
        </w:rPr>
      </w:pPr>
      <w:r w:rsidRPr="00B06A36">
        <w:rPr>
          <w:rFonts w:ascii="Calibri" w:hAnsi="Calibri"/>
          <w:b/>
          <w:u w:val="single"/>
        </w:rPr>
        <w:t>ANNEXE 2 AU CCTP : PROCEDURE DE MAINTENANCE</w:t>
      </w:r>
      <w:r>
        <w:rPr>
          <w:rFonts w:ascii="Calibri" w:hAnsi="Calibri"/>
          <w:b/>
          <w:u w:val="single"/>
        </w:rPr>
        <w:t xml:space="preserve"> A SUIVRE PAR LE TITULAIRE</w:t>
      </w:r>
    </w:p>
    <w:p w14:paraId="44053BC5" w14:textId="77777777" w:rsidR="0066009D" w:rsidRDefault="0066009D">
      <w:pPr>
        <w:rPr>
          <w:rFonts w:ascii="Calibri" w:hAnsi="Calibri"/>
        </w:rPr>
      </w:pPr>
    </w:p>
    <w:p w14:paraId="53B485D5" w14:textId="77777777" w:rsidR="009274F9" w:rsidRPr="005F510D" w:rsidRDefault="009274F9">
      <w:pPr>
        <w:rPr>
          <w:rFonts w:ascii="Calibri" w:hAnsi="Calibri"/>
        </w:rPr>
      </w:pPr>
      <w:r w:rsidRPr="005F510D">
        <w:rPr>
          <w:rFonts w:ascii="Calibri" w:hAnsi="Calibri"/>
        </w:rPr>
        <w:t>GAMME DE MAINTENANCE PREVENTIVE</w:t>
      </w:r>
    </w:p>
    <w:p w14:paraId="4F7F159E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 xml:space="preserve">Contrôles logiciel : </w:t>
      </w:r>
    </w:p>
    <w:p w14:paraId="596D350D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Vérification des paramètres de programmation des microprocesseurs, remise à niveau si nécessaire,</w:t>
      </w:r>
    </w:p>
    <w:p w14:paraId="4D9907B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Etalonnage de la chaîne de mesure.</w:t>
      </w:r>
    </w:p>
    <w:p w14:paraId="02C9E913" w14:textId="77777777" w:rsidR="009274F9" w:rsidRPr="005F510D" w:rsidRDefault="009274F9" w:rsidP="009274F9">
      <w:pPr>
        <w:tabs>
          <w:tab w:val="left" w:pos="720"/>
        </w:tabs>
        <w:ind w:left="360"/>
        <w:jc w:val="both"/>
        <w:rPr>
          <w:rFonts w:ascii="Calibri" w:hAnsi="Calibri" w:cs="Arial"/>
        </w:rPr>
      </w:pPr>
    </w:p>
    <w:p w14:paraId="16FF3F78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  <w:tab w:val="left" w:pos="900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batterie/Remplacement des Batteries :</w:t>
      </w:r>
    </w:p>
    <w:p w14:paraId="59328F99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d'aut</w:t>
      </w:r>
      <w:r w:rsidR="00B06A36">
        <w:rPr>
          <w:rFonts w:ascii="Calibri" w:hAnsi="Calibri" w:cs="Arial"/>
        </w:rPr>
        <w:t>onomie avec la charge réelle (i</w:t>
      </w:r>
      <w:r w:rsidRPr="005F510D">
        <w:rPr>
          <w:rFonts w:ascii="Calibri" w:hAnsi="Calibri" w:cs="Arial"/>
        </w:rPr>
        <w:t>ndication de l’autonomie réelle en fonction du taux de charge constaté),</w:t>
      </w:r>
    </w:p>
    <w:p w14:paraId="03BBC97C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tension des monoblocs batterie si accessible,</w:t>
      </w:r>
    </w:p>
    <w:p w14:paraId="562D58E9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 xml:space="preserve">Contrôle de la température </w:t>
      </w:r>
      <w:proofErr w:type="gramStart"/>
      <w:r w:rsidRPr="005F510D">
        <w:rPr>
          <w:rFonts w:ascii="Calibri" w:hAnsi="Calibri" w:cs="Arial"/>
        </w:rPr>
        <w:t>du local</w:t>
      </w:r>
      <w:proofErr w:type="gramEnd"/>
      <w:r w:rsidRPr="005F510D">
        <w:rPr>
          <w:rFonts w:ascii="Calibri" w:hAnsi="Calibri" w:cs="Arial"/>
        </w:rPr>
        <w:t xml:space="preserve"> batterie,</w:t>
      </w:r>
    </w:p>
    <w:p w14:paraId="24B8CBB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 xml:space="preserve">Compensation de la tension de </w:t>
      </w:r>
      <w:proofErr w:type="spellStart"/>
      <w:r w:rsidRPr="005F510D">
        <w:rPr>
          <w:rFonts w:ascii="Calibri" w:hAnsi="Calibri" w:cs="Arial"/>
        </w:rPr>
        <w:t>floating</w:t>
      </w:r>
      <w:proofErr w:type="spellEnd"/>
      <w:r w:rsidRPr="005F510D">
        <w:rPr>
          <w:rFonts w:ascii="Calibri" w:hAnsi="Calibri" w:cs="Arial"/>
        </w:rPr>
        <w:t xml:space="preserve"> en fonction de la température ambiante,</w:t>
      </w:r>
    </w:p>
    <w:p w14:paraId="606B3877" w14:textId="17D2D1A1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  <w:strike/>
        </w:rPr>
      </w:pPr>
      <w:r w:rsidRPr="005F510D">
        <w:rPr>
          <w:rFonts w:ascii="Calibri" w:hAnsi="Calibri" w:cs="Arial"/>
        </w:rPr>
        <w:t>L’échéancier de</w:t>
      </w:r>
      <w:r w:rsidR="00B06A36">
        <w:rPr>
          <w:rFonts w:ascii="Calibri" w:hAnsi="Calibri" w:cs="Arial"/>
        </w:rPr>
        <w:t xml:space="preserve"> remplacement des batteries est</w:t>
      </w:r>
      <w:r w:rsidRPr="005F510D">
        <w:rPr>
          <w:rFonts w:ascii="Calibri" w:hAnsi="Calibri" w:cs="Arial"/>
        </w:rPr>
        <w:t xml:space="preserve"> géré par le titulaire. Le bordereau de</w:t>
      </w:r>
      <w:r w:rsidR="0066009D">
        <w:rPr>
          <w:rFonts w:ascii="Calibri" w:hAnsi="Calibri" w:cs="Arial"/>
        </w:rPr>
        <w:t>s</w:t>
      </w:r>
      <w:r w:rsidRPr="005F510D">
        <w:rPr>
          <w:rFonts w:ascii="Calibri" w:hAnsi="Calibri" w:cs="Arial"/>
        </w:rPr>
        <w:t xml:space="preserve"> prix </w:t>
      </w:r>
      <w:r w:rsidR="00B06A36">
        <w:rPr>
          <w:rFonts w:ascii="Calibri" w:hAnsi="Calibri" w:cs="Arial"/>
        </w:rPr>
        <w:t>comprend</w:t>
      </w:r>
      <w:r w:rsidRPr="005F510D">
        <w:rPr>
          <w:rFonts w:ascii="Calibri" w:hAnsi="Calibri" w:cs="Arial"/>
        </w:rPr>
        <w:t xml:space="preserve"> en plus du coût de maintenance de l’ASI, le prix de remplacement des batteries par machine et par branche, comprenant la fourniture, la pose et le recyclage (l’inventaire en annexe 1 précise la date du dernier remplacemen</w:t>
      </w:r>
      <w:r w:rsidR="00B06A36">
        <w:rPr>
          <w:rFonts w:ascii="Calibri" w:hAnsi="Calibri" w:cs="Arial"/>
        </w:rPr>
        <w:t>t de batterie). Ces batteries doiven</w:t>
      </w:r>
      <w:r w:rsidRPr="005F510D">
        <w:rPr>
          <w:rFonts w:ascii="Calibri" w:hAnsi="Calibri" w:cs="Arial"/>
        </w:rPr>
        <w:t>t être remplacées par des batteries ayant les caractéristiques identiques à celles citées en référence au bordereau de</w:t>
      </w:r>
      <w:r w:rsidR="00B06A36">
        <w:rPr>
          <w:rFonts w:ascii="Calibri" w:hAnsi="Calibri" w:cs="Arial"/>
        </w:rPr>
        <w:t>s</w:t>
      </w:r>
      <w:r w:rsidRPr="005F510D">
        <w:rPr>
          <w:rFonts w:ascii="Calibri" w:hAnsi="Calibri" w:cs="Arial"/>
        </w:rPr>
        <w:t xml:space="preserve"> prix.</w:t>
      </w:r>
    </w:p>
    <w:p w14:paraId="0C620E0B" w14:textId="77777777" w:rsidR="009274F9" w:rsidRPr="005F510D" w:rsidRDefault="009274F9" w:rsidP="009274F9">
      <w:pPr>
        <w:jc w:val="both"/>
        <w:rPr>
          <w:rFonts w:ascii="Calibri" w:hAnsi="Calibri" w:cs="Arial"/>
        </w:rPr>
      </w:pPr>
    </w:p>
    <w:p w14:paraId="28C1632F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 xml:space="preserve">Remplacement systématique de toutes les pièces et les consommables nécessaires y compris </w:t>
      </w:r>
      <w:r w:rsidR="00B06A36">
        <w:rPr>
          <w:rFonts w:ascii="Calibri" w:hAnsi="Calibri" w:cs="Arial"/>
        </w:rPr>
        <w:t>(le titulaire</w:t>
      </w:r>
      <w:r w:rsidRPr="005F510D">
        <w:rPr>
          <w:rFonts w:ascii="Calibri" w:hAnsi="Calibri" w:cs="Arial"/>
        </w:rPr>
        <w:t xml:space="preserve"> s’engage à fournir ces pièces quel que soit le degré de vétusté de celles-ci)</w:t>
      </w:r>
      <w:r w:rsidRPr="005F510D">
        <w:rPr>
          <w:rFonts w:ascii="Calibri" w:hAnsi="Calibri" w:cs="Arial"/>
          <w:b/>
        </w:rPr>
        <w:t xml:space="preserve"> :</w:t>
      </w:r>
    </w:p>
    <w:p w14:paraId="1E06DBD7" w14:textId="2A503B4B" w:rsidR="009274F9" w:rsidRPr="005F510D" w:rsidRDefault="00B06A36" w:rsidP="009274F9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Les filtres et ventilateurs s</w:t>
      </w:r>
      <w:r w:rsidR="009274F9" w:rsidRPr="005F510D">
        <w:rPr>
          <w:rFonts w:ascii="Calibri" w:hAnsi="Calibri" w:cs="Arial"/>
        </w:rPr>
        <w:t>ont remplacés préventi</w:t>
      </w:r>
      <w:r w:rsidR="0066009D">
        <w:rPr>
          <w:rFonts w:ascii="Calibri" w:hAnsi="Calibri" w:cs="Arial"/>
        </w:rPr>
        <w:t xml:space="preserve">vement selon </w:t>
      </w:r>
      <w:proofErr w:type="gramStart"/>
      <w:r w:rsidR="0066009D">
        <w:rPr>
          <w:rFonts w:ascii="Calibri" w:hAnsi="Calibri" w:cs="Arial"/>
        </w:rPr>
        <w:t xml:space="preserve">les préconisations </w:t>
      </w:r>
      <w:bookmarkStart w:id="0" w:name="_GoBack"/>
      <w:bookmarkEnd w:id="0"/>
      <w:r w:rsidR="009274F9" w:rsidRPr="005F510D">
        <w:rPr>
          <w:rFonts w:ascii="Calibri" w:hAnsi="Calibri" w:cs="Arial"/>
        </w:rPr>
        <w:t>constructeur</w:t>
      </w:r>
      <w:proofErr w:type="gramEnd"/>
      <w:r w:rsidR="009274F9" w:rsidRPr="005F510D">
        <w:rPr>
          <w:rFonts w:ascii="Calibri" w:hAnsi="Calibri" w:cs="Arial"/>
        </w:rPr>
        <w:t xml:space="preserve"> (Art </w:t>
      </w:r>
      <w:r w:rsidR="0013602A">
        <w:rPr>
          <w:rFonts w:ascii="Calibri" w:hAnsi="Calibri" w:cs="Arial"/>
        </w:rPr>
        <w:t>3.1</w:t>
      </w:r>
      <w:r w:rsidR="009274F9" w:rsidRPr="005F510D">
        <w:rPr>
          <w:rFonts w:ascii="Calibri" w:hAnsi="Calibri" w:cs="Arial"/>
        </w:rPr>
        <w:t xml:space="preserve"> CCTP)</w:t>
      </w:r>
      <w:r>
        <w:rPr>
          <w:rFonts w:ascii="Calibri" w:hAnsi="Calibri" w:cs="Arial"/>
        </w:rPr>
        <w:t>,</w:t>
      </w:r>
    </w:p>
    <w:p w14:paraId="082C91D0" w14:textId="77777777" w:rsidR="009274F9" w:rsidRDefault="009274F9" w:rsidP="00B06A36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720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Le re</w:t>
      </w:r>
      <w:r w:rsidR="00B06A36">
        <w:rPr>
          <w:rFonts w:ascii="Calibri" w:hAnsi="Calibri" w:cs="Arial"/>
        </w:rPr>
        <w:t>mplacement des batteries se fait</w:t>
      </w:r>
      <w:r w:rsidRPr="005F510D">
        <w:rPr>
          <w:rFonts w:ascii="Calibri" w:hAnsi="Calibri" w:cs="Arial"/>
        </w:rPr>
        <w:t xml:space="preserve"> de manière systématique tous les 5 ans. En cas de remplacement anticipé d’élém</w:t>
      </w:r>
      <w:r w:rsidR="00B06A36">
        <w:rPr>
          <w:rFonts w:ascii="Calibri" w:hAnsi="Calibri" w:cs="Arial"/>
        </w:rPr>
        <w:t>ents de batteries ceux-ci se f</w:t>
      </w:r>
      <w:r w:rsidRPr="005F510D">
        <w:rPr>
          <w:rFonts w:ascii="Calibri" w:hAnsi="Calibri" w:cs="Arial"/>
        </w:rPr>
        <w:t>ont à la charge du titulaire dans la limite de 2 batteries par branch</w:t>
      </w:r>
      <w:r w:rsidR="00B06A36">
        <w:rPr>
          <w:rFonts w:ascii="Calibri" w:hAnsi="Calibri" w:cs="Arial"/>
        </w:rPr>
        <w:t>e. Au-delà le titulaire fournit</w:t>
      </w:r>
      <w:r w:rsidRPr="005F510D">
        <w:rPr>
          <w:rFonts w:ascii="Calibri" w:hAnsi="Calibri" w:cs="Arial"/>
        </w:rPr>
        <w:t xml:space="preserve"> un devis sur la base du prix bordereau par équipement.</w:t>
      </w:r>
    </w:p>
    <w:p w14:paraId="30E28FB6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7EB006F7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Dépoussiérage des équipements :</w:t>
      </w:r>
    </w:p>
    <w:p w14:paraId="4208275E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Dépoussiérage de l’ASI en fonctionnement,</w:t>
      </w:r>
    </w:p>
    <w:p w14:paraId="4DDB21E1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Dépoussiérage du local en périphérie de l’ASI,</w:t>
      </w:r>
    </w:p>
    <w:p w14:paraId="6AAFA1AF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Mise sur détour de l’installation,</w:t>
      </w:r>
    </w:p>
    <w:p w14:paraId="6EDA9475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Ouverture des panneaux et carters de l’ASI,</w:t>
      </w:r>
    </w:p>
    <w:p w14:paraId="527E3D32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Démontage partiel ou total des cartes électroniques si nécessaire,</w:t>
      </w:r>
    </w:p>
    <w:p w14:paraId="4FFE8832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Nettoyage par solvant non agressif et isolant des parties de puissance de l’installation par projection/aspiration,</w:t>
      </w:r>
    </w:p>
    <w:p w14:paraId="72BBC89E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Récupération et recyclage des solvants usagés,</w:t>
      </w:r>
    </w:p>
    <w:p w14:paraId="290C492A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Nettoyage des cartes électroniques par solvant non agressif et isolant par un outil non agressif (ex pinceau),</w:t>
      </w:r>
    </w:p>
    <w:p w14:paraId="575F9C29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Récupération et recyclage des solvants usagés,</w:t>
      </w:r>
    </w:p>
    <w:p w14:paraId="09F6AAD0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Remontage des cartes,</w:t>
      </w:r>
    </w:p>
    <w:p w14:paraId="57039FD7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complet de l’ASI et essai à vide,</w:t>
      </w:r>
    </w:p>
    <w:p w14:paraId="4117D060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Remontage des carters et panneaux (Vérification des liaisons équipotentielles),</w:t>
      </w:r>
    </w:p>
    <w:p w14:paraId="49A1C179" w14:textId="77777777" w:rsidR="009274F9" w:rsidRPr="005F510D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Remise en service.</w:t>
      </w:r>
    </w:p>
    <w:p w14:paraId="5D882D8D" w14:textId="77777777" w:rsidR="009274F9" w:rsidRPr="005F510D" w:rsidRDefault="009274F9" w:rsidP="009274F9">
      <w:pPr>
        <w:tabs>
          <w:tab w:val="left" w:pos="284"/>
        </w:tabs>
        <w:rPr>
          <w:rFonts w:ascii="Calibri" w:hAnsi="Calibri" w:cs="Arial"/>
          <w:b/>
        </w:rPr>
      </w:pPr>
    </w:p>
    <w:p w14:paraId="4C4857F5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redresseur, comparaison avec les valeurs usines :</w:t>
      </w:r>
    </w:p>
    <w:p w14:paraId="0E6334C3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du courant par phase en amont redresseur (contrôle de l'équilibrage),</w:t>
      </w:r>
    </w:p>
    <w:p w14:paraId="0EEBDFC1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 xml:space="preserve">Mesure à vide et en charge de la tension de </w:t>
      </w:r>
      <w:proofErr w:type="spellStart"/>
      <w:r w:rsidRPr="005F510D">
        <w:rPr>
          <w:rFonts w:ascii="Calibri" w:hAnsi="Calibri" w:cs="Arial"/>
        </w:rPr>
        <w:t>floating</w:t>
      </w:r>
      <w:proofErr w:type="spellEnd"/>
      <w:r w:rsidRPr="005F510D">
        <w:rPr>
          <w:rFonts w:ascii="Calibri" w:hAnsi="Calibri" w:cs="Arial"/>
        </w:rPr>
        <w:t xml:space="preserve"> (tension continue),</w:t>
      </w:r>
    </w:p>
    <w:p w14:paraId="09F3AA76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des tensions d'alimentation du pont,</w:t>
      </w:r>
    </w:p>
    <w:p w14:paraId="63DF1EF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des sécurités,</w:t>
      </w:r>
    </w:p>
    <w:p w14:paraId="01B31EF5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électronique,</w:t>
      </w:r>
    </w:p>
    <w:p w14:paraId="4FB745D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alimentations électroniques,</w:t>
      </w:r>
    </w:p>
    <w:p w14:paraId="44FF22B9" w14:textId="77777777" w:rsidR="009274F9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la ventilation.</w:t>
      </w:r>
    </w:p>
    <w:p w14:paraId="0AE3E6FB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6420E181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onduleur, comparaison avec les valeurs usines :</w:t>
      </w:r>
    </w:p>
    <w:p w14:paraId="5C78062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des courants du filtre de sortie,</w:t>
      </w:r>
    </w:p>
    <w:p w14:paraId="0390DC6A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à vide et en charge des tensions en sortie onduleur,</w:t>
      </w:r>
    </w:p>
    <w:p w14:paraId="6764849B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 la charge sur onduleur (courant efficace, courant crête, facteur de crête, puissance active et apparente, facteur de puissance, taux de distorsion en tension et courant...),</w:t>
      </w:r>
    </w:p>
    <w:p w14:paraId="16400DB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d'auto-alimentation et mesure de la fréquence propre,</w:t>
      </w:r>
    </w:p>
    <w:p w14:paraId="325A21E8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sécurités,</w:t>
      </w:r>
    </w:p>
    <w:p w14:paraId="46D39C9E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l'électronique onduleur,</w:t>
      </w:r>
    </w:p>
    <w:p w14:paraId="3F2C4359" w14:textId="77777777" w:rsidR="009274F9" w:rsidRDefault="009274F9" w:rsidP="00B06A36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 la ventilation, contrôle du bon fonctionnement de l'écran clavier.</w:t>
      </w:r>
    </w:p>
    <w:p w14:paraId="20208107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1A02BF43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By-pass, comparaison avec les valeurs usines :</w:t>
      </w:r>
    </w:p>
    <w:p w14:paraId="76703F6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des tensions réseau,</w:t>
      </w:r>
    </w:p>
    <w:p w14:paraId="4B3C8ED5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des alarmes et sécurités,</w:t>
      </w:r>
    </w:p>
    <w:p w14:paraId="6D406182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Essai de By-pass par commande écran clavier,</w:t>
      </w:r>
    </w:p>
    <w:p w14:paraId="59E9BA27" w14:textId="77777777" w:rsidR="009274F9" w:rsidRPr="005F510D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Contrôle électronique de la logique By-pass,</w:t>
      </w:r>
    </w:p>
    <w:p w14:paraId="769742CE" w14:textId="77777777" w:rsidR="009274F9" w:rsidRDefault="009274F9" w:rsidP="009274F9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</w:rPr>
      </w:pPr>
      <w:r w:rsidRPr="005F510D">
        <w:rPr>
          <w:rFonts w:ascii="Calibri" w:hAnsi="Calibri" w:cs="Arial"/>
        </w:rPr>
        <w:t>Mesure de la charge sur le réseau (courant efficace, courant crête, facteur de crête, facteur de puissance, puissance active, puissance apparente, taux de distorsion en tension et courant.....).</w:t>
      </w:r>
    </w:p>
    <w:p w14:paraId="23EAD478" w14:textId="77777777" w:rsidR="00B06A36" w:rsidRPr="00B06A36" w:rsidRDefault="00B06A36" w:rsidP="00B06A36">
      <w:pPr>
        <w:spacing w:after="0" w:line="240" w:lineRule="auto"/>
        <w:ind w:left="720"/>
        <w:jc w:val="both"/>
        <w:rPr>
          <w:rFonts w:ascii="Calibri" w:hAnsi="Calibri" w:cs="Arial"/>
        </w:rPr>
      </w:pPr>
    </w:p>
    <w:p w14:paraId="02E5CE59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Contrôles mécaniques et contrôles visuels</w:t>
      </w:r>
    </w:p>
    <w:p w14:paraId="4529DC23" w14:textId="77777777" w:rsidR="009274F9" w:rsidRPr="005F510D" w:rsidRDefault="009274F9" w:rsidP="009274F9">
      <w:pPr>
        <w:ind w:left="720" w:hanging="360"/>
        <w:rPr>
          <w:rFonts w:ascii="Calibri" w:hAnsi="Calibri" w:cs="Arial"/>
          <w:b/>
          <w:u w:val="single"/>
        </w:rPr>
      </w:pPr>
    </w:p>
    <w:p w14:paraId="71EF0035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Analyse et relevé complet du spectre harmonique</w:t>
      </w:r>
    </w:p>
    <w:p w14:paraId="78E7EBC2" w14:textId="77777777" w:rsidR="009274F9" w:rsidRPr="005F510D" w:rsidRDefault="009274F9" w:rsidP="009274F9">
      <w:pPr>
        <w:ind w:left="720" w:hanging="360"/>
        <w:rPr>
          <w:rFonts w:ascii="Calibri" w:hAnsi="Calibri" w:cs="Arial"/>
          <w:b/>
        </w:rPr>
      </w:pPr>
    </w:p>
    <w:p w14:paraId="744C7114" w14:textId="77777777" w:rsidR="009274F9" w:rsidRPr="005F510D" w:rsidRDefault="009274F9" w:rsidP="009274F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Contrôle de l’environnement</w:t>
      </w:r>
    </w:p>
    <w:p w14:paraId="339AF2FE" w14:textId="77777777" w:rsidR="009274F9" w:rsidRPr="005F510D" w:rsidRDefault="009274F9" w:rsidP="009274F9">
      <w:pPr>
        <w:tabs>
          <w:tab w:val="left" w:pos="284"/>
        </w:tabs>
        <w:rPr>
          <w:rFonts w:ascii="Calibri" w:hAnsi="Calibri" w:cs="Arial"/>
          <w:b/>
        </w:rPr>
      </w:pPr>
    </w:p>
    <w:p w14:paraId="5A68D54F" w14:textId="77777777" w:rsidR="009274F9" w:rsidRPr="005F510D" w:rsidRDefault="009274F9" w:rsidP="009274F9">
      <w:pPr>
        <w:jc w:val="both"/>
        <w:rPr>
          <w:rFonts w:ascii="Calibri" w:hAnsi="Calibri" w:cs="Arial"/>
          <w:b/>
        </w:rPr>
      </w:pPr>
      <w:r w:rsidRPr="005F510D">
        <w:rPr>
          <w:rFonts w:ascii="Calibri" w:hAnsi="Calibri" w:cs="Arial"/>
          <w:b/>
        </w:rPr>
        <w:t>Les contrôles sont réalisés comparativement aux valeurs définies par le constructeur.</w:t>
      </w:r>
    </w:p>
    <w:p w14:paraId="02CC2C24" w14:textId="77777777" w:rsidR="009274F9" w:rsidRPr="005F510D" w:rsidRDefault="009274F9">
      <w:pPr>
        <w:rPr>
          <w:rFonts w:ascii="Calibri" w:hAnsi="Calibri"/>
        </w:rPr>
      </w:pPr>
    </w:p>
    <w:sectPr w:rsidR="009274F9" w:rsidRPr="005F5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9C0B69" w15:done="0"/>
  <w15:commentEx w15:paraId="516EB25B" w15:paraIdParent="649C0B69" w15:done="0"/>
  <w15:commentEx w15:paraId="1EBD26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63DB2" w14:textId="77777777" w:rsidR="00955AA6" w:rsidRDefault="00955AA6" w:rsidP="00955AA6">
      <w:pPr>
        <w:spacing w:after="0" w:line="240" w:lineRule="auto"/>
      </w:pPr>
      <w:r>
        <w:separator/>
      </w:r>
    </w:p>
  </w:endnote>
  <w:endnote w:type="continuationSeparator" w:id="0">
    <w:p w14:paraId="4BE4F5A8" w14:textId="77777777" w:rsidR="00955AA6" w:rsidRDefault="00955AA6" w:rsidP="00955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28385518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2EEE36" w14:textId="3FF75C9F" w:rsidR="00955AA6" w:rsidRPr="00955AA6" w:rsidRDefault="00955AA6">
            <w:pPr>
              <w:pStyle w:val="Pieddepage"/>
              <w:jc w:val="right"/>
              <w:rPr>
                <w:sz w:val="20"/>
                <w:szCs w:val="20"/>
              </w:rPr>
            </w:pPr>
            <w:r w:rsidRPr="00955AA6">
              <w:rPr>
                <w:sz w:val="20"/>
                <w:szCs w:val="20"/>
              </w:rPr>
              <w:t xml:space="preserve">Page </w:t>
            </w:r>
            <w:r w:rsidRPr="00955AA6">
              <w:rPr>
                <w:b/>
                <w:bCs/>
                <w:sz w:val="20"/>
                <w:szCs w:val="20"/>
              </w:rPr>
              <w:fldChar w:fldCharType="begin"/>
            </w:r>
            <w:r w:rsidRPr="00955AA6">
              <w:rPr>
                <w:b/>
                <w:bCs/>
                <w:sz w:val="20"/>
                <w:szCs w:val="20"/>
              </w:rPr>
              <w:instrText>PAGE</w:instrText>
            </w:r>
            <w:r w:rsidRPr="00955AA6">
              <w:rPr>
                <w:b/>
                <w:bCs/>
                <w:sz w:val="20"/>
                <w:szCs w:val="20"/>
              </w:rPr>
              <w:fldChar w:fldCharType="separate"/>
            </w:r>
            <w:r w:rsidR="0066009D">
              <w:rPr>
                <w:b/>
                <w:bCs/>
                <w:noProof/>
                <w:sz w:val="20"/>
                <w:szCs w:val="20"/>
              </w:rPr>
              <w:t>2</w:t>
            </w:r>
            <w:r w:rsidRPr="00955AA6">
              <w:rPr>
                <w:b/>
                <w:bCs/>
                <w:sz w:val="20"/>
                <w:szCs w:val="20"/>
              </w:rPr>
              <w:fldChar w:fldCharType="end"/>
            </w:r>
            <w:r w:rsidRPr="00955AA6">
              <w:rPr>
                <w:sz w:val="20"/>
                <w:szCs w:val="20"/>
              </w:rPr>
              <w:t xml:space="preserve"> sur </w:t>
            </w:r>
            <w:r w:rsidRPr="00955AA6">
              <w:rPr>
                <w:b/>
                <w:bCs/>
                <w:sz w:val="20"/>
                <w:szCs w:val="20"/>
              </w:rPr>
              <w:fldChar w:fldCharType="begin"/>
            </w:r>
            <w:r w:rsidRPr="00955AA6">
              <w:rPr>
                <w:b/>
                <w:bCs/>
                <w:sz w:val="20"/>
                <w:szCs w:val="20"/>
              </w:rPr>
              <w:instrText>NUMPAGES</w:instrText>
            </w:r>
            <w:r w:rsidRPr="00955AA6">
              <w:rPr>
                <w:b/>
                <w:bCs/>
                <w:sz w:val="20"/>
                <w:szCs w:val="20"/>
              </w:rPr>
              <w:fldChar w:fldCharType="separate"/>
            </w:r>
            <w:r w:rsidR="0066009D">
              <w:rPr>
                <w:b/>
                <w:bCs/>
                <w:noProof/>
                <w:sz w:val="20"/>
                <w:szCs w:val="20"/>
              </w:rPr>
              <w:t>2</w:t>
            </w:r>
            <w:r w:rsidRPr="00955AA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753361" w14:textId="77777777" w:rsidR="00955AA6" w:rsidRDefault="00955AA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9D401" w14:textId="77777777" w:rsidR="00955AA6" w:rsidRDefault="00955AA6" w:rsidP="00955AA6">
      <w:pPr>
        <w:spacing w:after="0" w:line="240" w:lineRule="auto"/>
      </w:pPr>
      <w:r>
        <w:separator/>
      </w:r>
    </w:p>
  </w:footnote>
  <w:footnote w:type="continuationSeparator" w:id="0">
    <w:p w14:paraId="120365B4" w14:textId="77777777" w:rsidR="00955AA6" w:rsidRDefault="00955AA6" w:rsidP="00955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00CF"/>
    <w:multiLevelType w:val="multilevel"/>
    <w:tmpl w:val="49549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832B0A"/>
    <w:multiLevelType w:val="hybridMultilevel"/>
    <w:tmpl w:val="A6D496DC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0173ABD"/>
    <w:multiLevelType w:val="multilevel"/>
    <w:tmpl w:val="4A6A3822"/>
    <w:lvl w:ilvl="0">
      <w:numFmt w:val="bullet"/>
      <w:lvlText w:val=""/>
      <w:legacy w:legacy="1" w:legacySpace="0" w:legacyIndent="0"/>
      <w:lvlJc w:val="left"/>
      <w:rPr>
        <w:rFonts w:ascii="Symbol" w:hAnsi="Symbol" w:hint="default"/>
        <w:sz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900AF7"/>
    <w:multiLevelType w:val="multilevel"/>
    <w:tmpl w:val="AB10FC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URTAIS Mickael">
    <w15:presenceInfo w15:providerId="AD" w15:userId="S-1-5-21-1390067357-1450960922-839522115-1239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F9"/>
    <w:rsid w:val="0013602A"/>
    <w:rsid w:val="0021783A"/>
    <w:rsid w:val="005F510D"/>
    <w:rsid w:val="0065505A"/>
    <w:rsid w:val="0066009D"/>
    <w:rsid w:val="009274F9"/>
    <w:rsid w:val="00955AA6"/>
    <w:rsid w:val="00B0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8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10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06A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6A3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6A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6A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6A3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AA6"/>
  </w:style>
  <w:style w:type="paragraph" w:styleId="Pieddepage">
    <w:name w:val="footer"/>
    <w:basedOn w:val="Normal"/>
    <w:link w:val="Pieddepag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5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F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10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06A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6A3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6A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6A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6A3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5AA6"/>
  </w:style>
  <w:style w:type="paragraph" w:styleId="Pieddepage">
    <w:name w:val="footer"/>
    <w:basedOn w:val="Normal"/>
    <w:link w:val="PieddepageCar"/>
    <w:uiPriority w:val="99"/>
    <w:unhideWhenUsed/>
    <w:rsid w:val="00955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5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Mickael COURTAIS</dc:creator>
  <cp:keywords/>
  <dc:description/>
  <cp:lastModifiedBy>Lucile RUBIN</cp:lastModifiedBy>
  <cp:revision>3</cp:revision>
  <dcterms:created xsi:type="dcterms:W3CDTF">2020-11-02T09:28:00Z</dcterms:created>
  <dcterms:modified xsi:type="dcterms:W3CDTF">2020-11-03T10:01:00Z</dcterms:modified>
</cp:coreProperties>
</file>