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E5A92" w14:textId="77777777" w:rsidR="00F50699" w:rsidRDefault="00F50699" w:rsidP="008C5F46">
      <w:pPr>
        <w:ind w:right="8100"/>
        <w:rPr>
          <w:sz w:val="2"/>
        </w:rPr>
      </w:pPr>
    </w:p>
    <w:p w14:paraId="1DD86668" w14:textId="77777777" w:rsidR="00F50699" w:rsidRDefault="00F50699" w:rsidP="008C5F46">
      <w:pPr>
        <w:ind w:right="8100"/>
        <w:rPr>
          <w:sz w:val="2"/>
        </w:rPr>
      </w:pPr>
    </w:p>
    <w:p w14:paraId="7568F9A0" w14:textId="77777777" w:rsidR="00F50699" w:rsidRDefault="00F50699" w:rsidP="008C5F46">
      <w:pPr>
        <w:ind w:right="8100"/>
        <w:rPr>
          <w:sz w:val="2"/>
        </w:rPr>
      </w:pPr>
    </w:p>
    <w:p w14:paraId="6A21440E" w14:textId="77777777" w:rsidR="00F50699" w:rsidRDefault="00F50699" w:rsidP="008C5F46">
      <w:pPr>
        <w:ind w:right="8100"/>
        <w:rPr>
          <w:sz w:val="2"/>
        </w:rPr>
      </w:pPr>
    </w:p>
    <w:p w14:paraId="49972458" w14:textId="77777777" w:rsidR="00F50699" w:rsidRDefault="00F50699" w:rsidP="008C5F46">
      <w:pPr>
        <w:ind w:right="8100"/>
        <w:rPr>
          <w:sz w:val="2"/>
        </w:rPr>
      </w:pPr>
    </w:p>
    <w:p w14:paraId="098CC781" w14:textId="77777777" w:rsidR="00F50699" w:rsidRDefault="00F50699" w:rsidP="008C5F46">
      <w:pPr>
        <w:ind w:right="8100"/>
        <w:rPr>
          <w:sz w:val="2"/>
        </w:rPr>
      </w:pPr>
    </w:p>
    <w:p w14:paraId="169284C2" w14:textId="77777777" w:rsidR="00F50699" w:rsidRDefault="00F50699" w:rsidP="008C5F46">
      <w:pPr>
        <w:ind w:right="8100"/>
        <w:rPr>
          <w:sz w:val="2"/>
        </w:rPr>
      </w:pPr>
    </w:p>
    <w:p w14:paraId="220E9D04" w14:textId="77777777" w:rsidR="00F50699" w:rsidRDefault="00F50699" w:rsidP="008C5F46">
      <w:pPr>
        <w:ind w:right="8100"/>
        <w:rPr>
          <w:sz w:val="2"/>
        </w:rPr>
      </w:pPr>
    </w:p>
    <w:p w14:paraId="14C60515" w14:textId="77777777" w:rsidR="00F50699" w:rsidRDefault="00F50699" w:rsidP="008C5F46">
      <w:pPr>
        <w:ind w:right="8100"/>
        <w:rPr>
          <w:sz w:val="2"/>
        </w:rPr>
      </w:pPr>
    </w:p>
    <w:p w14:paraId="063F1EF8" w14:textId="77777777" w:rsidR="00F50699" w:rsidRDefault="00F50699" w:rsidP="008C5F46">
      <w:pPr>
        <w:ind w:right="8100"/>
        <w:rPr>
          <w:sz w:val="2"/>
        </w:rPr>
      </w:pPr>
    </w:p>
    <w:p w14:paraId="4338E6F0" w14:textId="77777777" w:rsidR="00F50699" w:rsidRDefault="00F50699" w:rsidP="008C5F46">
      <w:pPr>
        <w:ind w:right="8100"/>
        <w:rPr>
          <w:sz w:val="2"/>
        </w:rPr>
      </w:pPr>
    </w:p>
    <w:p w14:paraId="1FD14FA1" w14:textId="77777777" w:rsidR="00F50699" w:rsidRDefault="00F50699" w:rsidP="008C5F46">
      <w:pPr>
        <w:ind w:right="8100"/>
        <w:rPr>
          <w:sz w:val="2"/>
        </w:rPr>
      </w:pPr>
    </w:p>
    <w:p w14:paraId="64C1EA0D" w14:textId="77777777" w:rsidR="00F50699" w:rsidRDefault="00F50699" w:rsidP="008C5F46">
      <w:pPr>
        <w:ind w:right="8100"/>
        <w:rPr>
          <w:sz w:val="2"/>
        </w:rPr>
      </w:pPr>
    </w:p>
    <w:p w14:paraId="032B3E2C" w14:textId="77777777" w:rsidR="00F50699" w:rsidRDefault="00F50699" w:rsidP="008C5F46">
      <w:pPr>
        <w:ind w:right="8100"/>
        <w:rPr>
          <w:sz w:val="2"/>
        </w:rPr>
      </w:pPr>
    </w:p>
    <w:p w14:paraId="77EB8556" w14:textId="77777777" w:rsidR="00F50699" w:rsidRDefault="00F50699" w:rsidP="008C5F46">
      <w:pPr>
        <w:ind w:right="8100"/>
        <w:rPr>
          <w:sz w:val="2"/>
        </w:rPr>
      </w:pPr>
    </w:p>
    <w:p w14:paraId="0B9C55E5" w14:textId="77777777" w:rsidR="00F50699" w:rsidRDefault="00F50699" w:rsidP="008C5F46">
      <w:pPr>
        <w:ind w:right="8100"/>
        <w:rPr>
          <w:sz w:val="2"/>
        </w:rPr>
      </w:pPr>
    </w:p>
    <w:p w14:paraId="6C749EB5" w14:textId="77777777" w:rsidR="00F50699" w:rsidRDefault="00F50699" w:rsidP="008C5F46">
      <w:pPr>
        <w:ind w:right="8100"/>
        <w:rPr>
          <w:sz w:val="2"/>
        </w:rPr>
      </w:pPr>
    </w:p>
    <w:p w14:paraId="0FAEB884" w14:textId="77777777" w:rsidR="00F50699" w:rsidRDefault="00F50699" w:rsidP="008C5F46">
      <w:pPr>
        <w:ind w:right="8100"/>
        <w:rPr>
          <w:sz w:val="2"/>
        </w:rPr>
      </w:pPr>
    </w:p>
    <w:p w14:paraId="221AF30A" w14:textId="77777777" w:rsidR="00F50699" w:rsidRDefault="00F50699" w:rsidP="008C5F46">
      <w:pPr>
        <w:ind w:right="8100"/>
        <w:rPr>
          <w:sz w:val="2"/>
        </w:rPr>
      </w:pPr>
    </w:p>
    <w:p w14:paraId="066F1DEC" w14:textId="77777777" w:rsidR="00F50699" w:rsidRDefault="00F50699" w:rsidP="008C5F46">
      <w:pPr>
        <w:ind w:right="8100"/>
        <w:rPr>
          <w:sz w:val="2"/>
        </w:rPr>
      </w:pPr>
    </w:p>
    <w:p w14:paraId="57645387" w14:textId="77777777" w:rsidR="00F50699" w:rsidRDefault="00F50699" w:rsidP="008C5F46">
      <w:pPr>
        <w:ind w:right="8100"/>
        <w:rPr>
          <w:sz w:val="2"/>
        </w:rPr>
      </w:pPr>
    </w:p>
    <w:p w14:paraId="7E5BFA8F" w14:textId="77777777" w:rsidR="00F50699" w:rsidRDefault="00F50699" w:rsidP="008C5F46">
      <w:pPr>
        <w:ind w:right="8100"/>
        <w:rPr>
          <w:sz w:val="2"/>
        </w:rPr>
      </w:pPr>
    </w:p>
    <w:p w14:paraId="362DAFDD" w14:textId="77777777" w:rsidR="00F50699" w:rsidRDefault="00F50699" w:rsidP="008C5F46">
      <w:pPr>
        <w:ind w:right="8100"/>
        <w:rPr>
          <w:sz w:val="2"/>
        </w:rPr>
      </w:pPr>
    </w:p>
    <w:p w14:paraId="2349F4ED" w14:textId="77777777" w:rsidR="00F50699" w:rsidRDefault="00F50699" w:rsidP="008C5F46">
      <w:pPr>
        <w:ind w:right="8100"/>
        <w:rPr>
          <w:sz w:val="2"/>
        </w:rPr>
      </w:pPr>
    </w:p>
    <w:p w14:paraId="02FECEC9" w14:textId="77777777" w:rsidR="00F50699" w:rsidRDefault="00F50699" w:rsidP="008C5F46">
      <w:pPr>
        <w:ind w:right="8100"/>
        <w:rPr>
          <w:sz w:val="2"/>
        </w:rPr>
      </w:pPr>
    </w:p>
    <w:p w14:paraId="014D274E" w14:textId="77777777" w:rsidR="00F50699" w:rsidRDefault="00F50699" w:rsidP="008C5F46">
      <w:pPr>
        <w:ind w:right="8100"/>
        <w:rPr>
          <w:sz w:val="2"/>
        </w:rPr>
      </w:pPr>
    </w:p>
    <w:p w14:paraId="239A13F7" w14:textId="77777777" w:rsidR="00F50699" w:rsidRDefault="00F50699" w:rsidP="008C5F46">
      <w:pPr>
        <w:ind w:right="8100"/>
        <w:rPr>
          <w:sz w:val="2"/>
        </w:rPr>
      </w:pPr>
    </w:p>
    <w:p w14:paraId="3FE1AAC8" w14:textId="77777777" w:rsidR="00F50699" w:rsidRDefault="00F50699" w:rsidP="008C5F46">
      <w:pPr>
        <w:ind w:right="8100"/>
        <w:rPr>
          <w:sz w:val="2"/>
        </w:rPr>
      </w:pPr>
    </w:p>
    <w:p w14:paraId="6D260255" w14:textId="77777777" w:rsidR="00F50699" w:rsidRDefault="00F50699" w:rsidP="008C5F46">
      <w:pPr>
        <w:ind w:right="8100"/>
        <w:rPr>
          <w:sz w:val="2"/>
        </w:rPr>
      </w:pPr>
    </w:p>
    <w:p w14:paraId="04566323" w14:textId="77777777" w:rsidR="00F50699" w:rsidRDefault="00F50699" w:rsidP="008C5F46">
      <w:pPr>
        <w:ind w:right="8100"/>
        <w:rPr>
          <w:sz w:val="2"/>
        </w:rPr>
      </w:pPr>
    </w:p>
    <w:p w14:paraId="27A360A3" w14:textId="77777777" w:rsidR="00F50699" w:rsidRDefault="00F50699" w:rsidP="008C5F46">
      <w:pPr>
        <w:ind w:right="8100"/>
        <w:rPr>
          <w:sz w:val="2"/>
        </w:rPr>
      </w:pPr>
    </w:p>
    <w:p w14:paraId="5C47E64D" w14:textId="0125F136" w:rsidR="006B51FC" w:rsidRDefault="00F50699" w:rsidP="008C5F46">
      <w:pPr>
        <w:ind w:right="8100"/>
        <w:rPr>
          <w:sz w:val="2"/>
        </w:rPr>
      </w:pPr>
      <w:r>
        <w:rPr>
          <w:noProof/>
          <w:lang w:val="fr-FR" w:eastAsia="fr-FR"/>
        </w:rPr>
        <w:drawing>
          <wp:anchor distT="0" distB="0" distL="114300" distR="114300" simplePos="0" relativeHeight="251659264" behindDoc="0" locked="0" layoutInCell="1" allowOverlap="1" wp14:anchorId="64536724" wp14:editId="04635A3C">
            <wp:simplePos x="0" y="0"/>
            <wp:positionH relativeFrom="page">
              <wp:align>left</wp:align>
            </wp:positionH>
            <wp:positionV relativeFrom="page">
              <wp:align>top</wp:align>
            </wp:positionV>
            <wp:extent cx="3357245" cy="1917700"/>
            <wp:effectExtent l="0" t="0" r="0" b="0"/>
            <wp:wrapThrough wrapText="bothSides">
              <wp:wrapPolygon edited="0">
                <wp:start x="2819" y="4077"/>
                <wp:lineTo x="2084" y="7939"/>
                <wp:lineTo x="1593" y="12445"/>
                <wp:lineTo x="2451" y="14376"/>
                <wp:lineTo x="3309" y="15020"/>
                <wp:lineTo x="4903" y="17595"/>
                <wp:lineTo x="5025" y="18024"/>
                <wp:lineTo x="5638" y="18024"/>
                <wp:lineTo x="19855" y="16951"/>
                <wp:lineTo x="20713" y="15878"/>
                <wp:lineTo x="19855" y="14805"/>
                <wp:lineTo x="20468" y="14591"/>
                <wp:lineTo x="19978" y="13518"/>
                <wp:lineTo x="17404" y="11372"/>
                <wp:lineTo x="18630" y="11158"/>
                <wp:lineTo x="19855" y="9226"/>
                <wp:lineTo x="19610" y="7939"/>
                <wp:lineTo x="20101" y="6223"/>
                <wp:lineTo x="18630" y="5793"/>
                <wp:lineTo x="5148" y="4077"/>
                <wp:lineTo x="2819" y="4077"/>
              </wp:wrapPolygon>
            </wp:wrapThrough>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haut.png"/>
                    <pic:cNvPicPr/>
                  </pic:nvPicPr>
                  <pic:blipFill rotWithShape="1">
                    <a:blip r:embed="rId8" cstate="print">
                      <a:extLst>
                        <a:ext uri="{28A0092B-C50C-407E-A947-70E740481C1C}">
                          <a14:useLocalDpi xmlns:a14="http://schemas.microsoft.com/office/drawing/2010/main" val="0"/>
                        </a:ext>
                      </a:extLst>
                    </a:blip>
                    <a:srcRect l="13074" t="26502" r="19434" b="34982"/>
                    <a:stretch/>
                  </pic:blipFill>
                  <pic:spPr bwMode="auto">
                    <a:xfrm>
                      <a:off x="0" y="0"/>
                      <a:ext cx="3357245" cy="1917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5B0D16" w14:textId="77777777" w:rsidR="006B51FC" w:rsidRDefault="006B51FC" w:rsidP="008C5F46"/>
    <w:tbl>
      <w:tblPr>
        <w:tblW w:w="0" w:type="auto"/>
        <w:shd w:val="clear" w:color="auto" w:fill="7BACAD"/>
        <w:tblLayout w:type="fixed"/>
        <w:tblLook w:val="04A0" w:firstRow="1" w:lastRow="0" w:firstColumn="1" w:lastColumn="0" w:noHBand="0" w:noVBand="1"/>
      </w:tblPr>
      <w:tblGrid>
        <w:gridCol w:w="9620"/>
      </w:tblGrid>
      <w:tr w:rsidR="006B51FC" w14:paraId="7D118962" w14:textId="77777777" w:rsidTr="00F50699">
        <w:tc>
          <w:tcPr>
            <w:tcW w:w="9620" w:type="dxa"/>
            <w:shd w:val="clear" w:color="auto" w:fill="7BACAD"/>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186920AF" w14:textId="4C0D18E5" w:rsidR="00BF4F91" w:rsidRPr="00BF4F91" w:rsidRDefault="008B5F97" w:rsidP="00524D0B">
      <w:pPr>
        <w:jc w:val="center"/>
        <w:rPr>
          <w:rFonts w:ascii="Calibri" w:eastAsia="Calibri" w:hAnsi="Calibri" w:cs="Calibri"/>
          <w:b/>
          <w:color w:val="000000"/>
          <w:sz w:val="28"/>
          <w:u w:val="single"/>
          <w:lang w:val="fr-FR"/>
        </w:rPr>
      </w:pPr>
      <w:r>
        <w:rPr>
          <w:rFonts w:ascii="Calibri" w:eastAsia="Calibri" w:hAnsi="Calibri" w:cs="Calibri"/>
          <w:b/>
          <w:color w:val="000000"/>
          <w:sz w:val="28"/>
          <w:u w:val="single"/>
          <w:lang w:val="fr-FR"/>
        </w:rPr>
        <w:t>ACCORD-CADRE DE SERVICES</w:t>
      </w:r>
    </w:p>
    <w:p w14:paraId="3554D338" w14:textId="7F4D8AF6" w:rsidR="006B51FC" w:rsidRPr="00BF4F91" w:rsidRDefault="006B51FC" w:rsidP="008C5F46">
      <w:pPr>
        <w:rPr>
          <w:rFonts w:ascii="Calibri" w:eastAsia="Calibri" w:hAnsi="Calibri" w:cs="Calibri"/>
          <w:b/>
          <w:color w:val="000000"/>
          <w:sz w:val="28"/>
          <w:lang w:val="fr-FR"/>
        </w:rPr>
      </w:pPr>
    </w:p>
    <w:p w14:paraId="5CD9093C" w14:textId="77777777" w:rsidR="00A52C7F" w:rsidRPr="00BF4F91" w:rsidRDefault="00A52C7F" w:rsidP="008C5F46">
      <w:pPr>
        <w:rPr>
          <w:lang w:val="fr-FR"/>
        </w:rPr>
      </w:pPr>
    </w:p>
    <w:p w14:paraId="1237EA6F" w14:textId="77777777" w:rsidR="006B51FC" w:rsidRPr="00BF4F91" w:rsidRDefault="006B51FC" w:rsidP="008C5F46">
      <w:pPr>
        <w:rPr>
          <w:lang w:val="fr-FR"/>
        </w:rPr>
      </w:pPr>
    </w:p>
    <w:p w14:paraId="06295033" w14:textId="77777777" w:rsidR="006B51FC" w:rsidRPr="00BF4F91" w:rsidRDefault="006B51FC" w:rsidP="008C5F46">
      <w:pPr>
        <w:rPr>
          <w:lang w:val="fr-FR"/>
        </w:rPr>
      </w:pPr>
    </w:p>
    <w:p w14:paraId="79F66245" w14:textId="77777777" w:rsidR="006B51FC" w:rsidRPr="00BF4F91" w:rsidRDefault="006B51FC" w:rsidP="008C5F46">
      <w:pPr>
        <w:rPr>
          <w:lang w:val="fr-FR"/>
        </w:rPr>
      </w:pPr>
    </w:p>
    <w:p w14:paraId="7C24D9ED" w14:textId="77777777" w:rsidR="006B51FC" w:rsidRPr="00BF4F91" w:rsidRDefault="006B51FC" w:rsidP="008C5F46">
      <w:pPr>
        <w:rPr>
          <w:lang w:val="fr-FR"/>
        </w:rPr>
      </w:pPr>
    </w:p>
    <w:p w14:paraId="2CC94E10" w14:textId="77777777" w:rsidR="006B51FC" w:rsidRPr="00BF4F91" w:rsidRDefault="006B51FC" w:rsidP="008C5F46">
      <w:pPr>
        <w:rPr>
          <w:lang w:val="fr-FR"/>
        </w:rPr>
      </w:pPr>
    </w:p>
    <w:p w14:paraId="41C4841E" w14:textId="77777777" w:rsidR="006B51FC" w:rsidRPr="00BF4F91"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A52C7F"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9E68D95" w14:textId="2A75777E" w:rsidR="005C34B1" w:rsidRPr="00524D0B" w:rsidRDefault="008B5F97" w:rsidP="00BF4F91">
            <w:pPr>
              <w:jc w:val="center"/>
              <w:rPr>
                <w:rFonts w:ascii="Calibri" w:eastAsia="Calibri" w:hAnsi="Calibri" w:cs="Calibri"/>
                <w:b/>
                <w:color w:val="000000"/>
                <w:sz w:val="28"/>
                <w:lang w:val="fr-FR"/>
              </w:rPr>
            </w:pPr>
            <w:r>
              <w:rPr>
                <w:rFonts w:ascii="Calibri" w:eastAsia="Calibri" w:hAnsi="Calibri" w:cs="Calibri"/>
                <w:b/>
                <w:color w:val="000000"/>
                <w:sz w:val="28"/>
                <w:lang w:val="fr-FR"/>
              </w:rPr>
              <w:t xml:space="preserve">AOO 20250021 </w:t>
            </w:r>
            <w:r w:rsidRPr="008B5F97">
              <w:rPr>
                <w:rFonts w:ascii="Calibri" w:eastAsia="Calibri" w:hAnsi="Calibri" w:cs="Calibri"/>
                <w:b/>
                <w:color w:val="000000"/>
                <w:sz w:val="28"/>
                <w:lang w:val="fr-FR"/>
              </w:rPr>
              <w:t>Prestations de maintenance et de contrôle/qualification de stérilisateurs, de laveurs-désinfecteurs, de cabines de lavage et de soudeuses des membres des Hôpitaux Hainaut Cambrésis</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043C9540" w14:textId="77777777" w:rsidR="009312D9" w:rsidRDefault="009312D9"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1050D5F6" w14:textId="77777777" w:rsidR="009312D9" w:rsidRDefault="009312D9"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F50699" w:rsidRDefault="00524D0B" w:rsidP="00524D0B">
      <w:pPr>
        <w:jc w:val="center"/>
        <w:rPr>
          <w:rFonts w:ascii="Calibri" w:eastAsia="Calibri" w:hAnsi="Calibri" w:cs="Calibri"/>
          <w:b/>
          <w:color w:val="7BACAD"/>
          <w:sz w:val="22"/>
          <w:lang w:val="fr-FR"/>
        </w:rPr>
      </w:pPr>
      <w:r w:rsidRPr="00F50699">
        <w:rPr>
          <w:rFonts w:ascii="Calibri" w:eastAsia="Calibri" w:hAnsi="Calibri" w:cs="Calibri"/>
          <w:b/>
          <w:color w:val="7BACAD"/>
          <w:sz w:val="22"/>
          <w:lang w:val="fr-FR"/>
        </w:rPr>
        <w:t>CENTRE HOSPITALIER DE VALENCIENNES</w:t>
      </w:r>
    </w:p>
    <w:p w14:paraId="47472CE7" w14:textId="79126F67" w:rsidR="00F50699" w:rsidRDefault="00F50699" w:rsidP="00524D0B">
      <w:pPr>
        <w:jc w:val="center"/>
        <w:rPr>
          <w:rFonts w:ascii="Calibri" w:eastAsia="Calibri" w:hAnsi="Calibri" w:cs="Calibri"/>
          <w:color w:val="000000"/>
          <w:sz w:val="22"/>
          <w:lang w:val="fr-FR"/>
        </w:rPr>
      </w:pPr>
      <w:r>
        <w:rPr>
          <w:rFonts w:ascii="Calibri" w:eastAsia="Calibri" w:hAnsi="Calibri" w:cs="Calibri"/>
          <w:color w:val="000000"/>
          <w:sz w:val="22"/>
          <w:lang w:val="fr-FR"/>
        </w:rPr>
        <w:t>Etablisseme</w:t>
      </w:r>
      <w:r w:rsidR="009A258F">
        <w:rPr>
          <w:rFonts w:ascii="Calibri" w:eastAsia="Calibri" w:hAnsi="Calibri" w:cs="Calibri"/>
          <w:color w:val="000000"/>
          <w:sz w:val="22"/>
          <w:lang w:val="fr-FR"/>
        </w:rPr>
        <w:t xml:space="preserve">nt support des Hôpitaux Hainaut </w:t>
      </w:r>
      <w:r>
        <w:rPr>
          <w:rFonts w:ascii="Calibri" w:eastAsia="Calibri" w:hAnsi="Calibri" w:cs="Calibri"/>
          <w:color w:val="000000"/>
          <w:sz w:val="22"/>
          <w:lang w:val="fr-FR"/>
        </w:rPr>
        <w:t>Cambrésis</w:t>
      </w:r>
    </w:p>
    <w:p w14:paraId="4BF07D31" w14:textId="36783232"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 xml:space="preserve">Pôle </w:t>
      </w:r>
      <w:r w:rsidR="00F50699">
        <w:rPr>
          <w:rFonts w:ascii="Calibri" w:eastAsia="Calibri" w:hAnsi="Calibri" w:cs="Calibri"/>
          <w:color w:val="000000"/>
          <w:sz w:val="22"/>
          <w:lang w:val="fr-FR"/>
        </w:rPr>
        <w:t>Services</w:t>
      </w:r>
      <w:r w:rsidRPr="007B301D">
        <w:rPr>
          <w:rFonts w:ascii="Calibri" w:eastAsia="Calibri" w:hAnsi="Calibri" w:cs="Calibri"/>
          <w:color w:val="000000"/>
          <w:sz w:val="22"/>
          <w:lang w:val="fr-FR"/>
        </w:rPr>
        <w:t xml:space="preserve"> – Cellule </w:t>
      </w:r>
      <w:r w:rsidR="00BF4F91" w:rsidRPr="007B301D">
        <w:rPr>
          <w:rFonts w:ascii="Calibri" w:eastAsia="Calibri" w:hAnsi="Calibri" w:cs="Calibri"/>
          <w:color w:val="000000"/>
          <w:sz w:val="22"/>
          <w:lang w:val="fr-FR"/>
        </w:rPr>
        <w:t xml:space="preserve">des </w:t>
      </w:r>
      <w:r w:rsidR="00BF4F91">
        <w:rPr>
          <w:rFonts w:ascii="Calibri" w:eastAsia="Calibri" w:hAnsi="Calibri" w:cs="Calibri"/>
          <w:color w:val="000000"/>
          <w:sz w:val="22"/>
          <w:lang w:val="fr-FR"/>
        </w:rPr>
        <w:t>marchés</w:t>
      </w:r>
      <w:r w:rsidR="006C48C3">
        <w:rPr>
          <w:rFonts w:ascii="Calibri" w:eastAsia="Calibri" w:hAnsi="Calibri" w:cs="Calibri"/>
          <w:color w:val="000000"/>
          <w:sz w:val="22"/>
          <w:lang w:val="fr-FR"/>
        </w:rPr>
        <w:t xml:space="preserve"> public</w:t>
      </w:r>
      <w:r w:rsidR="009A258F">
        <w:rPr>
          <w:rFonts w:ascii="Calibri" w:eastAsia="Calibri" w:hAnsi="Calibri" w:cs="Calibri"/>
          <w:color w:val="000000"/>
          <w:sz w:val="22"/>
          <w:lang w:val="fr-FR"/>
        </w:rPr>
        <w:t>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616EC525" w:rsidR="006B51FC" w:rsidRPr="007B301D" w:rsidRDefault="00524D0B" w:rsidP="00524D0B">
      <w:pPr>
        <w:jc w:val="center"/>
        <w:rPr>
          <w:rFonts w:ascii="Calibri" w:eastAsia="Calibri" w:hAnsi="Calibri" w:cs="Calibri"/>
          <w:color w:val="000000"/>
          <w:sz w:val="22"/>
          <w:lang w:val="fr-FR"/>
        </w:rPr>
        <w:sectPr w:rsidR="006B51FC" w:rsidRPr="007B301D" w:rsidSect="00F565D7">
          <w:type w:val="continuous"/>
          <w:pgSz w:w="11900" w:h="16840"/>
          <w:pgMar w:top="1400" w:right="1140" w:bottom="1440" w:left="1140" w:header="1400" w:footer="1440" w:gutter="0"/>
          <w:cols w:space="708"/>
        </w:sectPr>
      </w:pPr>
      <w:r w:rsidRPr="007B301D">
        <w:rPr>
          <w:rFonts w:ascii="Calibri" w:eastAsia="Calibri" w:hAnsi="Calibri" w:cs="Calibri"/>
          <w:color w:val="000000"/>
          <w:sz w:val="22"/>
          <w:lang w:val="fr-FR"/>
        </w:rPr>
        <w:t>59322 VALENCIENNES Cedex</w:t>
      </w:r>
    </w:p>
    <w:tbl>
      <w:tblPr>
        <w:tblW w:w="0" w:type="auto"/>
        <w:shd w:val="clear" w:color="auto" w:fill="7BACAD"/>
        <w:tblLayout w:type="fixed"/>
        <w:tblLook w:val="04A0" w:firstRow="1" w:lastRow="0" w:firstColumn="1" w:lastColumn="0" w:noHBand="0" w:noVBand="1"/>
      </w:tblPr>
      <w:tblGrid>
        <w:gridCol w:w="9620"/>
      </w:tblGrid>
      <w:tr w:rsidR="006B51FC" w14:paraId="6B4D480B" w14:textId="77777777" w:rsidTr="00F50699">
        <w:tc>
          <w:tcPr>
            <w:tcW w:w="9620" w:type="dxa"/>
            <w:shd w:val="clear" w:color="auto" w:fill="7BACAD"/>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3D40C8C4" w14:textId="4839E3EB" w:rsidR="009A258F" w:rsidRDefault="009A258F"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Etablissement support des Hôpitaux Hainaut Cambrésis</w:t>
      </w:r>
    </w:p>
    <w:p w14:paraId="4B21791F" w14:textId="6E93F592"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16FDCB5D"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w:t>
      </w:r>
      <w:r w:rsidR="006C48C3">
        <w:rPr>
          <w:rFonts w:ascii="Calibri" w:eastAsia="Calibri" w:hAnsi="Calibri" w:cs="Calibri"/>
          <w:i w:val="0"/>
          <w:color w:val="000000"/>
          <w:sz w:val="24"/>
          <w:u w:val="single"/>
          <w:lang w:val="fr-FR"/>
        </w:rPr>
        <w:t>marché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A3EAE">
        <w:rPr>
          <w:rFonts w:ascii="Arial" w:hAnsi="Arial" w:cs="Arial"/>
          <w:sz w:val="22"/>
        </w:rPr>
      </w:r>
      <w:r w:rsidR="000A3EAE">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2B124BF4" w:rsidR="007B301D" w:rsidRPr="004B07C4" w:rsidRDefault="008B5F9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A3EAE">
        <w:rPr>
          <w:rFonts w:ascii="Arial" w:hAnsi="Arial" w:cs="Arial"/>
          <w:sz w:val="22"/>
        </w:rPr>
      </w:r>
      <w:r w:rsidR="000A3EAE">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5808992F" w:rsidR="007B301D" w:rsidRPr="004B07C4" w:rsidRDefault="008B5F9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A3EAE">
        <w:rPr>
          <w:rFonts w:ascii="Arial" w:hAnsi="Arial" w:cs="Arial"/>
          <w:sz w:val="22"/>
        </w:rPr>
      </w:r>
      <w:r w:rsidR="000A3EAE">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A3EAE">
        <w:rPr>
          <w:rFonts w:ascii="Arial" w:hAnsi="Arial" w:cs="Arial"/>
          <w:sz w:val="22"/>
        </w:rPr>
      </w:r>
      <w:r w:rsidR="000A3EAE">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A3EAE">
        <w:rPr>
          <w:rFonts w:ascii="Arial" w:hAnsi="Arial" w:cs="Arial"/>
          <w:sz w:val="22"/>
        </w:rPr>
      </w:r>
      <w:r w:rsidR="000A3EAE">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D17F831" w:rsidR="007B301D" w:rsidRPr="004B07C4" w:rsidRDefault="008B5F9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0A3EAE">
        <w:rPr>
          <w:rFonts w:ascii="Arial" w:hAnsi="Arial" w:cs="Arial"/>
          <w:sz w:val="22"/>
        </w:rPr>
      </w:r>
      <w:r w:rsidR="000A3EAE">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2103DFA" w:rsidR="00DD5BD8" w:rsidRPr="004B07C4" w:rsidRDefault="00BF4F9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0A3EAE">
        <w:rPr>
          <w:rFonts w:ascii="Arial" w:hAnsi="Arial" w:cs="Arial"/>
          <w:sz w:val="22"/>
        </w:rPr>
      </w:r>
      <w:r w:rsidR="000A3EAE">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0272B25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Pôle logistique – Cellule </w:t>
      </w:r>
      <w:r w:rsidR="00BF4F91" w:rsidRPr="004B07C4">
        <w:rPr>
          <w:rFonts w:ascii="Calibri" w:eastAsia="Calibri" w:hAnsi="Calibri" w:cs="Calibri"/>
          <w:color w:val="000000"/>
          <w:sz w:val="20"/>
          <w:szCs w:val="22"/>
          <w:lang w:val="fr-FR"/>
        </w:rPr>
        <w:t xml:space="preserve">des </w:t>
      </w:r>
      <w:r w:rsidR="00BF4F91">
        <w:rPr>
          <w:rFonts w:ascii="Calibri" w:eastAsia="Calibri" w:hAnsi="Calibri" w:cs="Calibri"/>
          <w:color w:val="000000"/>
          <w:sz w:val="20"/>
          <w:szCs w:val="22"/>
          <w:lang w:val="fr-FR"/>
        </w:rPr>
        <w:t>marchés</w:t>
      </w:r>
      <w:r w:rsidR="006C48C3">
        <w:rPr>
          <w:rFonts w:ascii="Calibri" w:eastAsia="Calibri" w:hAnsi="Calibri" w:cs="Calibri"/>
          <w:color w:val="000000"/>
          <w:sz w:val="20"/>
          <w:szCs w:val="22"/>
          <w:lang w:val="fr-FR"/>
        </w:rPr>
        <w:t xml:space="preserve"> public</w:t>
      </w:r>
      <w:r w:rsidR="009A258F">
        <w:rPr>
          <w:rFonts w:ascii="Calibri" w:eastAsia="Calibri" w:hAnsi="Calibri" w:cs="Calibri"/>
          <w:color w:val="000000"/>
          <w:sz w:val="20"/>
          <w:szCs w:val="22"/>
          <w:lang w:val="fr-FR"/>
        </w:rPr>
        <w:t>s</w:t>
      </w:r>
    </w:p>
    <w:p w14:paraId="3A8E0DFD" w14:textId="77777777" w:rsidR="007B301D" w:rsidRPr="00BF4F91"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w:t>
      </w:r>
      <w:r w:rsidRPr="00BF4F91">
        <w:rPr>
          <w:rFonts w:ascii="Calibri" w:eastAsia="Calibri" w:hAnsi="Calibri" w:cs="Calibri"/>
          <w:color w:val="000000"/>
          <w:sz w:val="20"/>
          <w:szCs w:val="22"/>
          <w:lang w:val="fr-FR"/>
        </w:rPr>
        <w:t>Désandrouin – B.P. 479</w:t>
      </w:r>
    </w:p>
    <w:p w14:paraId="76BB78B3" w14:textId="0493920C" w:rsidR="007B301D" w:rsidRPr="00BF4F91" w:rsidRDefault="007B301D"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59322 VALENCIENNES Cedex</w:t>
      </w:r>
    </w:p>
    <w:p w14:paraId="1CD9108D" w14:textId="7C6B2247" w:rsidR="00783DBC" w:rsidRPr="004B07C4" w:rsidRDefault="00783DBC"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 xml:space="preserve">03 27 14 </w:t>
      </w:r>
      <w:r w:rsidR="00BF4F91" w:rsidRPr="00BF4F91">
        <w:rPr>
          <w:rFonts w:ascii="Calibri" w:eastAsia="Calibri" w:hAnsi="Calibri" w:cs="Calibri"/>
          <w:color w:val="000000"/>
          <w:sz w:val="20"/>
          <w:szCs w:val="22"/>
          <w:lang w:val="fr-FR"/>
        </w:rPr>
        <w:t>06 63</w:t>
      </w:r>
      <w:r w:rsidRPr="00BF4F91">
        <w:rPr>
          <w:rFonts w:ascii="Calibri" w:eastAsia="Calibri" w:hAnsi="Calibri" w:cs="Calibri"/>
          <w:color w:val="000000"/>
          <w:sz w:val="20"/>
          <w:szCs w:val="22"/>
          <w:lang w:val="fr-FR"/>
        </w:rPr>
        <w:t xml:space="preserve">– </w:t>
      </w:r>
      <w:hyperlink r:id="rId9" w:history="1">
        <w:r w:rsidR="00BF4F91" w:rsidRPr="00BF4F91">
          <w:rPr>
            <w:rStyle w:val="Lienhypertexte"/>
            <w:rFonts w:ascii="Calibri" w:eastAsia="Calibri" w:hAnsi="Calibri" w:cs="Calibri"/>
            <w:sz w:val="20"/>
            <w:szCs w:val="22"/>
            <w:lang w:val="fr-FR"/>
          </w:rPr>
          <w:t>plichon-l1@ch-valenciennes.fr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rsidRPr="009A5651" w14:paraId="65BAEDFA" w14:textId="77777777" w:rsidTr="00F50699">
        <w:tc>
          <w:tcPr>
            <w:tcW w:w="9620" w:type="dxa"/>
            <w:shd w:val="clear" w:color="auto" w:fill="7BACAD"/>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2B811FD6" w:rsidR="006B51FC" w:rsidRDefault="009312D9" w:rsidP="008C5F46">
      <w:pPr>
        <w:pStyle w:val="ParagrapheIndent1"/>
        <w:jc w:val="both"/>
        <w:rPr>
          <w:color w:val="000000"/>
          <w:lang w:val="fr-FR"/>
        </w:rPr>
      </w:pPr>
      <w:r>
        <w:rPr>
          <w:color w:val="000000"/>
          <w:lang w:val="fr-FR"/>
        </w:rPr>
        <w:t xml:space="preserve">Après avoir pris connaissance des pièces </w:t>
      </w:r>
      <w:r w:rsidRPr="00BF4F91">
        <w:rPr>
          <w:color w:val="000000"/>
          <w:lang w:val="fr-FR"/>
        </w:rPr>
        <w:t xml:space="preserve">constitutives </w:t>
      </w:r>
      <w:r w:rsidR="00C422C6" w:rsidRPr="00BF4F91">
        <w:rPr>
          <w:color w:val="000000"/>
          <w:lang w:val="fr-FR"/>
        </w:rPr>
        <w:t xml:space="preserve">du </w:t>
      </w:r>
      <w:r w:rsidR="006C48C3" w:rsidRPr="00BF4F91">
        <w:rPr>
          <w:color w:val="000000"/>
          <w:lang w:val="fr-FR"/>
        </w:rPr>
        <w:t>marché public</w:t>
      </w:r>
      <w:r w:rsidR="00C422C6" w:rsidRPr="00BF4F91">
        <w:rPr>
          <w:color w:val="000000"/>
          <w:lang w:val="fr-FR"/>
        </w:rPr>
        <w:t xml:space="preserve"> </w:t>
      </w:r>
      <w:r w:rsidRPr="00BF4F91">
        <w:rPr>
          <w:color w:val="000000"/>
          <w:lang w:val="fr-FR"/>
        </w:rPr>
        <w:t>indiquées à l'article "</w:t>
      </w:r>
      <w:r w:rsidR="00C80F9A" w:rsidRPr="00BF4F91">
        <w:rPr>
          <w:color w:val="000000"/>
          <w:lang w:val="fr-FR"/>
        </w:rPr>
        <w:t>documents contractuels</w:t>
      </w:r>
      <w:r w:rsidRPr="00BF4F91">
        <w:rPr>
          <w:color w:val="000000"/>
          <w:lang w:val="fr-FR"/>
        </w:rPr>
        <w:t xml:space="preserve">" du </w:t>
      </w:r>
      <w:r w:rsidR="00A220E9" w:rsidRPr="00BF4F91">
        <w:rPr>
          <w:color w:val="000000"/>
          <w:lang w:val="fr-FR"/>
        </w:rPr>
        <w:t>cahier des clauses administratives particulières (CCAP)</w:t>
      </w:r>
      <w:r w:rsidR="00DA0F0E" w:rsidRPr="00BF4F91">
        <w:rPr>
          <w:color w:val="000000"/>
          <w:lang w:val="fr-FR"/>
        </w:rPr>
        <w:t xml:space="preserve"> </w:t>
      </w:r>
      <w:r w:rsidRPr="00BF4F91">
        <w:rPr>
          <w:color w:val="000000"/>
          <w:lang w:val="fr-FR"/>
        </w:rPr>
        <w:t>et conformément à leurs</w:t>
      </w:r>
      <w:r w:rsidRPr="00C422C6">
        <w:rPr>
          <w:color w:val="000000"/>
          <w:lang w:val="fr-FR"/>
        </w:rPr>
        <w:t xml:space="preserve">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A3EAE">
              <w:rPr>
                <w:rFonts w:ascii="Arial" w:hAnsi="Arial" w:cs="Arial"/>
              </w:rPr>
            </w:r>
            <w:r w:rsidR="000A3EAE">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A3EAE">
              <w:rPr>
                <w:rFonts w:ascii="Arial" w:hAnsi="Arial" w:cs="Arial"/>
              </w:rPr>
            </w:r>
            <w:r w:rsidR="000A3EAE">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87C1088"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C422C6"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A3EAE">
              <w:rPr>
                <w:rFonts w:ascii="Arial" w:hAnsi="Arial" w:cs="Arial"/>
              </w:rPr>
            </w:r>
            <w:r w:rsidR="000A3EAE">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C422C6" w14:paraId="5567F68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484586F" w:rsidR="006B51FC" w:rsidRDefault="006B51FC" w:rsidP="008C5F46"/>
    <w:p w14:paraId="04415D64" w14:textId="77777777" w:rsidR="00C422C6" w:rsidRDefault="00C422C6"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A3EAE">
              <w:rPr>
                <w:rFonts w:ascii="Arial" w:hAnsi="Arial" w:cs="Arial"/>
              </w:rPr>
            </w:r>
            <w:r w:rsidR="000A3EAE">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A3EAE">
              <w:rPr>
                <w:rFonts w:ascii="Arial" w:hAnsi="Arial" w:cs="Arial"/>
              </w:rPr>
            </w:r>
            <w:r w:rsidR="000A3EAE">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A3EAE">
              <w:rPr>
                <w:rFonts w:ascii="Arial" w:hAnsi="Arial" w:cs="Arial"/>
              </w:rPr>
            </w:r>
            <w:r w:rsidR="000A3EAE">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A3EAE">
              <w:rPr>
                <w:rFonts w:ascii="Arial" w:hAnsi="Arial" w:cs="Arial"/>
              </w:rPr>
            </w:r>
            <w:r w:rsidR="000A3EAE">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F103421"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0A3EAE">
        <w:rPr>
          <w:rFonts w:ascii="Arial" w:hAnsi="Arial" w:cs="Arial"/>
        </w:rPr>
      </w:r>
      <w:r w:rsidR="000A3EAE">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7BACAD"/>
        <w:tblLayout w:type="fixed"/>
        <w:tblLook w:val="04A0" w:firstRow="1" w:lastRow="0" w:firstColumn="1" w:lastColumn="0" w:noHBand="0" w:noVBand="1"/>
      </w:tblPr>
      <w:tblGrid>
        <w:gridCol w:w="9620"/>
      </w:tblGrid>
      <w:tr w:rsidR="006B51FC" w:rsidRPr="00C80F9A" w14:paraId="7250AD15" w14:textId="77777777" w:rsidTr="00F50699">
        <w:tc>
          <w:tcPr>
            <w:tcW w:w="9620" w:type="dxa"/>
            <w:shd w:val="clear" w:color="auto" w:fill="7BACAD"/>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3D5F7562" w14:textId="5F7F227F" w:rsidR="00F50699" w:rsidRDefault="00F50699" w:rsidP="00BF4F91">
      <w:pPr>
        <w:pStyle w:val="ParagrapheIndent2"/>
        <w:jc w:val="both"/>
        <w:rPr>
          <w:lang w:val="fr-FR"/>
        </w:rPr>
      </w:pPr>
      <w:r>
        <w:rPr>
          <w:color w:val="000000"/>
          <w:lang w:val="fr-FR"/>
        </w:rPr>
        <w:t xml:space="preserve">La </w:t>
      </w:r>
      <w:r w:rsidR="00FF64DA">
        <w:rPr>
          <w:color w:val="000000"/>
          <w:lang w:val="fr-FR"/>
        </w:rPr>
        <w:t xml:space="preserve">présente consultation </w:t>
      </w:r>
      <w:r>
        <w:rPr>
          <w:color w:val="000000"/>
          <w:lang w:val="fr-FR"/>
        </w:rPr>
        <w:t xml:space="preserve">concerne </w:t>
      </w:r>
      <w:r w:rsidR="008B5F97" w:rsidRPr="008B5F97">
        <w:rPr>
          <w:color w:val="000000"/>
          <w:lang w:val="fr-FR"/>
        </w:rPr>
        <w:t>les prestations de maintenance et de contrôle/qualification de stérilisateurs, de laveurs-désinfecteurs, de cabines de lavage et de soudeuses des membres des Hôpitaux Hainaut Cambrésis.</w:t>
      </w:r>
    </w:p>
    <w:p w14:paraId="6FAE250E" w14:textId="77777777" w:rsidR="00F50699" w:rsidRPr="00F50699" w:rsidRDefault="00F50699" w:rsidP="00F50699">
      <w:pPr>
        <w:rPr>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1EF2B82B"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0A3EAE">
        <w:rPr>
          <w:sz w:val="20"/>
          <w:szCs w:val="20"/>
        </w:rPr>
      </w:r>
      <w:r w:rsidR="000A3EAE">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 xml:space="preserve">du </w:t>
      </w:r>
      <w:r w:rsidR="006C48C3">
        <w:rPr>
          <w:rFonts w:asciiTheme="minorHAnsi" w:hAnsiTheme="minorHAnsi" w:cstheme="minorHAnsi"/>
          <w:sz w:val="20"/>
          <w:szCs w:val="20"/>
          <w:lang w:val="fr-FR"/>
        </w:rPr>
        <w:t>marché public</w:t>
      </w:r>
      <w:r w:rsidRPr="00C70AB0">
        <w:rPr>
          <w:rFonts w:asciiTheme="minorHAnsi" w:hAnsiTheme="minorHAnsi" w:cstheme="minorHAnsi"/>
          <w:sz w:val="20"/>
          <w:szCs w:val="20"/>
          <w:lang w:val="fr-FR"/>
        </w:rPr>
        <w:t xml:space="preserve"> </w:t>
      </w:r>
      <w:proofErr w:type="spellStart"/>
      <w:r w:rsidRPr="00C70AB0">
        <w:rPr>
          <w:rFonts w:asciiTheme="minorHAnsi" w:hAnsiTheme="minorHAnsi" w:cstheme="minorHAnsi"/>
          <w:sz w:val="20"/>
          <w:szCs w:val="20"/>
          <w:lang w:val="fr-FR"/>
        </w:rPr>
        <w:t>public</w:t>
      </w:r>
      <w:proofErr w:type="spellEnd"/>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131509E8" w:rsidR="004B07C4" w:rsidRDefault="00A52C7F"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0A3EAE">
        <w:rPr>
          <w:rFonts w:asciiTheme="minorHAnsi" w:hAnsiTheme="minorHAnsi" w:cstheme="minorHAnsi"/>
          <w:sz w:val="22"/>
          <w:szCs w:val="22"/>
        </w:rPr>
      </w:r>
      <w:r w:rsidR="000A3EA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 ou aux lots n°…………… </w:t>
      </w:r>
      <w:r w:rsidR="00FF64DA" w:rsidRPr="00C70AB0">
        <w:rPr>
          <w:rFonts w:asciiTheme="minorHAnsi" w:hAnsiTheme="minorHAnsi" w:cstheme="minorHAnsi"/>
          <w:szCs w:val="22"/>
          <w:shd w:val="clear" w:color="auto" w:fill="FFFFFF" w:themeFill="background1"/>
        </w:rPr>
        <w:t xml:space="preserve">du </w:t>
      </w:r>
      <w:r w:rsidR="006C48C3">
        <w:rPr>
          <w:rFonts w:asciiTheme="minorHAnsi" w:hAnsiTheme="minorHAnsi" w:cstheme="minorHAnsi"/>
          <w:szCs w:val="22"/>
          <w:shd w:val="clear" w:color="auto" w:fill="FFFFFF" w:themeFill="background1"/>
        </w:rPr>
        <w:t>marché public</w:t>
      </w:r>
      <w:r w:rsidR="00FF64DA" w:rsidRPr="00C70AB0">
        <w:rPr>
          <w:rFonts w:asciiTheme="minorHAnsi" w:hAnsiTheme="minorHAnsi" w:cstheme="minorHAnsi"/>
          <w:szCs w:val="22"/>
          <w:shd w:val="clear" w:color="auto" w:fill="FFFFFF" w:themeFill="background1"/>
        </w:rPr>
        <w:t xml:space="preserve"> </w:t>
      </w:r>
      <w:proofErr w:type="spellStart"/>
      <w:r w:rsidR="00FF64DA" w:rsidRPr="00C70AB0">
        <w:rPr>
          <w:rFonts w:asciiTheme="minorHAnsi" w:hAnsiTheme="minorHAnsi" w:cstheme="minorHAnsi"/>
          <w:szCs w:val="22"/>
          <w:shd w:val="clear" w:color="auto" w:fill="FFFFFF" w:themeFill="background1"/>
        </w:rPr>
        <w:t>public</w:t>
      </w:r>
      <w:proofErr w:type="spellEnd"/>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4288CB09" w14:textId="726C9BFD" w:rsidR="00C70AB0" w:rsidRPr="00216352" w:rsidRDefault="00F209AD" w:rsidP="00216352">
      <w:pPr>
        <w:tabs>
          <w:tab w:val="left" w:pos="426"/>
          <w:tab w:val="left" w:pos="851"/>
        </w:tabs>
        <w:suppressAutoHyphens/>
        <w:ind w:left="851" w:firstLine="567"/>
        <w:jc w:val="both"/>
        <w:rPr>
          <w:rFonts w:asciiTheme="minorHAnsi" w:hAnsiTheme="minorHAnsi" w:cstheme="minorHAnsi"/>
          <w:b/>
          <w:sz w:val="20"/>
          <w:szCs w:val="20"/>
          <w:lang w:val="fr-FR"/>
        </w:rPr>
      </w:pPr>
      <w:r w:rsidRPr="00F209AD">
        <w:rPr>
          <w:rFonts w:asciiTheme="minorHAnsi" w:hAnsiTheme="minorHAnsi" w:cstheme="minorHAnsi"/>
          <w:b/>
          <w:sz w:val="20"/>
          <w:szCs w:val="20"/>
          <w:lang w:val="fr-FR"/>
        </w:rPr>
        <w:t>Objet du lot :</w:t>
      </w:r>
      <w:r>
        <w:rPr>
          <w:rFonts w:asciiTheme="minorHAnsi" w:hAnsiTheme="minorHAnsi" w:cstheme="minorHAnsi"/>
          <w:b/>
          <w:sz w:val="20"/>
          <w:szCs w:val="20"/>
          <w:lang w:val="fr-FR"/>
        </w:rPr>
        <w:t xml:space="preserve"> </w:t>
      </w:r>
    </w:p>
    <w:p w14:paraId="305D92B1" w14:textId="5178CC98" w:rsidR="004B07C4" w:rsidRDefault="004B07C4" w:rsidP="00FF64DA">
      <w:pPr>
        <w:pStyle w:val="fcasegauche"/>
        <w:tabs>
          <w:tab w:val="left" w:pos="851"/>
        </w:tabs>
        <w:spacing w:after="0"/>
        <w:ind w:left="851" w:firstLine="0"/>
        <w:rPr>
          <w:rFonts w:asciiTheme="minorHAnsi" w:hAnsiTheme="minorHAnsi" w:cstheme="minorHAnsi"/>
          <w:sz w:val="22"/>
          <w:szCs w:val="22"/>
        </w:rPr>
      </w:pPr>
    </w:p>
    <w:p w14:paraId="224DC201" w14:textId="77777777" w:rsidR="00F209AD" w:rsidRDefault="00F209AD" w:rsidP="00FF64DA">
      <w:pPr>
        <w:pStyle w:val="fcasegauche"/>
        <w:tabs>
          <w:tab w:val="left" w:pos="851"/>
        </w:tabs>
        <w:spacing w:after="0"/>
        <w:ind w:left="851" w:firstLine="0"/>
        <w:rPr>
          <w:rFonts w:asciiTheme="minorHAnsi" w:hAnsiTheme="minorHAnsi" w:cstheme="minorHAnsi"/>
          <w:sz w:val="22"/>
          <w:szCs w:val="22"/>
        </w:rPr>
      </w:pPr>
    </w:p>
    <w:p w14:paraId="76EEF904" w14:textId="77FDA1B3" w:rsidR="00FF64DA" w:rsidRPr="004B07C4" w:rsidRDefault="00A52C7F"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0A3EAE">
        <w:rPr>
          <w:rFonts w:asciiTheme="minorHAnsi" w:hAnsiTheme="minorHAnsi" w:cstheme="minorHAnsi"/>
          <w:sz w:val="22"/>
          <w:szCs w:val="22"/>
        </w:rPr>
      </w:r>
      <w:r w:rsidR="000A3EA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0A3EAE">
        <w:rPr>
          <w:rFonts w:asciiTheme="minorHAnsi" w:hAnsiTheme="minorHAnsi" w:cstheme="minorHAnsi"/>
          <w:szCs w:val="22"/>
        </w:rPr>
      </w:r>
      <w:r w:rsidR="000A3EAE">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5F0282E9" w14:textId="4855FCBA" w:rsidR="00A52C7F" w:rsidRDefault="008B5F97" w:rsidP="00A52C7F">
      <w:pPr>
        <w:rPr>
          <w:rFonts w:ascii="Calibri" w:eastAsia="Calibri" w:hAnsi="Calibri" w:cs="Calibri"/>
          <w:color w:val="000000"/>
          <w:sz w:val="20"/>
          <w:lang w:val="fr-FR"/>
        </w:rPr>
      </w:pPr>
      <w:r w:rsidRPr="008B5F97">
        <w:rPr>
          <w:rFonts w:ascii="Calibri" w:eastAsia="Calibri" w:hAnsi="Calibri" w:cs="Calibri"/>
          <w:color w:val="000000"/>
          <w:sz w:val="20"/>
          <w:lang w:val="fr-FR"/>
        </w:rPr>
        <w:t>La procédure de passation utilisée est l'appel d'offres ouvert. Elle est soumise aux dispositions des articles L. 2124-2, R.2124-2 1° et R.2161-2 à R.2161-5 du Code de la commande publique.</w:t>
      </w:r>
    </w:p>
    <w:p w14:paraId="25CD4DE1" w14:textId="77777777" w:rsidR="008B5F97" w:rsidRPr="00A52C7F" w:rsidRDefault="008B5F97"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B5F97">
      <w:pPr>
        <w:pStyle w:val="Titre2"/>
        <w:spacing w:before="0" w:after="0"/>
        <w:jc w:val="both"/>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1E9BDF29" w14:textId="1A90DD0A" w:rsidR="008B5F97" w:rsidRDefault="008B5F97" w:rsidP="008B5F97">
      <w:pPr>
        <w:jc w:val="both"/>
        <w:rPr>
          <w:rFonts w:ascii="Calibri" w:eastAsia="Calibri" w:hAnsi="Calibri" w:cs="Calibri"/>
          <w:color w:val="000000"/>
          <w:sz w:val="20"/>
          <w:lang w:val="fr-FR"/>
        </w:rPr>
      </w:pPr>
      <w:bookmarkStart w:id="12" w:name="ArtL1_AE-3-A5"/>
      <w:bookmarkStart w:id="13" w:name="_Toc256000006"/>
      <w:bookmarkEnd w:id="11"/>
      <w:bookmarkEnd w:id="12"/>
      <w:r w:rsidRPr="008B5F97">
        <w:rPr>
          <w:rFonts w:ascii="Calibri" w:eastAsia="Calibri" w:hAnsi="Calibri" w:cs="Calibri"/>
          <w:color w:val="000000"/>
          <w:sz w:val="20"/>
          <w:lang w:val="fr-FR"/>
        </w:rPr>
        <w:t>L'accord-cadre avec maximum est passé en application des articles L2125-1 1°, R.2162-1 à R.2162-6, R.2162-13 et R.2162-14 du Code de la commande publique.</w:t>
      </w:r>
    </w:p>
    <w:p w14:paraId="427C9450" w14:textId="77777777" w:rsidR="008B5F97" w:rsidRPr="008B5F97" w:rsidRDefault="008B5F97" w:rsidP="008B5F97">
      <w:pPr>
        <w:jc w:val="both"/>
        <w:rPr>
          <w:rFonts w:ascii="Calibri" w:eastAsia="Calibri" w:hAnsi="Calibri" w:cs="Calibri"/>
          <w:color w:val="000000"/>
          <w:sz w:val="20"/>
          <w:lang w:val="fr-FR"/>
        </w:rPr>
      </w:pPr>
    </w:p>
    <w:p w14:paraId="5CCCEDCD" w14:textId="353E0792" w:rsidR="008B5F97" w:rsidRDefault="008B5F97" w:rsidP="008B5F97">
      <w:pPr>
        <w:jc w:val="both"/>
        <w:rPr>
          <w:rFonts w:ascii="Calibri" w:eastAsia="Calibri" w:hAnsi="Calibri" w:cs="Calibri"/>
          <w:color w:val="000000"/>
          <w:sz w:val="20"/>
          <w:lang w:val="fr-FR"/>
        </w:rPr>
      </w:pPr>
      <w:r w:rsidRPr="008B5F97">
        <w:rPr>
          <w:rFonts w:ascii="Calibri" w:eastAsia="Calibri" w:hAnsi="Calibri" w:cs="Calibri"/>
          <w:color w:val="000000"/>
          <w:sz w:val="20"/>
          <w:lang w:val="fr-FR"/>
        </w:rPr>
        <w:t>La présente consultation fera l'objet d'un accord-cadre « composite » conclu avec un seul opérateur économique, comprenant une partie traitée sous la forme d'un marché ordinaire, et une partie traitée sous la forme d'un accord-cadre à bons de commande.</w:t>
      </w:r>
    </w:p>
    <w:p w14:paraId="27B53612" w14:textId="77777777" w:rsidR="008B5F97" w:rsidRPr="008B5F97" w:rsidRDefault="008B5F97" w:rsidP="008B5F97">
      <w:pPr>
        <w:jc w:val="both"/>
        <w:rPr>
          <w:rFonts w:ascii="Calibri" w:eastAsia="Calibri" w:hAnsi="Calibri" w:cs="Calibri"/>
          <w:color w:val="000000"/>
          <w:sz w:val="20"/>
          <w:lang w:val="fr-FR"/>
        </w:rPr>
      </w:pPr>
    </w:p>
    <w:p w14:paraId="3CCBBD5F" w14:textId="77777777" w:rsidR="008B5F97" w:rsidRPr="008B5F97" w:rsidRDefault="008B5F97" w:rsidP="008B5F97">
      <w:pPr>
        <w:jc w:val="both"/>
        <w:rPr>
          <w:rFonts w:ascii="Calibri" w:eastAsia="Calibri" w:hAnsi="Calibri" w:cs="Calibri"/>
          <w:color w:val="000000"/>
          <w:sz w:val="20"/>
          <w:lang w:val="fr-FR"/>
        </w:rPr>
      </w:pPr>
      <w:r w:rsidRPr="008B5F97">
        <w:rPr>
          <w:rFonts w:ascii="Calibri" w:eastAsia="Calibri" w:hAnsi="Calibri" w:cs="Calibri"/>
          <w:color w:val="000000"/>
          <w:sz w:val="20"/>
          <w:lang w:val="fr-FR"/>
        </w:rPr>
        <w:t xml:space="preserve">La partie « marché ordinaire » concerne les prestations suivantes : </w:t>
      </w:r>
    </w:p>
    <w:p w14:paraId="6F2CAE90" w14:textId="798B4322" w:rsidR="008B5F97" w:rsidRDefault="008B5F97" w:rsidP="008B5F97">
      <w:pPr>
        <w:jc w:val="both"/>
        <w:rPr>
          <w:rFonts w:ascii="Calibri" w:eastAsia="Calibri" w:hAnsi="Calibri" w:cs="Calibri"/>
          <w:color w:val="000000"/>
          <w:sz w:val="20"/>
          <w:lang w:val="fr-FR"/>
        </w:rPr>
      </w:pPr>
      <w:r w:rsidRPr="008B5F97">
        <w:rPr>
          <w:rFonts w:ascii="Calibri" w:eastAsia="Calibri" w:hAnsi="Calibri" w:cs="Calibri"/>
          <w:color w:val="000000"/>
          <w:sz w:val="20"/>
          <w:lang w:val="fr-FR"/>
        </w:rPr>
        <w:t>-</w:t>
      </w:r>
      <w:r w:rsidRPr="008B5F97">
        <w:rPr>
          <w:rFonts w:ascii="Calibri" w:eastAsia="Calibri" w:hAnsi="Calibri" w:cs="Calibri"/>
          <w:color w:val="000000"/>
          <w:sz w:val="20"/>
          <w:lang w:val="fr-FR"/>
        </w:rPr>
        <w:tab/>
        <w:t>La base tarifaire forfaitaire de chaque lot concerne la maintenance préventive et curative (Pour les interventions de maintenance curative dont le montant estimatif cumulé des pièces détachées est valorisé à moins de 1.000 € HT). Les frais de déplacements / d’hébergement, les frais de main d’œuvre et les pièces détachées nécessaires dans le cadre de la maintenance préventive et curative des équipements seront inclus dans le montant forfaitaire annuel.</w:t>
      </w:r>
    </w:p>
    <w:p w14:paraId="6E9B5DCB" w14:textId="77777777" w:rsidR="008B5F97" w:rsidRPr="008B5F97" w:rsidRDefault="008B5F97" w:rsidP="008B5F97">
      <w:pPr>
        <w:jc w:val="both"/>
        <w:rPr>
          <w:rFonts w:ascii="Calibri" w:eastAsia="Calibri" w:hAnsi="Calibri" w:cs="Calibri"/>
          <w:color w:val="000000"/>
          <w:sz w:val="20"/>
          <w:lang w:val="fr-FR"/>
        </w:rPr>
      </w:pPr>
    </w:p>
    <w:p w14:paraId="2031CE57" w14:textId="77777777" w:rsidR="008B5F97" w:rsidRPr="008B5F97" w:rsidRDefault="008B5F97" w:rsidP="008B5F97">
      <w:pPr>
        <w:jc w:val="both"/>
        <w:rPr>
          <w:rFonts w:ascii="Calibri" w:eastAsia="Calibri" w:hAnsi="Calibri" w:cs="Calibri"/>
          <w:color w:val="000000"/>
          <w:sz w:val="20"/>
          <w:lang w:val="fr-FR"/>
        </w:rPr>
      </w:pPr>
      <w:r w:rsidRPr="008B5F97">
        <w:rPr>
          <w:rFonts w:ascii="Calibri" w:eastAsia="Calibri" w:hAnsi="Calibri" w:cs="Calibri"/>
          <w:color w:val="000000"/>
          <w:sz w:val="20"/>
          <w:lang w:val="fr-FR"/>
        </w:rPr>
        <w:t xml:space="preserve">La partie « accord-cadre à bons de commande » correspond à un accord-cadre avec maximum, passé en application du Code de la commande publique, qui fixe les conditions d'exécution des prestations et s'exécute au fur et à mesure de l'émission de bons de commande. Elle concerne les prestations suivantes : </w:t>
      </w:r>
    </w:p>
    <w:p w14:paraId="180E31DF" w14:textId="274E72C9" w:rsidR="00BF4F91" w:rsidRDefault="008B5F97" w:rsidP="008B5F97">
      <w:pPr>
        <w:jc w:val="both"/>
        <w:rPr>
          <w:rFonts w:ascii="Calibri" w:eastAsia="Calibri" w:hAnsi="Calibri" w:cs="Calibri"/>
          <w:color w:val="000000"/>
          <w:sz w:val="20"/>
          <w:lang w:val="fr-FR"/>
        </w:rPr>
      </w:pPr>
      <w:r w:rsidRPr="008B5F97">
        <w:rPr>
          <w:rFonts w:ascii="Calibri" w:eastAsia="Calibri" w:hAnsi="Calibri" w:cs="Calibri"/>
          <w:color w:val="000000"/>
          <w:sz w:val="20"/>
          <w:lang w:val="fr-FR"/>
        </w:rPr>
        <w:t>-</w:t>
      </w:r>
      <w:r w:rsidRPr="008B5F97">
        <w:rPr>
          <w:rFonts w:ascii="Calibri" w:eastAsia="Calibri" w:hAnsi="Calibri" w:cs="Calibri"/>
          <w:color w:val="000000"/>
          <w:sz w:val="20"/>
          <w:lang w:val="fr-FR"/>
        </w:rPr>
        <w:tab/>
        <w:t>Pour les interventions de maintenance curative dont le montant estimatif cumulé des pièces détachées est supérieur à 1.000 € HT, elles sont exclues du forfait proposé et un bon de commande sera systématiquement émis par le Centre Hospitalier avec facturation spécifique.</w:t>
      </w:r>
    </w:p>
    <w:p w14:paraId="07964305" w14:textId="77777777" w:rsidR="008B5F97" w:rsidRDefault="008B5F97" w:rsidP="008B5F97">
      <w:pPr>
        <w:rPr>
          <w:rFonts w:ascii="Calibri" w:eastAsia="Calibri" w:hAnsi="Calibri" w:cs="Calibri"/>
          <w:color w:val="000000"/>
          <w:sz w:val="20"/>
          <w:lang w:val="fr-FR"/>
        </w:rPr>
      </w:pPr>
    </w:p>
    <w:p w14:paraId="2426DDDC" w14:textId="77777777" w:rsidR="00BF4F91" w:rsidRPr="00A52C7F" w:rsidRDefault="00BF4F91" w:rsidP="008C5F46">
      <w:pPr>
        <w:rPr>
          <w:sz w:val="4"/>
          <w:lang w:val="fr-FR"/>
        </w:rPr>
      </w:pPr>
    </w:p>
    <w:tbl>
      <w:tblPr>
        <w:tblW w:w="0" w:type="auto"/>
        <w:shd w:val="clear" w:color="auto" w:fill="7BACAD"/>
        <w:tblLayout w:type="fixed"/>
        <w:tblLook w:val="04A0" w:firstRow="1" w:lastRow="0" w:firstColumn="1" w:lastColumn="0" w:noHBand="0" w:noVBand="1"/>
      </w:tblPr>
      <w:tblGrid>
        <w:gridCol w:w="9620"/>
      </w:tblGrid>
      <w:tr w:rsidR="006B51FC" w14:paraId="17945576" w14:textId="77777777" w:rsidTr="00F50699">
        <w:tc>
          <w:tcPr>
            <w:tcW w:w="9620" w:type="dxa"/>
            <w:shd w:val="clear" w:color="auto" w:fill="7BACAD"/>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03BA8A7F" w14:textId="77777777" w:rsidR="008B5F97" w:rsidRDefault="008B5F97" w:rsidP="008B5F97">
      <w:pPr>
        <w:pStyle w:val="ParagrapheIndent2"/>
        <w:spacing w:after="240" w:line="244" w:lineRule="exact"/>
        <w:jc w:val="both"/>
        <w:rPr>
          <w:rFonts w:asciiTheme="minorHAnsi" w:hAnsiTheme="minorHAnsi" w:cstheme="minorHAnsi"/>
          <w:szCs w:val="20"/>
          <w:lang w:val="fr-FR"/>
        </w:rPr>
      </w:pPr>
    </w:p>
    <w:p w14:paraId="30A01024" w14:textId="2302FFAE" w:rsidR="008B5F97" w:rsidRPr="00C70AB0" w:rsidRDefault="008B5F97" w:rsidP="008B5F97">
      <w:pPr>
        <w:pStyle w:val="ParagrapheIndent2"/>
        <w:spacing w:after="240" w:line="244" w:lineRule="exact"/>
        <w:jc w:val="both"/>
        <w:rPr>
          <w:rFonts w:asciiTheme="minorHAnsi" w:hAnsiTheme="minorHAnsi" w:cstheme="minorHAnsi"/>
          <w:szCs w:val="20"/>
          <w:lang w:val="fr-FR"/>
        </w:rPr>
      </w:pPr>
      <w:r w:rsidRPr="008B5F97">
        <w:rPr>
          <w:rFonts w:asciiTheme="minorHAnsi" w:hAnsiTheme="minorHAnsi" w:cstheme="minorHAnsi"/>
          <w:szCs w:val="20"/>
          <w:lang w:val="fr-FR"/>
        </w:rPr>
        <w:t>Les prestations sont réglées par des prix unitaires selon les stipulations de l'acte d'engagement.</w:t>
      </w:r>
      <w:r>
        <w:rPr>
          <w:rFonts w:asciiTheme="minorHAnsi" w:hAnsiTheme="minorHAnsi" w:cstheme="minorHAnsi"/>
          <w:szCs w:val="20"/>
          <w:lang w:val="fr-FR"/>
        </w:rPr>
        <w:t xml:space="preserve"> L</w:t>
      </w:r>
      <w:r w:rsidRPr="008B5F97">
        <w:rPr>
          <w:rFonts w:asciiTheme="minorHAnsi" w:hAnsiTheme="minorHAnsi" w:cstheme="minorHAnsi"/>
          <w:szCs w:val="20"/>
          <w:lang w:val="fr-FR"/>
        </w:rPr>
        <w:t>’accord cadre est conclu sans minimum et avec un maximum par période d'exécution :</w:t>
      </w:r>
    </w:p>
    <w:tbl>
      <w:tblPr>
        <w:tblW w:w="0" w:type="auto"/>
        <w:tblInd w:w="500" w:type="dxa"/>
        <w:tblLayout w:type="fixed"/>
        <w:tblLook w:val="04A0" w:firstRow="1" w:lastRow="0" w:firstColumn="1" w:lastColumn="0" w:noHBand="0" w:noVBand="1"/>
      </w:tblPr>
      <w:tblGrid>
        <w:gridCol w:w="779"/>
        <w:gridCol w:w="7821"/>
      </w:tblGrid>
      <w:tr w:rsidR="008B5F97" w14:paraId="45E81889" w14:textId="77777777" w:rsidTr="00177635">
        <w:trPr>
          <w:trHeight w:val="292"/>
        </w:trPr>
        <w:tc>
          <w:tcPr>
            <w:tcW w:w="779"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0798027C" w14:textId="77777777" w:rsidR="008B5F97" w:rsidRDefault="008B5F97" w:rsidP="00177635">
            <w:pPr>
              <w:spacing w:before="40" w:after="20"/>
              <w:jc w:val="center"/>
              <w:rPr>
                <w:rFonts w:ascii="Calibri" w:eastAsia="Calibri" w:hAnsi="Calibri" w:cs="Calibri"/>
                <w:color w:val="000000"/>
                <w:sz w:val="20"/>
                <w:lang w:val="fr-FR"/>
              </w:rPr>
            </w:pPr>
            <w:r>
              <w:rPr>
                <w:rFonts w:ascii="Calibri" w:eastAsia="Calibri" w:hAnsi="Calibri" w:cs="Calibri"/>
                <w:color w:val="000000"/>
                <w:sz w:val="20"/>
                <w:lang w:val="fr-FR"/>
              </w:rPr>
              <w:t>Lot(s)</w:t>
            </w:r>
          </w:p>
        </w:tc>
        <w:tc>
          <w:tcPr>
            <w:tcW w:w="7821"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6DA3F482" w14:textId="77777777" w:rsidR="008B5F97" w:rsidRDefault="008B5F97" w:rsidP="00177635">
            <w:pPr>
              <w:spacing w:before="40" w:after="20"/>
              <w:jc w:val="center"/>
              <w:rPr>
                <w:rFonts w:ascii="Calibri" w:eastAsia="Calibri" w:hAnsi="Calibri" w:cs="Calibri"/>
                <w:color w:val="000000"/>
                <w:sz w:val="20"/>
                <w:lang w:val="fr-FR"/>
              </w:rPr>
            </w:pPr>
            <w:r>
              <w:rPr>
                <w:rFonts w:ascii="Calibri" w:eastAsia="Calibri" w:hAnsi="Calibri" w:cs="Calibri"/>
                <w:color w:val="000000"/>
                <w:sz w:val="20"/>
                <w:lang w:val="fr-FR"/>
              </w:rPr>
              <w:t>Montants maximum par période</w:t>
            </w:r>
          </w:p>
        </w:tc>
      </w:tr>
      <w:tr w:rsidR="008B5F97" w14:paraId="5AC76022"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21C9A"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01</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0422D"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150 000€ HT</w:t>
            </w:r>
          </w:p>
        </w:tc>
      </w:tr>
      <w:tr w:rsidR="008B5F97" w14:paraId="28B74F17" w14:textId="77777777" w:rsidTr="00177635">
        <w:trPr>
          <w:trHeight w:val="346"/>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BFE380"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02</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877599" w14:textId="77777777" w:rsidR="008B5F97" w:rsidRDefault="008B5F97" w:rsidP="00177635">
            <w:pPr>
              <w:spacing w:before="80" w:after="20"/>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75 000€ HT</w:t>
            </w:r>
          </w:p>
        </w:tc>
      </w:tr>
      <w:tr w:rsidR="008B5F97" w14:paraId="38E1E7C2"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1FD66"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03</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2F5F1"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75 000€ HT</w:t>
            </w:r>
          </w:p>
        </w:tc>
      </w:tr>
      <w:tr w:rsidR="008B5F97" w14:paraId="0AE3A88B"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4C2B6"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04</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E93A9"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25 000€ HT</w:t>
            </w:r>
          </w:p>
        </w:tc>
      </w:tr>
      <w:tr w:rsidR="008B5F97" w14:paraId="3037BB81"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C59092"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05</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481418"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8B5F97" w14:paraId="536D31C6"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211515"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06</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2C2EF"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8B5F97" w14:paraId="2D3C9668"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B68CD"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07</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903B37"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8B5F97" w14:paraId="150D81C5"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62DD24"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08</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5AE2"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8B5F97" w14:paraId="70A335C9"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382B19"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09</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DA3153"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75 000€ HT</w:t>
            </w:r>
          </w:p>
        </w:tc>
      </w:tr>
      <w:tr w:rsidR="008B5F97" w14:paraId="76C1958C"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534AF1"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10</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EE12E"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75 000€ HT</w:t>
            </w:r>
          </w:p>
        </w:tc>
      </w:tr>
      <w:tr w:rsidR="008B5F97" w14:paraId="3A2563A9"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931504"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11</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9A2FB7"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8B5F97" w14:paraId="6469462E"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6D1E9D"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12</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C4D2B"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8B5F97" w14:paraId="4AD4F691"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65191"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13</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63EF02"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8B5F97" w14:paraId="29E5DB53"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040685"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14</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7B0119"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8B5F97" w14:paraId="7E7C3160"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BBE50"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15</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6107FD"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8B5F97" w14:paraId="478BB5AF"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F201D"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16</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FFCA3"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8B5F97" w14:paraId="087A7B65"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C5C474"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17</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E73BA"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10 000€ HT</w:t>
            </w:r>
          </w:p>
        </w:tc>
      </w:tr>
      <w:tr w:rsidR="008B5F97" w14:paraId="1A75C811"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DC767B"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18</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A2DA3"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75 000€ HT</w:t>
            </w:r>
          </w:p>
        </w:tc>
      </w:tr>
      <w:tr w:rsidR="008B5F97" w14:paraId="2284020B"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905C6"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19</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AF4F5A"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8B5F97" w14:paraId="28501F00"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4F2B60"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20</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3FD160"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75 000€ HT</w:t>
            </w:r>
          </w:p>
        </w:tc>
      </w:tr>
      <w:tr w:rsidR="008B5F97" w14:paraId="5E89372D"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C215A6"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21</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C54231"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75 000€ HT</w:t>
            </w:r>
          </w:p>
        </w:tc>
      </w:tr>
      <w:tr w:rsidR="008B5F97" w14:paraId="7D077507"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16B055"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22</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797CD"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8B5F97" w14:paraId="1DECD6B4"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17A91"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23</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67CB3D"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50 000€ HT</w:t>
            </w:r>
          </w:p>
        </w:tc>
      </w:tr>
      <w:tr w:rsidR="008B5F97" w14:paraId="6E4135EE"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56E77"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24</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B921C"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8B5F97" w14:paraId="1C1B780A"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ECBAB"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25</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9841A6"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r w:rsidR="008B5F97" w14:paraId="52B4341E" w14:textId="77777777" w:rsidTr="00177635">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8DF7D" w14:textId="77777777" w:rsidR="008B5F97" w:rsidRDefault="008B5F97" w:rsidP="00177635">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26</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29FAA" w14:textId="77777777" w:rsidR="008B5F97" w:rsidRDefault="008B5F97" w:rsidP="00177635">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20 000€ HT</w:t>
            </w:r>
          </w:p>
        </w:tc>
      </w:tr>
    </w:tbl>
    <w:p w14:paraId="53C45AEC" w14:textId="77777777" w:rsidR="00934322" w:rsidRPr="008C5F46" w:rsidRDefault="00934322"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06F46C7D" w14:textId="77777777" w:rsidTr="00F50699">
        <w:tc>
          <w:tcPr>
            <w:tcW w:w="9620" w:type="dxa"/>
            <w:shd w:val="clear" w:color="auto" w:fill="7BACAD"/>
            <w:tcMar>
              <w:top w:w="30" w:type="dxa"/>
              <w:left w:w="80" w:type="dxa"/>
              <w:bottom w:w="45" w:type="dxa"/>
              <w:right w:w="80" w:type="dxa"/>
            </w:tcMar>
          </w:tcPr>
          <w:p w14:paraId="2EE0F3C4" w14:textId="77777777"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273D435F" w14:textId="268F10A2" w:rsidR="00EC475E" w:rsidRDefault="008B5F97" w:rsidP="00925731">
      <w:pPr>
        <w:pStyle w:val="ParagrapheIndent2"/>
        <w:spacing w:after="240" w:line="244" w:lineRule="exact"/>
        <w:jc w:val="both"/>
        <w:rPr>
          <w:color w:val="000000"/>
          <w:lang w:val="fr-FR"/>
        </w:rPr>
      </w:pPr>
      <w:r w:rsidRPr="008B5F97">
        <w:rPr>
          <w:color w:val="000000"/>
          <w:lang w:val="fr-FR"/>
        </w:rPr>
        <w:t>L'accord-cadre est conclu pour une période initiale de 12 mois à compter de la date de notification du contrat.</w:t>
      </w:r>
    </w:p>
    <w:p w14:paraId="69F6DD0C"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3E8B0155"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75BEE9E6" w14:textId="77777777" w:rsidR="008B5F97" w:rsidRPr="008B5F97" w:rsidRDefault="008B5F97" w:rsidP="008B5F97">
      <w:pPr>
        <w:pStyle w:val="ParagrapheIndent2"/>
        <w:spacing w:after="240" w:line="244" w:lineRule="exact"/>
        <w:jc w:val="both"/>
        <w:rPr>
          <w:color w:val="000000"/>
          <w:u w:val="single"/>
          <w:lang w:val="fr-FR"/>
        </w:rPr>
      </w:pPr>
      <w:r w:rsidRPr="008B5F97">
        <w:rPr>
          <w:color w:val="000000"/>
          <w:u w:val="single"/>
          <w:lang w:val="fr-FR"/>
        </w:rPr>
        <w:t>Au plus tôt, de manière anticipée :</w:t>
      </w:r>
    </w:p>
    <w:p w14:paraId="38201C75"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Dans le cas où le montant maximum serait atteint avant le terme de la période considérée (la période initiale ou l’une des deux premières périodes de reconduction), l'acheteur informe par écrit le titulaire de la reconduction anticipée de l'accord-cadre. La durée maximale de l'accord-cadre sera ainsi réduite au prorata des mois anticipés.</w:t>
      </w:r>
    </w:p>
    <w:p w14:paraId="42F090BE"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597DDFFB" w14:textId="21ED9381" w:rsidR="008B5F97" w:rsidRPr="008B5F97" w:rsidRDefault="008B5F97" w:rsidP="008B5F97">
      <w:pPr>
        <w:pStyle w:val="ParagrapheIndent2"/>
        <w:spacing w:after="240" w:line="244" w:lineRule="exact"/>
        <w:jc w:val="both"/>
        <w:rPr>
          <w:color w:val="000000"/>
          <w:lang w:val="fr-FR"/>
        </w:rPr>
      </w:pPr>
      <w:r w:rsidRPr="008B5F97">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1098EF3A" w14:textId="77777777" w:rsidR="008B5F97" w:rsidRPr="008B5F97" w:rsidRDefault="008B5F97" w:rsidP="008B5F97">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3F45591D" w14:textId="77777777" w:rsidTr="00F50699">
        <w:tc>
          <w:tcPr>
            <w:tcW w:w="9620" w:type="dxa"/>
            <w:shd w:val="clear" w:color="auto" w:fill="7BACAD"/>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6" w:name="ArtL1_AE-3-A8"/>
            <w:bookmarkStart w:id="17" w:name="_Toc256000008"/>
            <w:bookmarkEnd w:id="16"/>
            <w:r>
              <w:rPr>
                <w:rFonts w:ascii="Calibri" w:eastAsia="Calibri" w:hAnsi="Calibri" w:cs="Calibri"/>
                <w:color w:val="FFFFFF"/>
                <w:sz w:val="28"/>
                <w:lang w:val="fr-FR"/>
              </w:rPr>
              <w:t>6 - Paiement</w:t>
            </w:r>
            <w:bookmarkEnd w:id="17"/>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C422C6"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A3EAE">
              <w:rPr>
                <w:rFonts w:asciiTheme="minorHAnsi" w:hAnsiTheme="minorHAnsi" w:cstheme="minorHAnsi"/>
                <w:sz w:val="20"/>
                <w:szCs w:val="20"/>
              </w:rPr>
            </w:r>
            <w:r w:rsidR="000A3EAE">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A3EAE">
              <w:rPr>
                <w:rFonts w:asciiTheme="minorHAnsi" w:hAnsiTheme="minorHAnsi" w:cstheme="minorHAnsi"/>
                <w:sz w:val="20"/>
                <w:szCs w:val="20"/>
              </w:rPr>
            </w:r>
            <w:r w:rsidR="000A3EAE">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C422C6"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2C399A" w14:paraId="6D48A22E" w14:textId="77777777" w:rsidTr="00F50699">
        <w:tc>
          <w:tcPr>
            <w:tcW w:w="9620" w:type="dxa"/>
            <w:shd w:val="clear" w:color="auto" w:fill="7BACAD"/>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A3EAE">
        <w:rPr>
          <w:rFonts w:asciiTheme="minorHAnsi" w:hAnsiTheme="minorHAnsi" w:cstheme="minorHAnsi"/>
          <w:sz w:val="20"/>
          <w:szCs w:val="20"/>
        </w:rPr>
      </w:r>
      <w:r w:rsidR="000A3EAE">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0A3EAE">
        <w:rPr>
          <w:rFonts w:asciiTheme="minorHAnsi" w:hAnsiTheme="minorHAnsi" w:cstheme="minorHAnsi"/>
          <w:sz w:val="20"/>
          <w:szCs w:val="20"/>
        </w:rPr>
      </w:r>
      <w:r w:rsidR="000A3EAE">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7A1DF447"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6A314FA3" w14:textId="3CDCC991" w:rsidR="00BF4F91" w:rsidRDefault="00BF4F91" w:rsidP="00BF4F91">
      <w:pPr>
        <w:rPr>
          <w:lang w:val="fr-FR"/>
        </w:rPr>
      </w:pPr>
    </w:p>
    <w:p w14:paraId="7D2D84E8" w14:textId="4DAA2CBE" w:rsidR="008B5F97" w:rsidRDefault="008B5F97" w:rsidP="00BF4F91">
      <w:pPr>
        <w:rPr>
          <w:lang w:val="fr-FR"/>
        </w:rPr>
      </w:pPr>
    </w:p>
    <w:p w14:paraId="14834F3D" w14:textId="379EED89" w:rsidR="008B5F97" w:rsidRDefault="008B5F97" w:rsidP="00BF4F91">
      <w:pPr>
        <w:rPr>
          <w:lang w:val="fr-FR"/>
        </w:rPr>
      </w:pPr>
    </w:p>
    <w:p w14:paraId="670B7390" w14:textId="714AF7F3" w:rsidR="008B5F97" w:rsidRDefault="008B5F97" w:rsidP="00BF4F91">
      <w:pPr>
        <w:rPr>
          <w:lang w:val="fr-FR"/>
        </w:rPr>
      </w:pPr>
    </w:p>
    <w:p w14:paraId="6417257B" w14:textId="77777777" w:rsidR="008B5F97" w:rsidRPr="00BF4F91" w:rsidRDefault="008B5F97" w:rsidP="00BF4F91">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4349F55C" w14:textId="77777777" w:rsidTr="00F50699">
        <w:tc>
          <w:tcPr>
            <w:tcW w:w="9620" w:type="dxa"/>
            <w:shd w:val="clear" w:color="auto" w:fill="7BACAD"/>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8" w:name="ArtL1_AE-3-A11"/>
            <w:bookmarkStart w:id="19" w:name="ArtL1_AE-3-A13"/>
            <w:bookmarkStart w:id="20" w:name="_Toc256000010"/>
            <w:bookmarkEnd w:id="18"/>
            <w:bookmarkEnd w:id="19"/>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0"/>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4525489"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sidRPr="00BF4F91">
        <w:rPr>
          <w:color w:val="000000"/>
          <w:lang w:val="fr-FR"/>
        </w:rPr>
        <w:t xml:space="preserve">du présent </w:t>
      </w:r>
      <w:r w:rsidR="006C48C3" w:rsidRPr="00BF4F91">
        <w:rPr>
          <w:color w:val="000000"/>
          <w:lang w:val="fr-FR"/>
        </w:rPr>
        <w:t>marché public</w:t>
      </w:r>
      <w:r w:rsidR="002E4594" w:rsidRPr="00BF4F91">
        <w:rPr>
          <w:color w:val="000000"/>
          <w:lang w:val="fr-FR"/>
        </w:rPr>
        <w:t xml:space="preserve"> </w:t>
      </w:r>
      <w:r w:rsidRPr="00BF4F91">
        <w:rPr>
          <w:color w:val="000000"/>
          <w:lang w:val="fr-FR"/>
        </w:rPr>
        <w:t>à mes</w:t>
      </w:r>
      <w:r>
        <w:rPr>
          <w:color w:val="000000"/>
          <w:lang w:val="fr-FR"/>
        </w:rPr>
        <w:t xml:space="preserve">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0A3EAE">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0A3EAE">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31996042"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A3EAE">
        <w:rPr>
          <w:rFonts w:asciiTheme="minorHAnsi" w:hAnsiTheme="minorHAnsi" w:cstheme="minorHAnsi"/>
          <w:sz w:val="20"/>
          <w:szCs w:val="20"/>
        </w:rPr>
      </w:r>
      <w:r w:rsidR="000A3EAE">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A3EAE">
        <w:rPr>
          <w:rFonts w:asciiTheme="minorHAnsi" w:hAnsiTheme="minorHAnsi" w:cstheme="minorHAnsi"/>
          <w:sz w:val="20"/>
          <w:szCs w:val="20"/>
        </w:rPr>
      </w:r>
      <w:r w:rsidR="000A3EAE">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0A3EAE">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A3EAE">
        <w:rPr>
          <w:rFonts w:asciiTheme="minorHAnsi" w:hAnsiTheme="minorHAnsi" w:cstheme="minorHAnsi"/>
          <w:sz w:val="20"/>
          <w:szCs w:val="20"/>
        </w:rPr>
      </w:r>
      <w:r w:rsidR="000A3EAE">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1CE66DD6"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A3EAE">
        <w:rPr>
          <w:rFonts w:asciiTheme="minorHAnsi" w:hAnsiTheme="minorHAnsi" w:cstheme="minorHAnsi"/>
          <w:sz w:val="20"/>
          <w:szCs w:val="20"/>
        </w:rPr>
      </w:r>
      <w:r w:rsidR="000A3EAE">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815CAF">
        <w:rPr>
          <w:rFonts w:asciiTheme="minorHAnsi" w:hAnsiTheme="minorHAnsi" w:cstheme="minorHAnsi"/>
          <w:sz w:val="20"/>
          <w:szCs w:val="20"/>
          <w:lang w:val="fr-FR"/>
        </w:rPr>
        <w:t xml:space="preserve">du 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0A3EAE">
        <w:rPr>
          <w:rFonts w:asciiTheme="minorHAnsi" w:hAnsiTheme="minorHAnsi" w:cstheme="minorHAnsi"/>
          <w:sz w:val="20"/>
          <w:szCs w:val="20"/>
        </w:rPr>
      </w:r>
      <w:r w:rsidR="000A3EAE">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F50699">
        <w:trPr>
          <w:trHeight w:val="172"/>
        </w:trPr>
        <w:tc>
          <w:tcPr>
            <w:tcW w:w="4207" w:type="dxa"/>
            <w:tcBorders>
              <w:top w:val="single" w:sz="4" w:space="0" w:color="000000"/>
              <w:left w:val="single" w:sz="4" w:space="0" w:color="000000"/>
              <w:bottom w:val="single" w:sz="4" w:space="0" w:color="000000"/>
            </w:tcBorders>
            <w:shd w:val="clear" w:color="auto" w:fill="DAEEF3" w:themeFill="accent5"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AEEF3" w:themeFill="accent5"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46AB5676" w:rsidR="007D222D" w:rsidRDefault="007D222D" w:rsidP="008C5F46">
      <w:pPr>
        <w:pStyle w:val="style1010"/>
        <w:ind w:right="20"/>
        <w:jc w:val="center"/>
        <w:rPr>
          <w:color w:val="000000"/>
          <w:lang w:val="fr-FR"/>
        </w:rPr>
      </w:pPr>
    </w:p>
    <w:p w14:paraId="3620C189" w14:textId="027B4405" w:rsidR="008B5F97" w:rsidRDefault="008B5F97" w:rsidP="008C5F46">
      <w:pPr>
        <w:pStyle w:val="style1010"/>
        <w:ind w:right="20"/>
        <w:jc w:val="center"/>
        <w:rPr>
          <w:color w:val="000000"/>
          <w:lang w:val="fr-FR"/>
        </w:rPr>
      </w:pPr>
    </w:p>
    <w:p w14:paraId="4DED1815" w14:textId="48A57162" w:rsidR="008B5F97" w:rsidRDefault="008B5F97" w:rsidP="008C5F46">
      <w:pPr>
        <w:pStyle w:val="style1010"/>
        <w:ind w:right="20"/>
        <w:jc w:val="center"/>
        <w:rPr>
          <w:color w:val="000000"/>
          <w:lang w:val="fr-FR"/>
        </w:rPr>
      </w:pPr>
    </w:p>
    <w:p w14:paraId="0DFB9399" w14:textId="7BFFDCE8" w:rsidR="008B5F97" w:rsidRDefault="008B5F97" w:rsidP="008C5F46">
      <w:pPr>
        <w:pStyle w:val="style1010"/>
        <w:ind w:right="20"/>
        <w:jc w:val="center"/>
        <w:rPr>
          <w:color w:val="000000"/>
          <w:lang w:val="fr-FR"/>
        </w:rPr>
      </w:pPr>
    </w:p>
    <w:p w14:paraId="21CABB20" w14:textId="77777777" w:rsidR="008B5F97" w:rsidRDefault="008B5F97"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4B4A7DC9" w:rsidR="00277B01" w:rsidRDefault="00277B01" w:rsidP="008C5F46">
      <w:pPr>
        <w:rPr>
          <w:lang w:val="fr-FR"/>
        </w:rPr>
      </w:pPr>
    </w:p>
    <w:tbl>
      <w:tblPr>
        <w:tblStyle w:val="Grilledutableau"/>
        <w:tblW w:w="0" w:type="auto"/>
        <w:tblLook w:val="04A0" w:firstRow="1" w:lastRow="0" w:firstColumn="1" w:lastColumn="0" w:noHBand="0" w:noVBand="1"/>
      </w:tblPr>
      <w:tblGrid>
        <w:gridCol w:w="2830"/>
        <w:gridCol w:w="2410"/>
        <w:gridCol w:w="2410"/>
        <w:gridCol w:w="1960"/>
      </w:tblGrid>
      <w:tr w:rsidR="000A3EAE" w14:paraId="6E6A5B9F" w14:textId="77777777" w:rsidTr="00177635">
        <w:tc>
          <w:tcPr>
            <w:tcW w:w="2830" w:type="dxa"/>
            <w:shd w:val="clear" w:color="auto" w:fill="DBE5F1" w:themeFill="accent1" w:themeFillTint="33"/>
          </w:tcPr>
          <w:p w14:paraId="31E4F771" w14:textId="560CF8A6" w:rsidR="000A3EAE" w:rsidRDefault="000A3EAE" w:rsidP="00177635">
            <w:pPr>
              <w:pStyle w:val="ParagrapheIndent1"/>
              <w:jc w:val="both"/>
              <w:rPr>
                <w:color w:val="000000"/>
                <w:lang w:val="fr-FR"/>
              </w:rPr>
            </w:pPr>
            <w:r>
              <w:rPr>
                <w:color w:val="000000"/>
                <w:lang w:val="fr-FR"/>
              </w:rPr>
              <w:t xml:space="preserve">Numéro de marché et LOT </w:t>
            </w:r>
          </w:p>
        </w:tc>
        <w:tc>
          <w:tcPr>
            <w:tcW w:w="2410" w:type="dxa"/>
            <w:shd w:val="clear" w:color="auto" w:fill="DBE5F1" w:themeFill="accent1" w:themeFillTint="33"/>
          </w:tcPr>
          <w:p w14:paraId="37F58889" w14:textId="79BC5B7F" w:rsidR="000A3EAE" w:rsidRDefault="000A3EAE" w:rsidP="000A3EAE">
            <w:pPr>
              <w:pStyle w:val="ParagrapheIndent1"/>
              <w:jc w:val="both"/>
              <w:rPr>
                <w:color w:val="000000"/>
                <w:lang w:val="fr-FR"/>
              </w:rPr>
            </w:pPr>
            <w:r>
              <w:rPr>
                <w:color w:val="000000"/>
                <w:lang w:val="fr-FR"/>
              </w:rPr>
              <w:t>M</w:t>
            </w:r>
            <w:r>
              <w:rPr>
                <w:color w:val="000000"/>
                <w:lang w:val="fr-FR"/>
              </w:rPr>
              <w:t xml:space="preserve">ontant maximum par période </w:t>
            </w:r>
            <w:r>
              <w:rPr>
                <w:color w:val="000000"/>
                <w:lang w:val="fr-FR"/>
              </w:rPr>
              <w:t>HT</w:t>
            </w:r>
          </w:p>
        </w:tc>
        <w:tc>
          <w:tcPr>
            <w:tcW w:w="2410" w:type="dxa"/>
            <w:shd w:val="clear" w:color="auto" w:fill="DBE5F1" w:themeFill="accent1" w:themeFillTint="33"/>
          </w:tcPr>
          <w:p w14:paraId="6183CB7B" w14:textId="49F9A85A" w:rsidR="000A3EAE" w:rsidRDefault="000A3EAE" w:rsidP="00177635">
            <w:pPr>
              <w:pStyle w:val="ParagrapheIndent1"/>
              <w:jc w:val="both"/>
              <w:rPr>
                <w:color w:val="000000"/>
                <w:lang w:val="fr-FR"/>
              </w:rPr>
            </w:pPr>
            <w:r>
              <w:rPr>
                <w:color w:val="000000"/>
                <w:lang w:val="fr-FR"/>
              </w:rPr>
              <w:t>Montant maximum par période</w:t>
            </w:r>
            <w:r>
              <w:rPr>
                <w:color w:val="000000"/>
                <w:lang w:val="fr-FR"/>
              </w:rPr>
              <w:t xml:space="preserve"> TTC</w:t>
            </w:r>
          </w:p>
        </w:tc>
        <w:tc>
          <w:tcPr>
            <w:tcW w:w="1960" w:type="dxa"/>
            <w:shd w:val="clear" w:color="auto" w:fill="DBE5F1" w:themeFill="accent1" w:themeFillTint="33"/>
          </w:tcPr>
          <w:p w14:paraId="1822141D" w14:textId="77777777" w:rsidR="000A3EAE" w:rsidRDefault="000A3EAE" w:rsidP="00177635">
            <w:pPr>
              <w:pStyle w:val="ParagrapheIndent1"/>
              <w:jc w:val="both"/>
              <w:rPr>
                <w:color w:val="000000"/>
                <w:lang w:val="fr-FR"/>
              </w:rPr>
            </w:pPr>
            <w:r>
              <w:rPr>
                <w:color w:val="000000"/>
                <w:lang w:val="fr-FR"/>
              </w:rPr>
              <w:t>RETENUE/ACCEPTEE</w:t>
            </w:r>
          </w:p>
        </w:tc>
      </w:tr>
      <w:tr w:rsidR="000A3EAE" w14:paraId="28844AA2" w14:textId="77777777" w:rsidTr="00177635">
        <w:tc>
          <w:tcPr>
            <w:tcW w:w="2830" w:type="dxa"/>
          </w:tcPr>
          <w:p w14:paraId="0149E0B8" w14:textId="1010B6D9" w:rsidR="000A3EAE" w:rsidRDefault="000A3EAE" w:rsidP="00177635">
            <w:pPr>
              <w:pStyle w:val="ParagrapheIndent1"/>
              <w:jc w:val="both"/>
              <w:rPr>
                <w:color w:val="000000"/>
                <w:lang w:val="fr-FR"/>
              </w:rPr>
            </w:pPr>
          </w:p>
        </w:tc>
        <w:tc>
          <w:tcPr>
            <w:tcW w:w="2410" w:type="dxa"/>
          </w:tcPr>
          <w:p w14:paraId="0A3EB35C" w14:textId="6D215EFD" w:rsidR="000A3EAE" w:rsidRDefault="000A3EAE" w:rsidP="00177635">
            <w:pPr>
              <w:pStyle w:val="ParagrapheIndent1"/>
              <w:jc w:val="center"/>
              <w:rPr>
                <w:color w:val="000000"/>
                <w:lang w:val="fr-FR"/>
              </w:rPr>
            </w:pPr>
          </w:p>
        </w:tc>
        <w:tc>
          <w:tcPr>
            <w:tcW w:w="2410" w:type="dxa"/>
          </w:tcPr>
          <w:p w14:paraId="227392F6" w14:textId="4AB71805" w:rsidR="000A3EAE" w:rsidRDefault="000A3EAE" w:rsidP="00177635">
            <w:pPr>
              <w:pStyle w:val="ParagrapheIndent1"/>
              <w:jc w:val="center"/>
              <w:rPr>
                <w:color w:val="000000"/>
                <w:lang w:val="fr-FR"/>
              </w:rPr>
            </w:pPr>
          </w:p>
        </w:tc>
        <w:tc>
          <w:tcPr>
            <w:tcW w:w="1960" w:type="dxa"/>
          </w:tcPr>
          <w:p w14:paraId="46D9B1BC" w14:textId="77777777" w:rsidR="000A3EAE" w:rsidRDefault="000A3EAE" w:rsidP="00177635">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A3EAE" w14:paraId="4353F4BB" w14:textId="77777777" w:rsidTr="00177635">
        <w:tc>
          <w:tcPr>
            <w:tcW w:w="2830" w:type="dxa"/>
          </w:tcPr>
          <w:p w14:paraId="762FF606" w14:textId="6C435CD3" w:rsidR="000A3EAE" w:rsidRDefault="000A3EAE" w:rsidP="00177635">
            <w:pPr>
              <w:pStyle w:val="ParagrapheIndent1"/>
              <w:jc w:val="both"/>
              <w:rPr>
                <w:color w:val="000000"/>
                <w:lang w:val="fr-FR"/>
              </w:rPr>
            </w:pPr>
          </w:p>
        </w:tc>
        <w:tc>
          <w:tcPr>
            <w:tcW w:w="2410" w:type="dxa"/>
          </w:tcPr>
          <w:p w14:paraId="28FE47D5" w14:textId="7F945251" w:rsidR="000A3EAE" w:rsidRDefault="000A3EAE" w:rsidP="00177635">
            <w:pPr>
              <w:pStyle w:val="ParagrapheIndent1"/>
              <w:jc w:val="center"/>
              <w:rPr>
                <w:color w:val="000000"/>
                <w:lang w:val="fr-FR"/>
              </w:rPr>
            </w:pPr>
          </w:p>
        </w:tc>
        <w:tc>
          <w:tcPr>
            <w:tcW w:w="2410" w:type="dxa"/>
          </w:tcPr>
          <w:p w14:paraId="3E166F66" w14:textId="344614AF" w:rsidR="000A3EAE" w:rsidRDefault="000A3EAE" w:rsidP="00177635">
            <w:pPr>
              <w:pStyle w:val="ParagrapheIndent1"/>
              <w:jc w:val="center"/>
              <w:rPr>
                <w:color w:val="000000"/>
                <w:lang w:val="fr-FR"/>
              </w:rPr>
            </w:pPr>
          </w:p>
        </w:tc>
        <w:tc>
          <w:tcPr>
            <w:tcW w:w="1960" w:type="dxa"/>
          </w:tcPr>
          <w:p w14:paraId="7DBC7EA8" w14:textId="77777777" w:rsidR="000A3EAE" w:rsidRDefault="000A3EAE"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A3EAE" w14:paraId="161D24EC" w14:textId="77777777" w:rsidTr="00177635">
        <w:tc>
          <w:tcPr>
            <w:tcW w:w="2830" w:type="dxa"/>
          </w:tcPr>
          <w:p w14:paraId="06E093F6" w14:textId="6F4CFB1E" w:rsidR="000A3EAE" w:rsidRDefault="000A3EAE" w:rsidP="00177635">
            <w:pPr>
              <w:pStyle w:val="ParagrapheIndent1"/>
              <w:jc w:val="both"/>
              <w:rPr>
                <w:color w:val="000000"/>
                <w:lang w:val="fr-FR"/>
              </w:rPr>
            </w:pPr>
          </w:p>
        </w:tc>
        <w:tc>
          <w:tcPr>
            <w:tcW w:w="2410" w:type="dxa"/>
          </w:tcPr>
          <w:p w14:paraId="7098F8AA" w14:textId="053850B0" w:rsidR="000A3EAE" w:rsidRDefault="000A3EAE" w:rsidP="00177635">
            <w:pPr>
              <w:pStyle w:val="ParagrapheIndent1"/>
              <w:jc w:val="center"/>
              <w:rPr>
                <w:color w:val="000000"/>
                <w:lang w:val="fr-FR"/>
              </w:rPr>
            </w:pPr>
          </w:p>
        </w:tc>
        <w:tc>
          <w:tcPr>
            <w:tcW w:w="2410" w:type="dxa"/>
          </w:tcPr>
          <w:p w14:paraId="378889B8" w14:textId="7826D7F9" w:rsidR="000A3EAE" w:rsidRDefault="000A3EAE" w:rsidP="00177635">
            <w:pPr>
              <w:pStyle w:val="ParagrapheIndent1"/>
              <w:jc w:val="center"/>
              <w:rPr>
                <w:color w:val="000000"/>
                <w:lang w:val="fr-FR"/>
              </w:rPr>
            </w:pPr>
          </w:p>
        </w:tc>
        <w:tc>
          <w:tcPr>
            <w:tcW w:w="1960" w:type="dxa"/>
          </w:tcPr>
          <w:p w14:paraId="0C182A58" w14:textId="77777777" w:rsidR="000A3EAE" w:rsidRDefault="000A3EAE"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A3EAE" w14:paraId="051456FC" w14:textId="77777777" w:rsidTr="00177635">
        <w:tc>
          <w:tcPr>
            <w:tcW w:w="2830" w:type="dxa"/>
          </w:tcPr>
          <w:p w14:paraId="771E38FD" w14:textId="774AA076" w:rsidR="000A3EAE" w:rsidRDefault="000A3EAE" w:rsidP="00177635">
            <w:pPr>
              <w:pStyle w:val="ParagrapheIndent1"/>
              <w:jc w:val="both"/>
              <w:rPr>
                <w:color w:val="000000"/>
                <w:lang w:val="fr-FR"/>
              </w:rPr>
            </w:pPr>
          </w:p>
        </w:tc>
        <w:tc>
          <w:tcPr>
            <w:tcW w:w="2410" w:type="dxa"/>
          </w:tcPr>
          <w:p w14:paraId="5D7D3825" w14:textId="23B1D0CD" w:rsidR="000A3EAE" w:rsidRDefault="000A3EAE" w:rsidP="00177635">
            <w:pPr>
              <w:pStyle w:val="ParagrapheIndent1"/>
              <w:jc w:val="center"/>
              <w:rPr>
                <w:color w:val="000000"/>
                <w:lang w:val="fr-FR"/>
              </w:rPr>
            </w:pPr>
          </w:p>
        </w:tc>
        <w:tc>
          <w:tcPr>
            <w:tcW w:w="2410" w:type="dxa"/>
          </w:tcPr>
          <w:p w14:paraId="27DFD58F" w14:textId="5C7C32B2" w:rsidR="000A3EAE" w:rsidRDefault="000A3EAE" w:rsidP="00177635">
            <w:pPr>
              <w:pStyle w:val="ParagrapheIndent1"/>
              <w:jc w:val="center"/>
              <w:rPr>
                <w:color w:val="000000"/>
                <w:lang w:val="fr-FR"/>
              </w:rPr>
            </w:pPr>
          </w:p>
        </w:tc>
        <w:tc>
          <w:tcPr>
            <w:tcW w:w="1960" w:type="dxa"/>
          </w:tcPr>
          <w:p w14:paraId="51109AED" w14:textId="77777777" w:rsidR="000A3EAE" w:rsidRDefault="000A3EAE"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A3EAE" w14:paraId="44D1314A" w14:textId="77777777" w:rsidTr="00177635">
        <w:tc>
          <w:tcPr>
            <w:tcW w:w="2830" w:type="dxa"/>
          </w:tcPr>
          <w:p w14:paraId="7859AFB3" w14:textId="04FAC4BC" w:rsidR="000A3EAE" w:rsidRDefault="000A3EAE" w:rsidP="00177635">
            <w:pPr>
              <w:pStyle w:val="ParagrapheIndent1"/>
              <w:jc w:val="both"/>
              <w:rPr>
                <w:color w:val="000000"/>
                <w:lang w:val="fr-FR"/>
              </w:rPr>
            </w:pPr>
          </w:p>
        </w:tc>
        <w:tc>
          <w:tcPr>
            <w:tcW w:w="2410" w:type="dxa"/>
          </w:tcPr>
          <w:p w14:paraId="23B66209" w14:textId="6972A608" w:rsidR="000A3EAE" w:rsidRDefault="000A3EAE" w:rsidP="00177635">
            <w:pPr>
              <w:pStyle w:val="ParagrapheIndent1"/>
              <w:jc w:val="center"/>
              <w:rPr>
                <w:color w:val="000000"/>
                <w:lang w:val="fr-FR"/>
              </w:rPr>
            </w:pPr>
          </w:p>
        </w:tc>
        <w:tc>
          <w:tcPr>
            <w:tcW w:w="2410" w:type="dxa"/>
          </w:tcPr>
          <w:p w14:paraId="26DBBE6D" w14:textId="77A3FECB" w:rsidR="000A3EAE" w:rsidRDefault="000A3EAE" w:rsidP="00177635">
            <w:pPr>
              <w:pStyle w:val="ParagrapheIndent1"/>
              <w:jc w:val="center"/>
              <w:rPr>
                <w:color w:val="000000"/>
                <w:lang w:val="fr-FR"/>
              </w:rPr>
            </w:pPr>
          </w:p>
        </w:tc>
        <w:tc>
          <w:tcPr>
            <w:tcW w:w="1960" w:type="dxa"/>
          </w:tcPr>
          <w:p w14:paraId="57251631" w14:textId="77777777" w:rsidR="000A3EAE" w:rsidRDefault="000A3EAE"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0A3EAE" w14:paraId="70433FC6" w14:textId="77777777" w:rsidTr="00177635">
        <w:tc>
          <w:tcPr>
            <w:tcW w:w="2830" w:type="dxa"/>
          </w:tcPr>
          <w:p w14:paraId="285CB568" w14:textId="235A0923" w:rsidR="000A3EAE" w:rsidRDefault="000A3EAE" w:rsidP="00177635">
            <w:pPr>
              <w:pStyle w:val="ParagrapheIndent1"/>
              <w:jc w:val="both"/>
              <w:rPr>
                <w:color w:val="000000"/>
                <w:lang w:val="fr-FR"/>
              </w:rPr>
            </w:pPr>
          </w:p>
        </w:tc>
        <w:tc>
          <w:tcPr>
            <w:tcW w:w="2410" w:type="dxa"/>
          </w:tcPr>
          <w:p w14:paraId="07A8223D" w14:textId="53D3E70D" w:rsidR="000A3EAE" w:rsidRDefault="000A3EAE" w:rsidP="00177635">
            <w:pPr>
              <w:pStyle w:val="ParagrapheIndent1"/>
              <w:jc w:val="center"/>
              <w:rPr>
                <w:color w:val="000000"/>
                <w:lang w:val="fr-FR"/>
              </w:rPr>
            </w:pPr>
          </w:p>
        </w:tc>
        <w:tc>
          <w:tcPr>
            <w:tcW w:w="2410" w:type="dxa"/>
          </w:tcPr>
          <w:p w14:paraId="58362E43" w14:textId="6E587D82" w:rsidR="000A3EAE" w:rsidRDefault="000A3EAE" w:rsidP="00177635">
            <w:pPr>
              <w:pStyle w:val="ParagrapheIndent1"/>
              <w:jc w:val="center"/>
              <w:rPr>
                <w:color w:val="000000"/>
                <w:lang w:val="fr-FR"/>
              </w:rPr>
            </w:pPr>
          </w:p>
        </w:tc>
        <w:tc>
          <w:tcPr>
            <w:tcW w:w="1960" w:type="dxa"/>
          </w:tcPr>
          <w:p w14:paraId="3199B1B5" w14:textId="77777777" w:rsidR="000A3EAE" w:rsidRDefault="000A3EAE" w:rsidP="00177635">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03C86BC1" w14:textId="77777777" w:rsidR="000A3EAE" w:rsidRDefault="000A3EAE" w:rsidP="008C5F46">
      <w:pPr>
        <w:rPr>
          <w:lang w:val="fr-FR"/>
        </w:rPr>
      </w:pPr>
    </w:p>
    <w:p w14:paraId="38A1B82F" w14:textId="77777777" w:rsidR="00EA5E4C" w:rsidRDefault="00EA5E4C" w:rsidP="008C5F46">
      <w:pPr>
        <w:rPr>
          <w:lang w:val="fr-FR"/>
        </w:rPr>
      </w:pPr>
    </w:p>
    <w:p w14:paraId="2F23BF63" w14:textId="13F3B0C4" w:rsidR="00EA5E4C" w:rsidRDefault="00BF4F91" w:rsidP="008C5F46">
      <w:pPr>
        <w:pStyle w:val="ParagrapheIndent1"/>
        <w:jc w:val="both"/>
        <w:rPr>
          <w:color w:val="000000"/>
          <w:lang w:val="fr-FR"/>
        </w:rPr>
      </w:pPr>
      <w:r>
        <w:rPr>
          <w:color w:val="000000"/>
          <w:lang w:val="fr-FR"/>
        </w:rPr>
        <w:t>Taux de TVA : 20</w:t>
      </w:r>
      <w:r w:rsidR="00F565D7" w:rsidRPr="00F565D7">
        <w:rPr>
          <w:color w:val="000000"/>
          <w:lang w:val="fr-FR"/>
        </w:rPr>
        <w:t xml:space="preserve"> %</w:t>
      </w:r>
    </w:p>
    <w:p w14:paraId="6783C754" w14:textId="10E500B7" w:rsidR="006D3B46" w:rsidRDefault="006D3B46" w:rsidP="008C5F46">
      <w:pPr>
        <w:rPr>
          <w:lang w:val="fr-FR"/>
        </w:rPr>
      </w:pPr>
      <w:bookmarkStart w:id="21" w:name="_GoBack"/>
      <w:bookmarkEnd w:id="21"/>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666B316B" w14:textId="48D1329E" w:rsidR="006B51FC" w:rsidRPr="00BF4F91" w:rsidRDefault="009312D9" w:rsidP="008C5F46">
      <w:pPr>
        <w:pStyle w:val="style1010"/>
        <w:ind w:right="20"/>
        <w:jc w:val="center"/>
        <w:rPr>
          <w:color w:val="000000"/>
          <w:lang w:val="fr-FR"/>
        </w:rPr>
      </w:pPr>
      <w:r w:rsidRPr="00BF4F91">
        <w:rPr>
          <w:color w:val="000000"/>
          <w:lang w:val="fr-FR"/>
        </w:rPr>
        <w:t xml:space="preserve">Signature du </w:t>
      </w:r>
      <w:r w:rsidR="002D03BE" w:rsidRPr="00BF4F91">
        <w:rPr>
          <w:color w:val="000000"/>
          <w:lang w:val="fr-FR"/>
        </w:rPr>
        <w:t>pouvoir adjudicateur</w:t>
      </w:r>
    </w:p>
    <w:p w14:paraId="3953CA16" w14:textId="7D348266" w:rsidR="002D03BE" w:rsidRPr="00BF4F91" w:rsidRDefault="00E04716" w:rsidP="008C5F46">
      <w:pPr>
        <w:pStyle w:val="style1010"/>
        <w:ind w:right="20"/>
        <w:jc w:val="center"/>
        <w:rPr>
          <w:b/>
          <w:color w:val="000000"/>
          <w:lang w:val="fr-FR"/>
        </w:rPr>
      </w:pPr>
      <w:r w:rsidRPr="00BF4F91">
        <w:rPr>
          <w:b/>
          <w:color w:val="000000"/>
          <w:lang w:val="fr-FR"/>
        </w:rPr>
        <w:t xml:space="preserve">Monsieur </w:t>
      </w:r>
      <w:r w:rsidR="00BF4F91">
        <w:rPr>
          <w:b/>
          <w:color w:val="000000"/>
          <w:lang w:val="fr-FR"/>
        </w:rPr>
        <w:t>Nicolas Salvi</w:t>
      </w:r>
    </w:p>
    <w:p w14:paraId="68DE7A49" w14:textId="163DEF37" w:rsidR="006B51FC" w:rsidRDefault="00E04716" w:rsidP="008C5F46">
      <w:pPr>
        <w:pStyle w:val="style1010"/>
        <w:ind w:right="20"/>
        <w:jc w:val="center"/>
        <w:rPr>
          <w:color w:val="000000"/>
          <w:lang w:val="fr-FR"/>
        </w:rPr>
      </w:pPr>
      <w:r w:rsidRPr="00BF4F91">
        <w:rPr>
          <w:color w:val="000000"/>
          <w:lang w:val="fr-FR"/>
        </w:rPr>
        <w:t xml:space="preserve">Directeur </w:t>
      </w:r>
      <w:r w:rsidR="00BF4F91">
        <w:rPr>
          <w:color w:val="000000"/>
          <w:lang w:val="fr-FR"/>
        </w:rPr>
        <w:t>général</w:t>
      </w: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F50699">
      <w:pPr>
        <w:pStyle w:val="Titre1"/>
        <w:shd w:val="clear" w:color="auto" w:fill="7BACAD"/>
        <w:spacing w:before="0" w:after="0"/>
        <w:jc w:val="center"/>
        <w:rPr>
          <w:rFonts w:ascii="Calibri" w:eastAsia="Calibri" w:hAnsi="Calibri" w:cs="Calibri"/>
          <w:color w:val="FFFFFF"/>
          <w:sz w:val="28"/>
          <w:lang w:val="fr-FR"/>
        </w:rPr>
      </w:pPr>
      <w:r w:rsidRPr="00F50699">
        <w:rPr>
          <w:rFonts w:ascii="Calibri" w:eastAsia="Calibri" w:hAnsi="Calibri" w:cs="Calibri"/>
          <w:color w:val="FFFFFF"/>
          <w:sz w:val="28"/>
          <w:shd w:val="clear" w:color="auto" w:fill="313289"/>
          <w:lang w:val="fr-FR"/>
        </w:rPr>
        <w:t>ANNEXE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F50699">
        <w:trPr>
          <w:trHeight w:val="526"/>
        </w:trPr>
        <w:tc>
          <w:tcPr>
            <w:tcW w:w="60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F7587F8" w14:textId="77777777" w:rsidR="00D07693" w:rsidRPr="00F50699" w:rsidRDefault="00D07693" w:rsidP="00D07693">
            <w:pPr>
              <w:jc w:val="center"/>
              <w:rPr>
                <w:rFonts w:ascii="Calibri" w:eastAsia="Calibri" w:hAnsi="Calibri" w:cs="Calibri"/>
                <w:color w:val="000000"/>
                <w:sz w:val="20"/>
                <w:lang w:val="fr-FR"/>
              </w:rPr>
            </w:pPr>
            <w:r w:rsidRPr="00F50699">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735147E" w:rsidR="006B51FC" w:rsidRPr="00D07693" w:rsidRDefault="00D07693" w:rsidP="00D07693">
      <w:pPr>
        <w:pStyle w:val="ParagrapheIndent1"/>
        <w:jc w:val="both"/>
        <w:rPr>
          <w:b/>
          <w:i/>
          <w:color w:val="000000"/>
          <w:lang w:val="fr-FR"/>
        </w:rPr>
      </w:pPr>
      <w:r w:rsidRPr="00F50699">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C422C6" w:rsidRDefault="00C422C6">
      <w:r>
        <w:separator/>
      </w:r>
    </w:p>
  </w:endnote>
  <w:endnote w:type="continuationSeparator" w:id="0">
    <w:p w14:paraId="088D25E0" w14:textId="77777777" w:rsidR="00C422C6" w:rsidRDefault="00C4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C422C6" w14:paraId="0CCA0B04" w14:textId="77777777">
      <w:trPr>
        <w:trHeight w:val="385"/>
      </w:trPr>
      <w:tc>
        <w:tcPr>
          <w:tcW w:w="9000" w:type="dxa"/>
          <w:tcMar>
            <w:top w:w="0" w:type="dxa"/>
            <w:left w:w="0" w:type="dxa"/>
            <w:bottom w:w="0" w:type="dxa"/>
            <w:right w:w="0" w:type="dxa"/>
          </w:tcMar>
          <w:vAlign w:val="center"/>
        </w:tcPr>
        <w:p w14:paraId="64DD7EB1" w14:textId="77777777" w:rsidR="00C422C6" w:rsidRDefault="00C422C6">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2FEFF2FF" w:rsidR="00C422C6" w:rsidRDefault="00C422C6">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0A3EAE">
            <w:rPr>
              <w:rFonts w:ascii="Calibri" w:eastAsia="Calibri" w:hAnsi="Calibri" w:cs="Calibri"/>
              <w:noProof/>
              <w:color w:val="000000"/>
              <w:sz w:val="20"/>
              <w:lang w:val="fr-FR"/>
            </w:rPr>
            <w:t>8</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0A3EAE">
            <w:rPr>
              <w:rFonts w:ascii="Calibri" w:eastAsia="Calibri" w:hAnsi="Calibri" w:cs="Calibri"/>
              <w:noProof/>
              <w:color w:val="000000"/>
              <w:sz w:val="20"/>
              <w:lang w:val="fr-FR"/>
            </w:rPr>
            <w:t>10</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C422C6" w:rsidRDefault="00C422C6">
      <w:r>
        <w:separator/>
      </w:r>
    </w:p>
  </w:footnote>
  <w:footnote w:type="continuationSeparator" w:id="0">
    <w:p w14:paraId="2FC04F3E" w14:textId="77777777" w:rsidR="00C422C6" w:rsidRDefault="00C42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pt;height:9.8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A3EAE"/>
    <w:rsid w:val="0011001D"/>
    <w:rsid w:val="001301DD"/>
    <w:rsid w:val="00131890"/>
    <w:rsid w:val="00216352"/>
    <w:rsid w:val="00277002"/>
    <w:rsid w:val="00277B01"/>
    <w:rsid w:val="002C399A"/>
    <w:rsid w:val="002D03BE"/>
    <w:rsid w:val="002E4594"/>
    <w:rsid w:val="0033722F"/>
    <w:rsid w:val="003F5156"/>
    <w:rsid w:val="00446F5A"/>
    <w:rsid w:val="004A6384"/>
    <w:rsid w:val="004B07C4"/>
    <w:rsid w:val="00524D0B"/>
    <w:rsid w:val="005A4190"/>
    <w:rsid w:val="005C34B1"/>
    <w:rsid w:val="006439DB"/>
    <w:rsid w:val="006952A7"/>
    <w:rsid w:val="006B38E2"/>
    <w:rsid w:val="006B51FC"/>
    <w:rsid w:val="006C48C3"/>
    <w:rsid w:val="006D3B46"/>
    <w:rsid w:val="00713C3C"/>
    <w:rsid w:val="00774C0B"/>
    <w:rsid w:val="0077724E"/>
    <w:rsid w:val="00783DBC"/>
    <w:rsid w:val="007B033F"/>
    <w:rsid w:val="007B301D"/>
    <w:rsid w:val="007D222D"/>
    <w:rsid w:val="00815CAF"/>
    <w:rsid w:val="008941FE"/>
    <w:rsid w:val="008B5F97"/>
    <w:rsid w:val="008C5F46"/>
    <w:rsid w:val="008F2397"/>
    <w:rsid w:val="00925731"/>
    <w:rsid w:val="009312D9"/>
    <w:rsid w:val="00934322"/>
    <w:rsid w:val="00950CB0"/>
    <w:rsid w:val="00966A45"/>
    <w:rsid w:val="009A258F"/>
    <w:rsid w:val="009A5651"/>
    <w:rsid w:val="009E1558"/>
    <w:rsid w:val="00A220E9"/>
    <w:rsid w:val="00A42778"/>
    <w:rsid w:val="00A52C7F"/>
    <w:rsid w:val="00B31653"/>
    <w:rsid w:val="00B47DEB"/>
    <w:rsid w:val="00BF4F91"/>
    <w:rsid w:val="00C4184C"/>
    <w:rsid w:val="00C422C6"/>
    <w:rsid w:val="00C70AB0"/>
    <w:rsid w:val="00C80F9A"/>
    <w:rsid w:val="00CA1ED8"/>
    <w:rsid w:val="00CC512A"/>
    <w:rsid w:val="00CD3BA2"/>
    <w:rsid w:val="00CF353B"/>
    <w:rsid w:val="00CF3644"/>
    <w:rsid w:val="00D07693"/>
    <w:rsid w:val="00D4462C"/>
    <w:rsid w:val="00D51009"/>
    <w:rsid w:val="00D7217B"/>
    <w:rsid w:val="00DA0F0E"/>
    <w:rsid w:val="00DD45C1"/>
    <w:rsid w:val="00DD5BD8"/>
    <w:rsid w:val="00E02D05"/>
    <w:rsid w:val="00E04716"/>
    <w:rsid w:val="00E307EC"/>
    <w:rsid w:val="00E3122C"/>
    <w:rsid w:val="00E70C59"/>
    <w:rsid w:val="00EA5E4C"/>
    <w:rsid w:val="00EC475E"/>
    <w:rsid w:val="00ED371D"/>
    <w:rsid w:val="00F202E8"/>
    <w:rsid w:val="00F209AD"/>
    <w:rsid w:val="00F50699"/>
    <w:rsid w:val="00F565D7"/>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lichon-l1@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C8F22-E896-428C-90D2-73C160956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10</Pages>
  <Words>1851</Words>
  <Characters>11459</Characters>
  <Application>Microsoft Office Word</Application>
  <DocSecurity>0</DocSecurity>
  <Lines>95</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PLICHON, Laura</cp:lastModifiedBy>
  <cp:revision>30</cp:revision>
  <dcterms:created xsi:type="dcterms:W3CDTF">2024-07-11T14:33:00Z</dcterms:created>
  <dcterms:modified xsi:type="dcterms:W3CDTF">2025-03-04T10:20:00Z</dcterms:modified>
</cp:coreProperties>
</file>