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AADF4" w14:textId="77777777" w:rsidR="00192623" w:rsidRDefault="00192623" w:rsidP="00192623">
      <w:pPr>
        <w:pStyle w:val="Standard"/>
        <w:rPr>
          <w:rFonts w:ascii="Arial" w:hAnsi="Arial"/>
        </w:rPr>
      </w:pPr>
    </w:p>
    <w:p w14:paraId="40302549" w14:textId="77777777" w:rsidR="00192623" w:rsidRPr="00D7018D" w:rsidRDefault="00192623" w:rsidP="00192623">
      <w:pPr>
        <w:autoSpaceDN/>
        <w:spacing w:after="160" w:line="259" w:lineRule="auto"/>
        <w:jc w:val="both"/>
        <w:textAlignment w:val="auto"/>
        <w:rPr>
          <w:rFonts w:ascii="Marianne" w:eastAsia="Marianne" w:hAnsi="Marianne" w:cs="Marianne"/>
          <w:kern w:val="0"/>
          <w:sz w:val="20"/>
          <w:szCs w:val="20"/>
        </w:rPr>
      </w:pPr>
      <w:r w:rsidRPr="00D7018D">
        <w:rPr>
          <w:rFonts w:ascii="Marianne" w:eastAsia="Marianne" w:hAnsi="Marianne" w:cs="Marianne"/>
          <w:noProof/>
          <w:kern w:val="0"/>
          <w:sz w:val="20"/>
          <w:szCs w:val="20"/>
        </w:rPr>
        <w:drawing>
          <wp:anchor distT="0" distB="0" distL="114300" distR="114300" simplePos="0" relativeHeight="251659264" behindDoc="0" locked="0" layoutInCell="0" allowOverlap="1" wp14:anchorId="74BCDEA8" wp14:editId="0CB6C3F4">
            <wp:simplePos x="0" y="0"/>
            <wp:positionH relativeFrom="column">
              <wp:posOffset>0</wp:posOffset>
            </wp:positionH>
            <wp:positionV relativeFrom="paragraph">
              <wp:posOffset>635</wp:posOffset>
            </wp:positionV>
            <wp:extent cx="2217420" cy="1866900"/>
            <wp:effectExtent l="0" t="0" r="0" b="0"/>
            <wp:wrapTight wrapText="bothSides">
              <wp:wrapPolygon edited="0">
                <wp:start x="-7" y="0"/>
                <wp:lineTo x="-7" y="21371"/>
                <wp:lineTo x="21334" y="21371"/>
                <wp:lineTo x="21334" y="0"/>
                <wp:lineTo x="-7" y="0"/>
              </wp:wrapPolygon>
            </wp:wrapTight>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tretch>
                      <a:fillRect/>
                    </a:stretch>
                  </pic:blipFill>
                  <pic:spPr bwMode="auto">
                    <a:xfrm>
                      <a:off x="0" y="0"/>
                      <a:ext cx="2217420" cy="1866900"/>
                    </a:xfrm>
                    <a:prstGeom prst="rect">
                      <a:avLst/>
                    </a:prstGeom>
                  </pic:spPr>
                </pic:pic>
              </a:graphicData>
            </a:graphic>
          </wp:anchor>
        </w:drawing>
      </w:r>
    </w:p>
    <w:p w14:paraId="12132B7A" w14:textId="77777777" w:rsidR="00192623" w:rsidRPr="00D7018D" w:rsidRDefault="00192623" w:rsidP="00192623">
      <w:pPr>
        <w:autoSpaceDN/>
        <w:spacing w:after="160" w:line="259" w:lineRule="auto"/>
        <w:jc w:val="right"/>
        <w:textAlignment w:val="auto"/>
        <w:rPr>
          <w:rFonts w:ascii="Marianne" w:eastAsia="Marianne" w:hAnsi="Marianne" w:cs="Marianne"/>
          <w:b/>
          <w:bCs/>
          <w:kern w:val="0"/>
        </w:rPr>
      </w:pPr>
      <w:r w:rsidRPr="00D7018D">
        <w:rPr>
          <w:rFonts w:ascii="Marianne" w:eastAsia="Marianne" w:hAnsi="Marianne" w:cs="Marianne"/>
          <w:b/>
          <w:bCs/>
          <w:kern w:val="0"/>
        </w:rPr>
        <w:t>Direction Régionale et Interdépartementale de l’Environnement, de l’Aménagement et des Transports</w:t>
      </w:r>
    </w:p>
    <w:p w14:paraId="0477A584" w14:textId="77777777" w:rsidR="00192623" w:rsidRPr="00D7018D" w:rsidRDefault="00192623" w:rsidP="00192623">
      <w:pPr>
        <w:autoSpaceDN/>
        <w:spacing w:after="160" w:line="259" w:lineRule="auto"/>
        <w:jc w:val="right"/>
        <w:textAlignment w:val="auto"/>
        <w:rPr>
          <w:rFonts w:ascii="Marianne" w:eastAsia="Marianne" w:hAnsi="Marianne" w:cs="Marianne"/>
          <w:b/>
          <w:bCs/>
          <w:kern w:val="0"/>
        </w:rPr>
      </w:pPr>
      <w:r w:rsidRPr="00D7018D">
        <w:rPr>
          <w:rFonts w:ascii="Marianne" w:eastAsia="Marianne" w:hAnsi="Marianne" w:cs="Marianne"/>
          <w:b/>
          <w:bCs/>
          <w:kern w:val="0"/>
        </w:rPr>
        <w:t>Direction des Routes d’Ile-de-France (</w:t>
      </w:r>
      <w:proofErr w:type="spellStart"/>
      <w:r w:rsidRPr="00D7018D">
        <w:rPr>
          <w:rFonts w:ascii="Marianne" w:eastAsia="Marianne" w:hAnsi="Marianne" w:cs="Marianne"/>
          <w:b/>
          <w:bCs/>
          <w:kern w:val="0"/>
        </w:rPr>
        <w:t>DiRIF</w:t>
      </w:r>
      <w:proofErr w:type="spellEnd"/>
      <w:r w:rsidRPr="00D7018D">
        <w:rPr>
          <w:rFonts w:ascii="Marianne" w:eastAsia="Marianne" w:hAnsi="Marianne" w:cs="Marianne"/>
          <w:b/>
          <w:bCs/>
          <w:kern w:val="0"/>
        </w:rPr>
        <w:t>)</w:t>
      </w:r>
    </w:p>
    <w:p w14:paraId="7D156349" w14:textId="77777777" w:rsidR="00192623" w:rsidRPr="00D7018D" w:rsidRDefault="00192623" w:rsidP="00192623">
      <w:pPr>
        <w:autoSpaceDN/>
        <w:spacing w:after="160" w:line="259" w:lineRule="auto"/>
        <w:jc w:val="right"/>
        <w:textAlignment w:val="auto"/>
        <w:rPr>
          <w:rFonts w:ascii="Marianne" w:eastAsia="Marianne" w:hAnsi="Marianne" w:cs="Marianne"/>
          <w:b/>
          <w:bCs/>
          <w:kern w:val="0"/>
        </w:rPr>
      </w:pPr>
    </w:p>
    <w:p w14:paraId="388ED969" w14:textId="77777777" w:rsidR="00192623" w:rsidRPr="00D7018D" w:rsidRDefault="00192623" w:rsidP="00192623">
      <w:pPr>
        <w:autoSpaceDN/>
        <w:spacing w:after="160" w:line="259" w:lineRule="auto"/>
        <w:jc w:val="center"/>
        <w:textAlignment w:val="auto"/>
        <w:rPr>
          <w:rFonts w:ascii="Marianne" w:eastAsia="Marianne" w:hAnsi="Marianne" w:cs="Marianne"/>
          <w:b/>
          <w:bCs/>
          <w:kern w:val="0"/>
        </w:rPr>
      </w:pPr>
    </w:p>
    <w:tbl>
      <w:tblPr>
        <w:tblStyle w:val="Grilledutableau"/>
        <w:tblW w:w="9072" w:type="dxa"/>
        <w:jc w:val="center"/>
        <w:tblLayout w:type="fixed"/>
        <w:tblLook w:val="04A0" w:firstRow="1" w:lastRow="0" w:firstColumn="1" w:lastColumn="0" w:noHBand="0" w:noVBand="1"/>
      </w:tblPr>
      <w:tblGrid>
        <w:gridCol w:w="9072"/>
      </w:tblGrid>
      <w:tr w:rsidR="00192623" w:rsidRPr="00D7018D" w14:paraId="36F605B4" w14:textId="77777777" w:rsidTr="00CC35A2">
        <w:trPr>
          <w:jc w:val="center"/>
        </w:trPr>
        <w:tc>
          <w:tcPr>
            <w:tcW w:w="9072" w:type="dxa"/>
            <w:shd w:val="clear" w:color="auto" w:fill="F2F2F2"/>
          </w:tcPr>
          <w:p w14:paraId="1606D8CE" w14:textId="1FB8157A" w:rsidR="00ED49F3" w:rsidRPr="00ED49F3" w:rsidRDefault="00ED49F3" w:rsidP="00CC35A2">
            <w:pPr>
              <w:spacing w:line="204" w:lineRule="auto"/>
              <w:contextualSpacing/>
              <w:jc w:val="center"/>
              <w:rPr>
                <w:rFonts w:ascii="Marianne" w:eastAsia="Marianne" w:hAnsi="Marianne" w:cs="Marianne"/>
                <w:caps/>
                <w:spacing w:val="-15"/>
                <w:sz w:val="20"/>
                <w:szCs w:val="20"/>
              </w:rPr>
            </w:pPr>
            <w:r w:rsidRPr="00ED49F3">
              <w:rPr>
                <w:rFonts w:ascii="Marianne" w:eastAsia="Marianne" w:hAnsi="Marianne" w:cs="Marianne"/>
                <w:caps/>
                <w:spacing w:val="-15"/>
                <w:sz w:val="20"/>
                <w:szCs w:val="20"/>
              </w:rPr>
              <w:t xml:space="preserve"> </w:t>
            </w:r>
          </w:p>
          <w:p w14:paraId="05DA3C55" w14:textId="4AD63046" w:rsidR="00192623" w:rsidRPr="00D7018D" w:rsidRDefault="00ED49F3" w:rsidP="00CC35A2">
            <w:pPr>
              <w:spacing w:line="204" w:lineRule="auto"/>
              <w:contextualSpacing/>
              <w:jc w:val="center"/>
              <w:rPr>
                <w:rFonts w:ascii="Marianne" w:eastAsia="Marianne" w:hAnsi="Marianne" w:cs="Marianne"/>
                <w:caps/>
                <w:spacing w:val="-15"/>
                <w:sz w:val="32"/>
                <w:szCs w:val="32"/>
              </w:rPr>
            </w:pPr>
            <w:r>
              <w:rPr>
                <w:rFonts w:ascii="Marianne" w:eastAsia="Marianne" w:hAnsi="Marianne" w:cs="Marianne"/>
                <w:caps/>
                <w:spacing w:val="-15"/>
                <w:sz w:val="32"/>
                <w:szCs w:val="32"/>
              </w:rPr>
              <w:t>1.</w:t>
            </w:r>
            <w:r w:rsidR="00437F74">
              <w:rPr>
                <w:rFonts w:ascii="Marianne" w:eastAsia="Marianne" w:hAnsi="Marianne" w:cs="Marianne"/>
                <w:caps/>
                <w:spacing w:val="-15"/>
                <w:sz w:val="32"/>
                <w:szCs w:val="32"/>
              </w:rPr>
              <w:t>7</w:t>
            </w:r>
            <w:r w:rsidR="00192623" w:rsidRPr="00D7018D">
              <w:rPr>
                <w:rFonts w:ascii="Marianne" w:eastAsia="Marianne" w:hAnsi="Marianne" w:cs="Marianne"/>
                <w:caps/>
                <w:spacing w:val="-15"/>
                <w:sz w:val="32"/>
                <w:szCs w:val="32"/>
              </w:rPr>
              <w:t xml:space="preserve"> – </w:t>
            </w:r>
            <w:r w:rsidR="00437F74">
              <w:rPr>
                <w:rFonts w:ascii="Marianne" w:eastAsia="Marianne" w:hAnsi="Marianne" w:cs="Marianne"/>
                <w:caps/>
                <w:spacing w:val="-15"/>
                <w:sz w:val="32"/>
                <w:szCs w:val="32"/>
              </w:rPr>
              <w:t xml:space="preserve">cadre de schéma d’organisation et de suivi de l’élimination des déchets de chantier </w:t>
            </w:r>
            <w:r w:rsidR="00192623" w:rsidRPr="00D7018D">
              <w:rPr>
                <w:rFonts w:ascii="Marianne" w:eastAsia="Marianne" w:hAnsi="Marianne" w:cs="Marianne"/>
                <w:caps/>
                <w:spacing w:val="-15"/>
                <w:sz w:val="32"/>
                <w:szCs w:val="32"/>
              </w:rPr>
              <w:t>(</w:t>
            </w:r>
            <w:r w:rsidR="00192623">
              <w:rPr>
                <w:rFonts w:ascii="Marianne" w:eastAsia="Marianne" w:hAnsi="Marianne" w:cs="Marianne"/>
                <w:caps/>
                <w:spacing w:val="-15"/>
                <w:sz w:val="32"/>
                <w:szCs w:val="32"/>
              </w:rPr>
              <w:t>so</w:t>
            </w:r>
            <w:r w:rsidR="00437F74">
              <w:rPr>
                <w:rFonts w:ascii="Marianne" w:eastAsia="Marianne" w:hAnsi="Marianne" w:cs="Marianne"/>
                <w:caps/>
                <w:spacing w:val="-15"/>
                <w:sz w:val="32"/>
                <w:szCs w:val="32"/>
              </w:rPr>
              <w:t>sed</w:t>
            </w:r>
            <w:r w:rsidR="00192623" w:rsidRPr="00D7018D">
              <w:rPr>
                <w:rFonts w:ascii="Marianne" w:eastAsia="Marianne" w:hAnsi="Marianne" w:cs="Marianne"/>
                <w:caps/>
                <w:spacing w:val="-15"/>
                <w:sz w:val="32"/>
                <w:szCs w:val="32"/>
              </w:rPr>
              <w:t>)</w:t>
            </w:r>
          </w:p>
          <w:p w14:paraId="20494C04" w14:textId="77777777" w:rsidR="00192623" w:rsidRPr="00D7018D" w:rsidRDefault="00192623" w:rsidP="00CC35A2">
            <w:pPr>
              <w:rPr>
                <w:rFonts w:ascii="Marianne" w:eastAsia="Marianne" w:hAnsi="Marianne" w:cs="Marianne"/>
                <w:sz w:val="20"/>
                <w:szCs w:val="20"/>
              </w:rPr>
            </w:pPr>
          </w:p>
        </w:tc>
      </w:tr>
    </w:tbl>
    <w:p w14:paraId="17459279" w14:textId="77777777" w:rsidR="00192623" w:rsidRPr="00D7018D" w:rsidRDefault="00192623" w:rsidP="00192623">
      <w:pPr>
        <w:autoSpaceDN/>
        <w:spacing w:after="160" w:line="259" w:lineRule="auto"/>
        <w:textAlignment w:val="auto"/>
        <w:rPr>
          <w:rFonts w:ascii="Marianne" w:eastAsia="Marianne" w:hAnsi="Marianne" w:cs="Marianne"/>
          <w:b/>
          <w:bCs/>
          <w:caps/>
          <w:kern w:val="0"/>
          <w:sz w:val="20"/>
          <w:szCs w:val="20"/>
        </w:rPr>
      </w:pPr>
    </w:p>
    <w:p w14:paraId="6310FBC1" w14:textId="77777777" w:rsidR="00192623" w:rsidRPr="00D7018D" w:rsidRDefault="00192623" w:rsidP="00192623">
      <w:pPr>
        <w:autoSpaceDN/>
        <w:spacing w:after="160" w:line="259" w:lineRule="auto"/>
        <w:textAlignment w:val="auto"/>
        <w:rPr>
          <w:rFonts w:ascii="Marianne" w:eastAsia="Marianne" w:hAnsi="Marianne" w:cs="Marianne"/>
          <w:b/>
          <w:bCs/>
          <w:caps/>
          <w:kern w:val="0"/>
          <w:sz w:val="20"/>
          <w:szCs w:val="20"/>
        </w:rPr>
      </w:pPr>
    </w:p>
    <w:tbl>
      <w:tblPr>
        <w:tblStyle w:val="Grilledutableau"/>
        <w:tblW w:w="9067" w:type="dxa"/>
        <w:jc w:val="center"/>
        <w:tblLayout w:type="fixed"/>
        <w:tblLook w:val="04A0" w:firstRow="1" w:lastRow="0" w:firstColumn="1" w:lastColumn="0" w:noHBand="0" w:noVBand="1"/>
      </w:tblPr>
      <w:tblGrid>
        <w:gridCol w:w="9067"/>
      </w:tblGrid>
      <w:tr w:rsidR="00192623" w:rsidRPr="00D7018D" w14:paraId="45D248B2" w14:textId="77777777" w:rsidTr="00CC35A2">
        <w:trPr>
          <w:trHeight w:val="510"/>
          <w:jc w:val="center"/>
        </w:trPr>
        <w:tc>
          <w:tcPr>
            <w:tcW w:w="9067" w:type="dxa"/>
            <w:shd w:val="clear" w:color="auto" w:fill="D9D9D9"/>
            <w:vAlign w:val="center"/>
          </w:tcPr>
          <w:p w14:paraId="1D97061D" w14:textId="77777777" w:rsidR="00192623" w:rsidRPr="00D7018D" w:rsidRDefault="00192623" w:rsidP="00CC35A2">
            <w:pPr>
              <w:jc w:val="center"/>
              <w:rPr>
                <w:rFonts w:ascii="Marianne" w:eastAsia="Marianne" w:hAnsi="Marianne" w:cs="Marianne"/>
                <w:b/>
                <w:bCs/>
                <w:caps/>
                <w:sz w:val="20"/>
                <w:szCs w:val="20"/>
              </w:rPr>
            </w:pPr>
            <w:r w:rsidRPr="00D7018D">
              <w:rPr>
                <w:rFonts w:ascii="Marianne" w:eastAsia="Marianne" w:hAnsi="Marianne" w:cs="Marianne"/>
                <w:b/>
                <w:bCs/>
                <w:caps/>
                <w:sz w:val="20"/>
                <w:szCs w:val="20"/>
              </w:rPr>
              <w:t>Acheteur excerçant la maîtrise d’ouvrage</w:t>
            </w:r>
          </w:p>
        </w:tc>
      </w:tr>
      <w:tr w:rsidR="00192623" w:rsidRPr="00D7018D" w14:paraId="21DE62CD" w14:textId="77777777" w:rsidTr="00CC35A2">
        <w:trPr>
          <w:trHeight w:val="737"/>
          <w:jc w:val="center"/>
        </w:trPr>
        <w:tc>
          <w:tcPr>
            <w:tcW w:w="9067" w:type="dxa"/>
            <w:vAlign w:val="center"/>
          </w:tcPr>
          <w:p w14:paraId="2F3BBD6A" w14:textId="77777777" w:rsidR="00192623" w:rsidRPr="00D7018D" w:rsidRDefault="00192623" w:rsidP="00CC35A2">
            <w:pPr>
              <w:jc w:val="center"/>
              <w:rPr>
                <w:rFonts w:ascii="Marianne" w:eastAsia="Marianne" w:hAnsi="Marianne" w:cs="Marianne"/>
                <w:sz w:val="20"/>
                <w:szCs w:val="20"/>
              </w:rPr>
            </w:pPr>
            <w:r w:rsidRPr="00D7018D">
              <w:rPr>
                <w:rFonts w:ascii="Marianne" w:eastAsia="Marianne" w:hAnsi="Marianne" w:cs="Marianne"/>
                <w:sz w:val="20"/>
                <w:szCs w:val="20"/>
              </w:rPr>
              <w:t>Direction Régionale et Interdépartementale de l’Environnement, de l’Aménagement et des Transports d’Île-de-France (DRIEAT IF) – Direction des Routes d’Île-de-France</w:t>
            </w:r>
          </w:p>
        </w:tc>
      </w:tr>
    </w:tbl>
    <w:p w14:paraId="6B811D66" w14:textId="77777777" w:rsidR="00192623" w:rsidRPr="00D7018D" w:rsidRDefault="00192623" w:rsidP="00192623">
      <w:pPr>
        <w:autoSpaceDN/>
        <w:spacing w:after="160" w:line="259" w:lineRule="auto"/>
        <w:jc w:val="center"/>
        <w:textAlignment w:val="auto"/>
        <w:rPr>
          <w:rFonts w:ascii="Marianne" w:eastAsia="Marianne" w:hAnsi="Marianne" w:cs="Marianne"/>
          <w:b/>
          <w:bCs/>
          <w:caps/>
          <w:kern w:val="0"/>
          <w:sz w:val="20"/>
          <w:szCs w:val="20"/>
        </w:rPr>
      </w:pPr>
    </w:p>
    <w:tbl>
      <w:tblPr>
        <w:tblStyle w:val="Grilledutableau"/>
        <w:tblW w:w="9062" w:type="dxa"/>
        <w:jc w:val="center"/>
        <w:tblLayout w:type="fixed"/>
        <w:tblLook w:val="04A0" w:firstRow="1" w:lastRow="0" w:firstColumn="1" w:lastColumn="0" w:noHBand="0" w:noVBand="1"/>
      </w:tblPr>
      <w:tblGrid>
        <w:gridCol w:w="9062"/>
      </w:tblGrid>
      <w:tr w:rsidR="00192623" w:rsidRPr="00D7018D" w14:paraId="02EB1786" w14:textId="77777777" w:rsidTr="00CC35A2">
        <w:trPr>
          <w:trHeight w:val="510"/>
          <w:jc w:val="center"/>
        </w:trPr>
        <w:tc>
          <w:tcPr>
            <w:tcW w:w="9062" w:type="dxa"/>
            <w:shd w:val="clear" w:color="auto" w:fill="D9D9D9"/>
            <w:vAlign w:val="center"/>
          </w:tcPr>
          <w:p w14:paraId="5351C478" w14:textId="77777777" w:rsidR="00192623" w:rsidRPr="00D7018D" w:rsidRDefault="00192623" w:rsidP="00CC35A2">
            <w:pPr>
              <w:jc w:val="center"/>
              <w:rPr>
                <w:rFonts w:ascii="Marianne" w:eastAsia="Marianne" w:hAnsi="Marianne" w:cs="Marianne"/>
                <w:b/>
                <w:bCs/>
                <w:caps/>
                <w:sz w:val="20"/>
                <w:szCs w:val="20"/>
              </w:rPr>
            </w:pPr>
            <w:r w:rsidRPr="00D7018D">
              <w:rPr>
                <w:rFonts w:ascii="Marianne" w:eastAsia="Marianne" w:hAnsi="Marianne" w:cs="Marianne"/>
                <w:b/>
                <w:bCs/>
                <w:caps/>
                <w:sz w:val="20"/>
                <w:szCs w:val="20"/>
              </w:rPr>
              <w:t>Ordonnateur</w:t>
            </w:r>
          </w:p>
        </w:tc>
      </w:tr>
      <w:tr w:rsidR="00192623" w:rsidRPr="00D7018D" w14:paraId="6AAB1FE4" w14:textId="77777777" w:rsidTr="00CC35A2">
        <w:trPr>
          <w:trHeight w:val="1304"/>
          <w:jc w:val="center"/>
        </w:trPr>
        <w:tc>
          <w:tcPr>
            <w:tcW w:w="9062" w:type="dxa"/>
            <w:vAlign w:val="center"/>
          </w:tcPr>
          <w:p w14:paraId="0FF220B0" w14:textId="77777777" w:rsidR="00192623" w:rsidRPr="00D7018D" w:rsidRDefault="00192623" w:rsidP="00CC35A2">
            <w:pPr>
              <w:jc w:val="center"/>
              <w:rPr>
                <w:rFonts w:ascii="Marianne" w:eastAsia="Marianne" w:hAnsi="Marianne" w:cs="Marianne"/>
                <w:sz w:val="20"/>
                <w:szCs w:val="20"/>
              </w:rPr>
            </w:pPr>
            <w:r w:rsidRPr="00D7018D">
              <w:rPr>
                <w:rFonts w:ascii="Marianne" w:eastAsia="Marianne" w:hAnsi="Marianne" w:cs="Marianne"/>
                <w:sz w:val="20"/>
                <w:szCs w:val="20"/>
              </w:rPr>
              <w:t>Monsieur le Préfet de Région Île-de-France</w:t>
            </w:r>
          </w:p>
          <w:p w14:paraId="56DCAB79" w14:textId="77777777" w:rsidR="00192623" w:rsidRPr="00D7018D" w:rsidRDefault="00192623" w:rsidP="00CC35A2">
            <w:pPr>
              <w:jc w:val="center"/>
              <w:rPr>
                <w:rFonts w:ascii="Marianne" w:eastAsia="Marianne" w:hAnsi="Marianne" w:cs="Marianne"/>
                <w:sz w:val="20"/>
                <w:szCs w:val="20"/>
              </w:rPr>
            </w:pPr>
            <w:r w:rsidRPr="00D7018D">
              <w:rPr>
                <w:rFonts w:ascii="Marianne" w:eastAsia="Marianne" w:hAnsi="Marianne" w:cs="Marianne"/>
                <w:sz w:val="20"/>
                <w:szCs w:val="20"/>
              </w:rPr>
              <w:t>Ordonnateur délégué</w:t>
            </w:r>
            <w:r w:rsidRPr="00D7018D">
              <w:rPr>
                <w:rFonts w:ascii="Calibri" w:eastAsia="Marianne" w:hAnsi="Calibri" w:cs="Calibri"/>
                <w:sz w:val="20"/>
                <w:szCs w:val="20"/>
              </w:rPr>
              <w:t> </w:t>
            </w:r>
            <w:r w:rsidRPr="00D7018D">
              <w:rPr>
                <w:rFonts w:ascii="Marianne" w:eastAsia="Marianne" w:hAnsi="Marianne" w:cs="Marianne"/>
                <w:sz w:val="20"/>
                <w:szCs w:val="20"/>
              </w:rPr>
              <w:t>: Madame la Directrice Régionale et Interdépartementale de l’Environnement, de l’Aménagement et des Transports d’Île-de-France par délégation du Préfet de la région Île-de-France, Préfet de Paris</w:t>
            </w:r>
          </w:p>
        </w:tc>
      </w:tr>
    </w:tbl>
    <w:p w14:paraId="41F34CFD" w14:textId="77777777" w:rsidR="00192623" w:rsidRPr="00D7018D" w:rsidRDefault="00192623" w:rsidP="00192623">
      <w:pPr>
        <w:autoSpaceDN/>
        <w:spacing w:after="160" w:line="259" w:lineRule="auto"/>
        <w:jc w:val="center"/>
        <w:textAlignment w:val="auto"/>
        <w:rPr>
          <w:rFonts w:ascii="Marianne" w:eastAsia="Marianne" w:hAnsi="Marianne" w:cs="Marianne"/>
          <w:b/>
          <w:bCs/>
          <w:caps/>
          <w:kern w:val="0"/>
          <w:sz w:val="20"/>
          <w:szCs w:val="20"/>
        </w:rPr>
      </w:pPr>
    </w:p>
    <w:tbl>
      <w:tblPr>
        <w:tblStyle w:val="Grilledutableau"/>
        <w:tblW w:w="9062" w:type="dxa"/>
        <w:jc w:val="center"/>
        <w:tblLayout w:type="fixed"/>
        <w:tblLook w:val="04A0" w:firstRow="1" w:lastRow="0" w:firstColumn="1" w:lastColumn="0" w:noHBand="0" w:noVBand="1"/>
      </w:tblPr>
      <w:tblGrid>
        <w:gridCol w:w="9062"/>
      </w:tblGrid>
      <w:tr w:rsidR="00192623" w:rsidRPr="00D7018D" w14:paraId="1EDD6F60" w14:textId="77777777" w:rsidTr="00CC35A2">
        <w:trPr>
          <w:trHeight w:val="510"/>
          <w:jc w:val="center"/>
        </w:trPr>
        <w:tc>
          <w:tcPr>
            <w:tcW w:w="9062" w:type="dxa"/>
            <w:shd w:val="clear" w:color="auto" w:fill="D9D9D9"/>
            <w:vAlign w:val="center"/>
          </w:tcPr>
          <w:p w14:paraId="2DDD539D" w14:textId="77777777" w:rsidR="00192623" w:rsidRPr="00D7018D" w:rsidRDefault="00192623" w:rsidP="00CC35A2">
            <w:pPr>
              <w:jc w:val="center"/>
              <w:rPr>
                <w:rFonts w:ascii="Marianne" w:eastAsia="Marianne" w:hAnsi="Marianne" w:cs="Marianne"/>
                <w:b/>
                <w:bCs/>
                <w:caps/>
                <w:sz w:val="20"/>
                <w:szCs w:val="20"/>
              </w:rPr>
            </w:pPr>
            <w:r w:rsidRPr="00D7018D">
              <w:rPr>
                <w:rFonts w:ascii="Marianne" w:eastAsia="Marianne" w:hAnsi="Marianne" w:cs="Marianne"/>
                <w:b/>
                <w:bCs/>
                <w:caps/>
                <w:sz w:val="20"/>
                <w:szCs w:val="20"/>
              </w:rPr>
              <w:t>Représentant du maître d’ouvrage</w:t>
            </w:r>
          </w:p>
        </w:tc>
      </w:tr>
      <w:tr w:rsidR="00192623" w:rsidRPr="00D7018D" w14:paraId="03435982" w14:textId="77777777" w:rsidTr="00CC35A2">
        <w:trPr>
          <w:trHeight w:val="1020"/>
          <w:jc w:val="center"/>
        </w:trPr>
        <w:tc>
          <w:tcPr>
            <w:tcW w:w="9062" w:type="dxa"/>
            <w:vAlign w:val="center"/>
          </w:tcPr>
          <w:p w14:paraId="30067856" w14:textId="77777777" w:rsidR="00192623" w:rsidRPr="00D7018D" w:rsidRDefault="00192623" w:rsidP="00CC35A2">
            <w:pPr>
              <w:jc w:val="center"/>
              <w:rPr>
                <w:rFonts w:ascii="Marianne" w:eastAsia="Marianne" w:hAnsi="Marianne" w:cs="Marianne"/>
                <w:sz w:val="20"/>
                <w:szCs w:val="20"/>
              </w:rPr>
            </w:pPr>
            <w:r w:rsidRPr="00D7018D">
              <w:rPr>
                <w:rFonts w:ascii="Marianne" w:eastAsia="Marianne" w:hAnsi="Marianne" w:cs="Marianne"/>
                <w:sz w:val="20"/>
                <w:szCs w:val="20"/>
              </w:rPr>
              <w:t>Madame la Directrice Régionale et Interdépartementale de l’Environnement, de l’Aménagement et des Transports d’Île-de-France par délégation du Préfet de la région Île-de-France, Préfet de Paris</w:t>
            </w:r>
          </w:p>
        </w:tc>
      </w:tr>
    </w:tbl>
    <w:p w14:paraId="3C07D3E7" w14:textId="77777777" w:rsidR="00ED49F3" w:rsidRPr="00D7018D" w:rsidRDefault="00ED49F3" w:rsidP="00ED49F3">
      <w:pPr>
        <w:autoSpaceDN/>
        <w:spacing w:after="160" w:line="259" w:lineRule="auto"/>
        <w:jc w:val="center"/>
        <w:textAlignment w:val="auto"/>
        <w:rPr>
          <w:rFonts w:ascii="Marianne" w:eastAsia="Marianne" w:hAnsi="Marianne" w:cs="Marianne"/>
          <w:b/>
          <w:bCs/>
          <w:caps/>
          <w:kern w:val="0"/>
          <w:sz w:val="20"/>
          <w:szCs w:val="20"/>
        </w:rPr>
      </w:pPr>
    </w:p>
    <w:tbl>
      <w:tblPr>
        <w:tblStyle w:val="Grilledutableau"/>
        <w:tblW w:w="9062" w:type="dxa"/>
        <w:jc w:val="center"/>
        <w:tblLayout w:type="fixed"/>
        <w:tblLook w:val="04A0" w:firstRow="1" w:lastRow="0" w:firstColumn="1" w:lastColumn="0" w:noHBand="0" w:noVBand="1"/>
      </w:tblPr>
      <w:tblGrid>
        <w:gridCol w:w="9062"/>
      </w:tblGrid>
      <w:tr w:rsidR="00ED49F3" w:rsidRPr="00D7018D" w14:paraId="5CE6CB2E" w14:textId="77777777" w:rsidTr="000E209E">
        <w:trPr>
          <w:trHeight w:val="510"/>
          <w:jc w:val="center"/>
        </w:trPr>
        <w:tc>
          <w:tcPr>
            <w:tcW w:w="9062" w:type="dxa"/>
            <w:shd w:val="clear" w:color="auto" w:fill="D9D9D9"/>
            <w:vAlign w:val="center"/>
          </w:tcPr>
          <w:p w14:paraId="13591E29" w14:textId="77777777" w:rsidR="00ED49F3" w:rsidRPr="00D7018D" w:rsidRDefault="00ED49F3" w:rsidP="000E209E">
            <w:pPr>
              <w:jc w:val="center"/>
              <w:rPr>
                <w:rFonts w:ascii="Marianne" w:eastAsia="Marianne" w:hAnsi="Marianne" w:cs="Marianne"/>
                <w:b/>
                <w:bCs/>
                <w:caps/>
                <w:sz w:val="20"/>
                <w:szCs w:val="20"/>
              </w:rPr>
            </w:pPr>
            <w:r>
              <w:rPr>
                <w:rFonts w:ascii="Marianne" w:eastAsia="Marianne" w:hAnsi="Marianne" w:cs="Marianne"/>
                <w:b/>
                <w:bCs/>
                <w:caps/>
                <w:sz w:val="20"/>
                <w:szCs w:val="20"/>
              </w:rPr>
              <w:t>OBJET</w:t>
            </w:r>
          </w:p>
        </w:tc>
      </w:tr>
      <w:tr w:rsidR="00ED49F3" w:rsidRPr="00D7018D" w14:paraId="2E75E3C5" w14:textId="77777777" w:rsidTr="000E209E">
        <w:trPr>
          <w:trHeight w:val="1304"/>
          <w:jc w:val="center"/>
        </w:trPr>
        <w:tc>
          <w:tcPr>
            <w:tcW w:w="9062" w:type="dxa"/>
            <w:vAlign w:val="center"/>
          </w:tcPr>
          <w:p w14:paraId="1D0D9E12" w14:textId="77777777" w:rsidR="00ED49F3" w:rsidRPr="00D7018D" w:rsidRDefault="00ED49F3" w:rsidP="000E209E">
            <w:pPr>
              <w:jc w:val="center"/>
              <w:rPr>
                <w:rFonts w:ascii="Marianne" w:eastAsia="Marianne" w:hAnsi="Marianne" w:cs="Marianne"/>
                <w:sz w:val="20"/>
                <w:szCs w:val="20"/>
              </w:rPr>
            </w:pPr>
            <w:r w:rsidRPr="00892154">
              <w:rPr>
                <w:rFonts w:ascii="Marianne" w:eastAsia="Marianne" w:hAnsi="Marianne" w:cs="Marianne"/>
                <w:sz w:val="20"/>
                <w:szCs w:val="20"/>
              </w:rPr>
              <w:t>Réhabilitation de la RN 12 Y PR 26+400 au PR 26+600</w:t>
            </w:r>
          </w:p>
        </w:tc>
      </w:tr>
    </w:tbl>
    <w:p w14:paraId="0F012D66" w14:textId="77777777" w:rsidR="007E18FF" w:rsidRDefault="007E18FF">
      <w:pPr>
        <w:pStyle w:val="Standard"/>
        <w:rPr>
          <w:rFonts w:ascii="Arial" w:hAnsi="Arial"/>
        </w:rPr>
      </w:pPr>
    </w:p>
    <w:p w14:paraId="3B375EAC" w14:textId="77777777" w:rsidR="007722DD" w:rsidRDefault="00437F74">
      <w:pPr>
        <w:rPr>
          <w:rFonts w:ascii="Marianne" w:eastAsia="Marianne" w:hAnsi="Marianne" w:cs="Marianne"/>
          <w:vanish/>
          <w:sz w:val="20"/>
          <w:szCs w:val="20"/>
        </w:rPr>
      </w:pPr>
      <w:r>
        <w:br w:type="page"/>
      </w:r>
    </w:p>
    <w:p w14:paraId="2A8A5FFF" w14:textId="77777777" w:rsidR="007E18FF" w:rsidRDefault="007E18FF">
      <w:pPr>
        <w:pStyle w:val="Standard"/>
      </w:pPr>
    </w:p>
    <w:p w14:paraId="5476BBDD" w14:textId="77777777" w:rsidR="007E18FF" w:rsidRDefault="007E18FF" w:rsidP="00192623">
      <w:pPr>
        <w:pStyle w:val="Textbody"/>
        <w:ind w:left="0"/>
      </w:pPr>
    </w:p>
    <w:p w14:paraId="6A11E9F8" w14:textId="77777777" w:rsidR="007E18FF" w:rsidRDefault="007E18FF">
      <w:pPr>
        <w:pStyle w:val="Textbody"/>
      </w:pPr>
    </w:p>
    <w:p w14:paraId="4C49C362" w14:textId="77777777" w:rsidR="007E18FF" w:rsidRDefault="007E18FF">
      <w:pPr>
        <w:pStyle w:val="Textbody"/>
      </w:pPr>
    </w:p>
    <w:p w14:paraId="44D95CD8" w14:textId="77777777" w:rsidR="007E18FF" w:rsidRDefault="007E18FF">
      <w:pPr>
        <w:pStyle w:val="Textbody"/>
      </w:pPr>
    </w:p>
    <w:p w14:paraId="61CBA6EE" w14:textId="77777777" w:rsidR="007E18FF" w:rsidRDefault="007E18FF">
      <w:pPr>
        <w:pStyle w:val="Textbody"/>
      </w:pPr>
    </w:p>
    <w:p w14:paraId="5CCFD7D8" w14:textId="77777777" w:rsidR="007E18FF" w:rsidRDefault="007E18FF">
      <w:pPr>
        <w:pStyle w:val="Textbody"/>
      </w:pPr>
    </w:p>
    <w:p w14:paraId="2C985C13" w14:textId="77777777" w:rsidR="007E18FF" w:rsidRDefault="007E18FF">
      <w:pPr>
        <w:pStyle w:val="Textbody"/>
      </w:pPr>
    </w:p>
    <w:p w14:paraId="6C11203D" w14:textId="77777777" w:rsidR="007E18FF" w:rsidRDefault="007E18FF">
      <w:pPr>
        <w:pStyle w:val="Textbody"/>
      </w:pPr>
    </w:p>
    <w:tbl>
      <w:tblPr>
        <w:tblW w:w="9638" w:type="dxa"/>
        <w:tblLayout w:type="fixed"/>
        <w:tblCellMar>
          <w:left w:w="10" w:type="dxa"/>
          <w:right w:w="10" w:type="dxa"/>
        </w:tblCellMar>
        <w:tblLook w:val="0000" w:firstRow="0" w:lastRow="0" w:firstColumn="0" w:lastColumn="0" w:noHBand="0" w:noVBand="0"/>
      </w:tblPr>
      <w:tblGrid>
        <w:gridCol w:w="9638"/>
      </w:tblGrid>
      <w:tr w:rsidR="007E18FF" w14:paraId="163A3C05"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80EAE1B" w14:textId="77777777" w:rsidR="007E18FF" w:rsidRDefault="00437F74">
            <w:pPr>
              <w:pStyle w:val="TableContents"/>
              <w:jc w:val="center"/>
              <w:rPr>
                <w:b/>
                <w:bCs/>
                <w:sz w:val="32"/>
                <w:szCs w:val="32"/>
              </w:rPr>
            </w:pPr>
            <w:r>
              <w:rPr>
                <w:b/>
                <w:bCs/>
                <w:sz w:val="32"/>
                <w:szCs w:val="32"/>
              </w:rPr>
              <w:t>Schéma d’Organisation et de Suivi de l’Élimination des Déchets</w:t>
            </w:r>
          </w:p>
        </w:tc>
      </w:tr>
    </w:tbl>
    <w:p w14:paraId="531D491B" w14:textId="77777777" w:rsidR="007E18FF" w:rsidRDefault="007E18FF">
      <w:pPr>
        <w:pStyle w:val="Textbody"/>
      </w:pPr>
    </w:p>
    <w:p w14:paraId="258A80FA" w14:textId="77777777" w:rsidR="007E18FF" w:rsidRDefault="007E18FF">
      <w:pPr>
        <w:pStyle w:val="Textbody"/>
      </w:pPr>
    </w:p>
    <w:p w14:paraId="4D82CD70" w14:textId="77777777" w:rsidR="007E18FF" w:rsidRDefault="007E18FF">
      <w:pPr>
        <w:pStyle w:val="Textbody"/>
      </w:pPr>
    </w:p>
    <w:p w14:paraId="2E101AA1" w14:textId="77777777" w:rsidR="007E18FF" w:rsidRDefault="007E18FF">
      <w:pPr>
        <w:pStyle w:val="Textbody"/>
      </w:pPr>
    </w:p>
    <w:p w14:paraId="3ADA5D44" w14:textId="77777777" w:rsidR="007E18FF" w:rsidRDefault="007E18FF">
      <w:pPr>
        <w:pStyle w:val="Textbody"/>
      </w:pPr>
    </w:p>
    <w:p w14:paraId="6638DE2E" w14:textId="77777777" w:rsidR="007E18FF" w:rsidRDefault="00437F74">
      <w:pPr>
        <w:pStyle w:val="Textbody"/>
        <w:ind w:left="0"/>
        <w:rPr>
          <w:b/>
          <w:bCs/>
        </w:rPr>
      </w:pPr>
      <w:r>
        <w:rPr>
          <w:b/>
          <w:bCs/>
        </w:rPr>
        <w:t>Documents de référence :</w:t>
      </w:r>
    </w:p>
    <w:p w14:paraId="2EB07ACE" w14:textId="77777777" w:rsidR="007E18FF" w:rsidRDefault="007E18FF">
      <w:pPr>
        <w:pStyle w:val="Textbody"/>
      </w:pPr>
    </w:p>
    <w:tbl>
      <w:tblPr>
        <w:tblW w:w="9638" w:type="dxa"/>
        <w:tblLayout w:type="fixed"/>
        <w:tblCellMar>
          <w:left w:w="10" w:type="dxa"/>
          <w:right w:w="10" w:type="dxa"/>
        </w:tblCellMar>
        <w:tblLook w:val="0000" w:firstRow="0" w:lastRow="0" w:firstColumn="0" w:lastColumn="0" w:noHBand="0" w:noVBand="0"/>
      </w:tblPr>
      <w:tblGrid>
        <w:gridCol w:w="9638"/>
      </w:tblGrid>
      <w:tr w:rsidR="007E18FF" w14:paraId="723D6A6C" w14:textId="77777777">
        <w:tc>
          <w:tcPr>
            <w:tcW w:w="9638"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364007C" w14:textId="77777777" w:rsidR="007E18FF" w:rsidRDefault="00437F74">
            <w:pPr>
              <w:pStyle w:val="TableContents"/>
            </w:pPr>
            <w:r>
              <w:t>Loi n°75-633 du 15 juillet 1975 relative à l’élimination des déchets et de la récupération des matériaux.</w:t>
            </w:r>
          </w:p>
          <w:p w14:paraId="6E73721B" w14:textId="77777777" w:rsidR="007E18FF" w:rsidRDefault="007E18FF">
            <w:pPr>
              <w:pStyle w:val="TableContents"/>
            </w:pPr>
          </w:p>
          <w:p w14:paraId="5DED6693" w14:textId="6733A35C" w:rsidR="007E18FF" w:rsidRDefault="00437F74">
            <w:pPr>
              <w:pStyle w:val="TableContents"/>
            </w:pPr>
            <w:r>
              <w:t xml:space="preserve">Loi n°76-633 du 19 juillet 1976 relative aux installations classées pour la protection de </w:t>
            </w:r>
            <w:r w:rsidR="0028574F">
              <w:t>l’environnement.</w:t>
            </w:r>
          </w:p>
          <w:p w14:paraId="7784FD7A" w14:textId="77777777" w:rsidR="007E18FF" w:rsidRDefault="007E18FF">
            <w:pPr>
              <w:pStyle w:val="TableContents"/>
            </w:pPr>
          </w:p>
          <w:p w14:paraId="43FD16A0" w14:textId="77777777" w:rsidR="007E18FF" w:rsidRDefault="00437F74">
            <w:pPr>
              <w:pStyle w:val="TableContents"/>
            </w:pPr>
            <w:r>
              <w:t>Loi n°92-646 du 13 juillet 1992 relative à l’élimination des déchets ainsi qu’aux installations classées pour la protection de l’environnement.</w:t>
            </w:r>
          </w:p>
          <w:p w14:paraId="5F59C1C7" w14:textId="77777777" w:rsidR="007E18FF" w:rsidRDefault="007E18FF">
            <w:pPr>
              <w:pStyle w:val="TableContents"/>
            </w:pPr>
          </w:p>
          <w:p w14:paraId="116BDE57" w14:textId="01C07E9C" w:rsidR="007E18FF" w:rsidRDefault="00437F74">
            <w:pPr>
              <w:pStyle w:val="TableContents"/>
            </w:pPr>
            <w:r>
              <w:t>Projet de classification des installations de stockage de « classe 3 » au titre des installations classées pour la protection de l’environnement.</w:t>
            </w:r>
          </w:p>
        </w:tc>
      </w:tr>
    </w:tbl>
    <w:p w14:paraId="3928A1A1" w14:textId="5C4540C0" w:rsidR="007E18FF" w:rsidRDefault="007E18FF">
      <w:pPr>
        <w:pStyle w:val="Textbody"/>
        <w:rPr>
          <w:b/>
          <w:bCs/>
        </w:rPr>
      </w:pPr>
    </w:p>
    <w:p w14:paraId="373693CC" w14:textId="43D0BEB8" w:rsidR="00ED49F3" w:rsidRDefault="00ED49F3">
      <w:pPr>
        <w:pStyle w:val="Textbody"/>
        <w:rPr>
          <w:b/>
          <w:bCs/>
        </w:rPr>
      </w:pPr>
    </w:p>
    <w:p w14:paraId="3A3168DE" w14:textId="1490E631" w:rsidR="00ED49F3" w:rsidRDefault="00ED49F3">
      <w:pPr>
        <w:pStyle w:val="Textbody"/>
        <w:rPr>
          <w:b/>
          <w:bCs/>
        </w:rPr>
      </w:pPr>
    </w:p>
    <w:p w14:paraId="15DB9B9A" w14:textId="77777777" w:rsidR="00ED49F3" w:rsidRDefault="00ED49F3">
      <w:pPr>
        <w:pStyle w:val="Textbody"/>
        <w:rPr>
          <w:b/>
          <w:bCs/>
        </w:rPr>
      </w:pPr>
    </w:p>
    <w:p w14:paraId="38E9233B" w14:textId="77777777" w:rsidR="00ED49F3" w:rsidRDefault="00ED49F3">
      <w:pPr>
        <w:rPr>
          <w:rFonts w:cs="Mangal"/>
          <w:sz w:val="20"/>
          <w:szCs w:val="20"/>
        </w:rPr>
      </w:pPr>
      <w:r>
        <w:rPr>
          <w:sz w:val="20"/>
          <w:szCs w:val="20"/>
        </w:rPr>
        <w:br w:type="page"/>
      </w:r>
    </w:p>
    <w:p w14:paraId="1522171B" w14:textId="77777777" w:rsidR="00ED49F3" w:rsidRDefault="00ED49F3">
      <w:pPr>
        <w:pStyle w:val="TM1"/>
        <w:tabs>
          <w:tab w:val="right" w:leader="dot" w:pos="9628"/>
        </w:tabs>
        <w:rPr>
          <w:sz w:val="20"/>
          <w:szCs w:val="20"/>
        </w:rPr>
      </w:pPr>
    </w:p>
    <w:p w14:paraId="5834F4F7" w14:textId="77777777" w:rsidR="00ED49F3" w:rsidRDefault="00ED49F3">
      <w:pPr>
        <w:pStyle w:val="TM1"/>
        <w:tabs>
          <w:tab w:val="right" w:leader="dot" w:pos="9628"/>
        </w:tabs>
        <w:rPr>
          <w:sz w:val="20"/>
          <w:szCs w:val="20"/>
        </w:rPr>
      </w:pPr>
    </w:p>
    <w:p w14:paraId="0DD8E280" w14:textId="57DD19D5" w:rsidR="00ED49F3" w:rsidRDefault="00437F74">
      <w:pPr>
        <w:pStyle w:val="TM1"/>
        <w:tabs>
          <w:tab w:val="right" w:leader="dot" w:pos="9628"/>
        </w:tabs>
        <w:rPr>
          <w:noProof/>
        </w:rPr>
      </w:pPr>
      <w:r>
        <w:rPr>
          <w:sz w:val="20"/>
          <w:szCs w:val="20"/>
        </w:rPr>
        <w:fldChar w:fldCharType="begin"/>
      </w:r>
      <w:r>
        <w:instrText xml:space="preserve"> TOC \o "1-9" \u \l 1-9 \h </w:instrText>
      </w:r>
      <w:r>
        <w:rPr>
          <w:sz w:val="20"/>
          <w:szCs w:val="20"/>
        </w:rPr>
        <w:fldChar w:fldCharType="separate"/>
      </w:r>
      <w:hyperlink w:anchor="_Toc187675453" w:history="1">
        <w:r w:rsidR="00ED49F3" w:rsidRPr="00B1414B">
          <w:rPr>
            <w:rStyle w:val="Lienhypertexte"/>
            <w:noProof/>
          </w:rPr>
          <w:t>Introduction</w:t>
        </w:r>
        <w:r w:rsidR="00ED49F3">
          <w:rPr>
            <w:noProof/>
          </w:rPr>
          <w:tab/>
        </w:r>
        <w:r w:rsidR="00ED49F3">
          <w:rPr>
            <w:noProof/>
          </w:rPr>
          <w:fldChar w:fldCharType="begin"/>
        </w:r>
        <w:r w:rsidR="00ED49F3">
          <w:rPr>
            <w:noProof/>
          </w:rPr>
          <w:instrText xml:space="preserve"> PAGEREF _Toc187675453 \h </w:instrText>
        </w:r>
        <w:r w:rsidR="00ED49F3">
          <w:rPr>
            <w:noProof/>
          </w:rPr>
        </w:r>
        <w:r w:rsidR="00ED49F3">
          <w:rPr>
            <w:noProof/>
          </w:rPr>
          <w:fldChar w:fldCharType="separate"/>
        </w:r>
        <w:r w:rsidR="00ED49F3">
          <w:rPr>
            <w:noProof/>
          </w:rPr>
          <w:t>3</w:t>
        </w:r>
        <w:r w:rsidR="00ED49F3">
          <w:rPr>
            <w:noProof/>
          </w:rPr>
          <w:fldChar w:fldCharType="end"/>
        </w:r>
      </w:hyperlink>
    </w:p>
    <w:p w14:paraId="5476050B" w14:textId="0173F462" w:rsidR="00ED49F3" w:rsidRDefault="00ED49F3">
      <w:pPr>
        <w:pStyle w:val="TM1"/>
        <w:tabs>
          <w:tab w:val="left" w:pos="440"/>
          <w:tab w:val="right" w:leader="dot" w:pos="9628"/>
        </w:tabs>
        <w:rPr>
          <w:noProof/>
        </w:rPr>
      </w:pPr>
      <w:hyperlink w:anchor="_Toc187675454" w:history="1">
        <w:r w:rsidRPr="00B1414B">
          <w:rPr>
            <w:rStyle w:val="Lienhypertexte"/>
            <w:noProof/>
          </w:rPr>
          <w:t>I -</w:t>
        </w:r>
        <w:r>
          <w:rPr>
            <w:noProof/>
          </w:rPr>
          <w:tab/>
        </w:r>
        <w:r w:rsidRPr="00B1414B">
          <w:rPr>
            <w:rStyle w:val="Lienhypertexte"/>
            <w:noProof/>
          </w:rPr>
          <w:t>Répartition des responsabilités</w:t>
        </w:r>
        <w:r>
          <w:rPr>
            <w:noProof/>
          </w:rPr>
          <w:tab/>
        </w:r>
        <w:r>
          <w:rPr>
            <w:noProof/>
          </w:rPr>
          <w:fldChar w:fldCharType="begin"/>
        </w:r>
        <w:r>
          <w:rPr>
            <w:noProof/>
          </w:rPr>
          <w:instrText xml:space="preserve"> PAGEREF _Toc187675454 \h </w:instrText>
        </w:r>
        <w:r>
          <w:rPr>
            <w:noProof/>
          </w:rPr>
        </w:r>
        <w:r>
          <w:rPr>
            <w:noProof/>
          </w:rPr>
          <w:fldChar w:fldCharType="separate"/>
        </w:r>
        <w:r>
          <w:rPr>
            <w:noProof/>
          </w:rPr>
          <w:t>3</w:t>
        </w:r>
        <w:r>
          <w:rPr>
            <w:noProof/>
          </w:rPr>
          <w:fldChar w:fldCharType="end"/>
        </w:r>
      </w:hyperlink>
    </w:p>
    <w:p w14:paraId="4EAC47D8" w14:textId="05EEF8A5" w:rsidR="00ED49F3" w:rsidRDefault="00ED49F3">
      <w:pPr>
        <w:pStyle w:val="TM1"/>
        <w:tabs>
          <w:tab w:val="left" w:pos="660"/>
          <w:tab w:val="right" w:leader="dot" w:pos="9628"/>
        </w:tabs>
        <w:rPr>
          <w:noProof/>
        </w:rPr>
      </w:pPr>
      <w:hyperlink w:anchor="_Toc187675455" w:history="1">
        <w:r w:rsidRPr="00B1414B">
          <w:rPr>
            <w:rStyle w:val="Lienhypertexte"/>
            <w:noProof/>
          </w:rPr>
          <w:t>II -</w:t>
        </w:r>
        <w:r>
          <w:rPr>
            <w:noProof/>
          </w:rPr>
          <w:tab/>
        </w:r>
        <w:r w:rsidRPr="00B1414B">
          <w:rPr>
            <w:rStyle w:val="Lienhypertexte"/>
            <w:noProof/>
          </w:rPr>
          <w:t>Définition des classes de déchets</w:t>
        </w:r>
        <w:r>
          <w:rPr>
            <w:noProof/>
          </w:rPr>
          <w:tab/>
        </w:r>
        <w:r>
          <w:rPr>
            <w:noProof/>
          </w:rPr>
          <w:fldChar w:fldCharType="begin"/>
        </w:r>
        <w:r>
          <w:rPr>
            <w:noProof/>
          </w:rPr>
          <w:instrText xml:space="preserve"> PAGEREF _Toc187675455 \h </w:instrText>
        </w:r>
        <w:r>
          <w:rPr>
            <w:noProof/>
          </w:rPr>
        </w:r>
        <w:r>
          <w:rPr>
            <w:noProof/>
          </w:rPr>
          <w:fldChar w:fldCharType="separate"/>
        </w:r>
        <w:r>
          <w:rPr>
            <w:noProof/>
          </w:rPr>
          <w:t>3</w:t>
        </w:r>
        <w:r>
          <w:rPr>
            <w:noProof/>
          </w:rPr>
          <w:fldChar w:fldCharType="end"/>
        </w:r>
      </w:hyperlink>
    </w:p>
    <w:p w14:paraId="424D02EF" w14:textId="3764182F" w:rsidR="00ED49F3" w:rsidRDefault="00ED49F3">
      <w:pPr>
        <w:pStyle w:val="TM1"/>
        <w:tabs>
          <w:tab w:val="left" w:pos="660"/>
          <w:tab w:val="right" w:leader="dot" w:pos="9628"/>
        </w:tabs>
        <w:rPr>
          <w:noProof/>
        </w:rPr>
      </w:pPr>
      <w:hyperlink w:anchor="_Toc187675456" w:history="1">
        <w:r w:rsidRPr="00B1414B">
          <w:rPr>
            <w:rStyle w:val="Lienhypertexte"/>
            <w:noProof/>
          </w:rPr>
          <w:t>III -</w:t>
        </w:r>
        <w:r>
          <w:rPr>
            <w:noProof/>
          </w:rPr>
          <w:tab/>
        </w:r>
        <w:r w:rsidRPr="00B1414B">
          <w:rPr>
            <w:rStyle w:val="Lienhypertexte"/>
            <w:noProof/>
          </w:rPr>
          <w:t>Définition des destinations des déchets de chantier</w:t>
        </w:r>
        <w:r>
          <w:rPr>
            <w:noProof/>
          </w:rPr>
          <w:tab/>
        </w:r>
        <w:r>
          <w:rPr>
            <w:noProof/>
          </w:rPr>
          <w:fldChar w:fldCharType="begin"/>
        </w:r>
        <w:r>
          <w:rPr>
            <w:noProof/>
          </w:rPr>
          <w:instrText xml:space="preserve"> PAGEREF _Toc187675456 \h </w:instrText>
        </w:r>
        <w:r>
          <w:rPr>
            <w:noProof/>
          </w:rPr>
        </w:r>
        <w:r>
          <w:rPr>
            <w:noProof/>
          </w:rPr>
          <w:fldChar w:fldCharType="separate"/>
        </w:r>
        <w:r>
          <w:rPr>
            <w:noProof/>
          </w:rPr>
          <w:t>3</w:t>
        </w:r>
        <w:r>
          <w:rPr>
            <w:noProof/>
          </w:rPr>
          <w:fldChar w:fldCharType="end"/>
        </w:r>
      </w:hyperlink>
    </w:p>
    <w:p w14:paraId="1F766005" w14:textId="33631E51" w:rsidR="00ED49F3" w:rsidRDefault="00ED49F3">
      <w:pPr>
        <w:pStyle w:val="TM1"/>
        <w:tabs>
          <w:tab w:val="left" w:pos="660"/>
          <w:tab w:val="right" w:leader="dot" w:pos="9628"/>
        </w:tabs>
        <w:rPr>
          <w:noProof/>
        </w:rPr>
      </w:pPr>
      <w:hyperlink w:anchor="_Toc187675457" w:history="1">
        <w:r w:rsidRPr="00B1414B">
          <w:rPr>
            <w:rStyle w:val="Lienhypertexte"/>
            <w:noProof/>
          </w:rPr>
          <w:t>IV -</w:t>
        </w:r>
        <w:r>
          <w:rPr>
            <w:noProof/>
          </w:rPr>
          <w:tab/>
        </w:r>
        <w:r w:rsidRPr="00B1414B">
          <w:rPr>
            <w:rStyle w:val="Lienhypertexte"/>
            <w:noProof/>
          </w:rPr>
          <w:t>Dispositions de contrôle</w:t>
        </w:r>
        <w:r>
          <w:rPr>
            <w:noProof/>
          </w:rPr>
          <w:tab/>
        </w:r>
        <w:r>
          <w:rPr>
            <w:noProof/>
          </w:rPr>
          <w:fldChar w:fldCharType="begin"/>
        </w:r>
        <w:r>
          <w:rPr>
            <w:noProof/>
          </w:rPr>
          <w:instrText xml:space="preserve"> PAGEREF _Toc187675457 \h </w:instrText>
        </w:r>
        <w:r>
          <w:rPr>
            <w:noProof/>
          </w:rPr>
        </w:r>
        <w:r>
          <w:rPr>
            <w:noProof/>
          </w:rPr>
          <w:fldChar w:fldCharType="separate"/>
        </w:r>
        <w:r>
          <w:rPr>
            <w:noProof/>
          </w:rPr>
          <w:t>4</w:t>
        </w:r>
        <w:r>
          <w:rPr>
            <w:noProof/>
          </w:rPr>
          <w:fldChar w:fldCharType="end"/>
        </w:r>
      </w:hyperlink>
    </w:p>
    <w:p w14:paraId="1B4E6773" w14:textId="10459259" w:rsidR="00ED49F3" w:rsidRDefault="00ED49F3">
      <w:pPr>
        <w:pStyle w:val="TM2"/>
        <w:tabs>
          <w:tab w:val="left" w:pos="1100"/>
          <w:tab w:val="right" w:leader="dot" w:pos="9628"/>
        </w:tabs>
        <w:rPr>
          <w:noProof/>
        </w:rPr>
      </w:pPr>
      <w:hyperlink w:anchor="_Toc187675458" w:history="1">
        <w:r w:rsidRPr="00B1414B">
          <w:rPr>
            <w:rStyle w:val="Lienhypertexte"/>
            <w:noProof/>
          </w:rPr>
          <w:t>IV.1 -</w:t>
        </w:r>
        <w:r>
          <w:rPr>
            <w:noProof/>
          </w:rPr>
          <w:tab/>
        </w:r>
        <w:r w:rsidRPr="00B1414B">
          <w:rPr>
            <w:rStyle w:val="Lienhypertexte"/>
            <w:noProof/>
          </w:rPr>
          <w:t>Contrôle interne</w:t>
        </w:r>
        <w:r>
          <w:rPr>
            <w:noProof/>
          </w:rPr>
          <w:tab/>
        </w:r>
        <w:r>
          <w:rPr>
            <w:noProof/>
          </w:rPr>
          <w:fldChar w:fldCharType="begin"/>
        </w:r>
        <w:r>
          <w:rPr>
            <w:noProof/>
          </w:rPr>
          <w:instrText xml:space="preserve"> PAGEREF _Toc187675458 \h </w:instrText>
        </w:r>
        <w:r>
          <w:rPr>
            <w:noProof/>
          </w:rPr>
        </w:r>
        <w:r>
          <w:rPr>
            <w:noProof/>
          </w:rPr>
          <w:fldChar w:fldCharType="separate"/>
        </w:r>
        <w:r>
          <w:rPr>
            <w:noProof/>
          </w:rPr>
          <w:t>4</w:t>
        </w:r>
        <w:r>
          <w:rPr>
            <w:noProof/>
          </w:rPr>
          <w:fldChar w:fldCharType="end"/>
        </w:r>
      </w:hyperlink>
    </w:p>
    <w:p w14:paraId="29E37322" w14:textId="2BCCC0C5" w:rsidR="00ED49F3" w:rsidRDefault="00ED49F3">
      <w:pPr>
        <w:pStyle w:val="TM2"/>
        <w:tabs>
          <w:tab w:val="left" w:pos="1100"/>
          <w:tab w:val="right" w:leader="dot" w:pos="9628"/>
        </w:tabs>
        <w:rPr>
          <w:noProof/>
        </w:rPr>
      </w:pPr>
      <w:hyperlink w:anchor="_Toc187675459" w:history="1">
        <w:r w:rsidRPr="00B1414B">
          <w:rPr>
            <w:rStyle w:val="Lienhypertexte"/>
            <w:noProof/>
          </w:rPr>
          <w:t>IV.2 -</w:t>
        </w:r>
        <w:r>
          <w:rPr>
            <w:noProof/>
          </w:rPr>
          <w:tab/>
        </w:r>
        <w:r w:rsidRPr="00B1414B">
          <w:rPr>
            <w:rStyle w:val="Lienhypertexte"/>
            <w:noProof/>
          </w:rPr>
          <w:t>Contrôle externe</w:t>
        </w:r>
        <w:r>
          <w:rPr>
            <w:noProof/>
          </w:rPr>
          <w:tab/>
        </w:r>
        <w:r>
          <w:rPr>
            <w:noProof/>
          </w:rPr>
          <w:fldChar w:fldCharType="begin"/>
        </w:r>
        <w:r>
          <w:rPr>
            <w:noProof/>
          </w:rPr>
          <w:instrText xml:space="preserve"> PAGEREF _Toc187675459 \h </w:instrText>
        </w:r>
        <w:r>
          <w:rPr>
            <w:noProof/>
          </w:rPr>
        </w:r>
        <w:r>
          <w:rPr>
            <w:noProof/>
          </w:rPr>
          <w:fldChar w:fldCharType="separate"/>
        </w:r>
        <w:r>
          <w:rPr>
            <w:noProof/>
          </w:rPr>
          <w:t>4</w:t>
        </w:r>
        <w:r>
          <w:rPr>
            <w:noProof/>
          </w:rPr>
          <w:fldChar w:fldCharType="end"/>
        </w:r>
      </w:hyperlink>
    </w:p>
    <w:p w14:paraId="15C4965A" w14:textId="5683CEBE" w:rsidR="00ED49F3" w:rsidRDefault="00ED49F3">
      <w:pPr>
        <w:pStyle w:val="TM2"/>
        <w:tabs>
          <w:tab w:val="left" w:pos="1100"/>
          <w:tab w:val="right" w:leader="dot" w:pos="9628"/>
        </w:tabs>
        <w:rPr>
          <w:noProof/>
        </w:rPr>
      </w:pPr>
      <w:hyperlink w:anchor="_Toc187675460" w:history="1">
        <w:r w:rsidRPr="00B1414B">
          <w:rPr>
            <w:rStyle w:val="Lienhypertexte"/>
            <w:noProof/>
          </w:rPr>
          <w:t>IV.3 -</w:t>
        </w:r>
        <w:r>
          <w:rPr>
            <w:noProof/>
          </w:rPr>
          <w:tab/>
        </w:r>
        <w:r w:rsidRPr="00B1414B">
          <w:rPr>
            <w:rStyle w:val="Lienhypertexte"/>
            <w:noProof/>
          </w:rPr>
          <w:t>Laboratoires</w:t>
        </w:r>
        <w:r>
          <w:rPr>
            <w:noProof/>
          </w:rPr>
          <w:tab/>
        </w:r>
        <w:r>
          <w:rPr>
            <w:noProof/>
          </w:rPr>
          <w:fldChar w:fldCharType="begin"/>
        </w:r>
        <w:r>
          <w:rPr>
            <w:noProof/>
          </w:rPr>
          <w:instrText xml:space="preserve"> PAGEREF _Toc187675460 \h </w:instrText>
        </w:r>
        <w:r>
          <w:rPr>
            <w:noProof/>
          </w:rPr>
        </w:r>
        <w:r>
          <w:rPr>
            <w:noProof/>
          </w:rPr>
          <w:fldChar w:fldCharType="separate"/>
        </w:r>
        <w:r>
          <w:rPr>
            <w:noProof/>
          </w:rPr>
          <w:t>4</w:t>
        </w:r>
        <w:r>
          <w:rPr>
            <w:noProof/>
          </w:rPr>
          <w:fldChar w:fldCharType="end"/>
        </w:r>
      </w:hyperlink>
    </w:p>
    <w:p w14:paraId="31C8BA9C" w14:textId="18630D6A" w:rsidR="00ED49F3" w:rsidRDefault="00ED49F3">
      <w:pPr>
        <w:pStyle w:val="TM1"/>
        <w:tabs>
          <w:tab w:val="left" w:pos="660"/>
          <w:tab w:val="right" w:leader="dot" w:pos="9628"/>
        </w:tabs>
        <w:rPr>
          <w:noProof/>
        </w:rPr>
      </w:pPr>
      <w:hyperlink w:anchor="_Toc187675461" w:history="1">
        <w:r w:rsidRPr="00B1414B">
          <w:rPr>
            <w:rStyle w:val="Lienhypertexte"/>
            <w:noProof/>
          </w:rPr>
          <w:t>V -</w:t>
        </w:r>
        <w:r>
          <w:rPr>
            <w:noProof/>
          </w:rPr>
          <w:tab/>
        </w:r>
        <w:r w:rsidRPr="00B1414B">
          <w:rPr>
            <w:rStyle w:val="Lienhypertexte"/>
            <w:noProof/>
          </w:rPr>
          <w:t>Tableau récapitulatif des déchets de chantier</w:t>
        </w:r>
        <w:r>
          <w:rPr>
            <w:noProof/>
          </w:rPr>
          <w:tab/>
        </w:r>
        <w:r>
          <w:rPr>
            <w:noProof/>
          </w:rPr>
          <w:fldChar w:fldCharType="begin"/>
        </w:r>
        <w:r>
          <w:rPr>
            <w:noProof/>
          </w:rPr>
          <w:instrText xml:space="preserve"> PAGEREF _Toc187675461 \h </w:instrText>
        </w:r>
        <w:r>
          <w:rPr>
            <w:noProof/>
          </w:rPr>
        </w:r>
        <w:r>
          <w:rPr>
            <w:noProof/>
          </w:rPr>
          <w:fldChar w:fldCharType="separate"/>
        </w:r>
        <w:r>
          <w:rPr>
            <w:noProof/>
          </w:rPr>
          <w:t>4</w:t>
        </w:r>
        <w:r>
          <w:rPr>
            <w:noProof/>
          </w:rPr>
          <w:fldChar w:fldCharType="end"/>
        </w:r>
      </w:hyperlink>
    </w:p>
    <w:p w14:paraId="6AE3DD23" w14:textId="7CABCA2F" w:rsidR="00ED49F3" w:rsidRDefault="00437F74" w:rsidP="00ED49F3">
      <w:pPr>
        <w:pStyle w:val="Textbody"/>
      </w:pPr>
      <w:r>
        <w:rPr>
          <w:b/>
          <w:bCs/>
        </w:rPr>
        <w:fldChar w:fldCharType="end"/>
      </w:r>
    </w:p>
    <w:p w14:paraId="2D7748B9" w14:textId="7DF9955C" w:rsidR="007E18FF" w:rsidRDefault="00437F74">
      <w:pPr>
        <w:pStyle w:val="Titre1"/>
        <w:pageBreakBefore/>
        <w:numPr>
          <w:ilvl w:val="0"/>
          <w:numId w:val="0"/>
        </w:numPr>
      </w:pPr>
      <w:bookmarkStart w:id="0" w:name="_Toc187675453"/>
      <w:r>
        <w:lastRenderedPageBreak/>
        <w:t>Introduction</w:t>
      </w:r>
      <w:bookmarkEnd w:id="0"/>
    </w:p>
    <w:p w14:paraId="542DBF17" w14:textId="57AAF4D1" w:rsidR="007E18FF" w:rsidRDefault="00437F74">
      <w:pPr>
        <w:pStyle w:val="Textbody"/>
      </w:pPr>
      <w:r>
        <w:t xml:space="preserve">Le présent document expose les dispositions prises par l’entreprise __________________________ pour assurer le respect des textes réglementaires en vigueur dans le suivi et l’évacuation des déchets de chantier des travaux de l’opération suivante : </w:t>
      </w:r>
      <w:r w:rsidR="00ED49F3">
        <w:t xml:space="preserve"> </w:t>
      </w:r>
      <w:r w:rsidR="00ED49F3" w:rsidRPr="00ED49F3">
        <w:rPr>
          <w:b/>
          <w:bCs/>
        </w:rPr>
        <w:t>Réhabilitation de la RN 12 Y PR 26+400 au PR 26+600</w:t>
      </w:r>
      <w:r w:rsidRPr="00437F74">
        <w:rPr>
          <w:b/>
          <w:bCs/>
        </w:rPr>
        <w:t>.</w:t>
      </w:r>
    </w:p>
    <w:p w14:paraId="7A08C60B" w14:textId="77777777" w:rsidR="007E18FF" w:rsidRDefault="007E18FF">
      <w:pPr>
        <w:pStyle w:val="Textbody"/>
      </w:pPr>
    </w:p>
    <w:p w14:paraId="3DA29B64" w14:textId="77777777" w:rsidR="007E18FF" w:rsidRDefault="00437F74">
      <w:pPr>
        <w:pStyle w:val="Textbody"/>
      </w:pPr>
      <w:r>
        <w:t>Ce document résume la classification des déchets couramment évacués des chantiers de travaux routiers et en précise les dispositions de suivi et les filières d’évacuation.</w:t>
      </w:r>
    </w:p>
    <w:p w14:paraId="22302DDC" w14:textId="77777777" w:rsidR="007E18FF" w:rsidRDefault="007E18FF">
      <w:pPr>
        <w:pStyle w:val="Textbody"/>
      </w:pPr>
    </w:p>
    <w:p w14:paraId="2D5C254B" w14:textId="77777777" w:rsidR="007E18FF" w:rsidRDefault="00437F74">
      <w:pPr>
        <w:pStyle w:val="Titre1"/>
      </w:pPr>
      <w:bookmarkStart w:id="1" w:name="_Toc187675454"/>
      <w:r>
        <w:t>Répartition des responsabilités</w:t>
      </w:r>
      <w:bookmarkEnd w:id="1"/>
    </w:p>
    <w:p w14:paraId="430F75F4" w14:textId="77777777" w:rsidR="007E18FF" w:rsidRDefault="00437F74">
      <w:pPr>
        <w:pStyle w:val="Textbody"/>
      </w:pPr>
      <w:r>
        <w:t>Le chantier est organisé en unité autonome sous l’autorité d’un responsable de l’exécution du chantier. Il dépend directement du mandataire du marché.</w:t>
      </w:r>
    </w:p>
    <w:p w14:paraId="432CE4F6" w14:textId="77777777" w:rsidR="007E18FF" w:rsidRDefault="00437F74">
      <w:pPr>
        <w:pStyle w:val="Textbody"/>
      </w:pPr>
      <w:r>
        <w:t>La direction du chantier est confiée au conducteur de travaux qui fixe les destinations et modalités de suivi des déchets de chantier.</w:t>
      </w:r>
    </w:p>
    <w:p w14:paraId="2C588A9C" w14:textId="77777777" w:rsidR="007E18FF" w:rsidRDefault="00437F74">
      <w:pPr>
        <w:pStyle w:val="Textbody"/>
      </w:pPr>
      <w:r>
        <w:t>Le choix des destinations des déchets de chantier est sous la responsabilité opérationnelle du chef de chantier.</w:t>
      </w:r>
    </w:p>
    <w:p w14:paraId="5BCA42F5" w14:textId="77777777" w:rsidR="007E18FF" w:rsidRDefault="007E18FF">
      <w:pPr>
        <w:pStyle w:val="Textbody"/>
      </w:pPr>
    </w:p>
    <w:p w14:paraId="7977AB5C" w14:textId="77777777" w:rsidR="007E18FF" w:rsidRDefault="00437F74">
      <w:pPr>
        <w:pStyle w:val="Textbody"/>
      </w:pPr>
      <w:r>
        <w:t>Les moyens extérieurs à la disposition du chantier pour la gestion des déchets :</w:t>
      </w:r>
    </w:p>
    <w:p w14:paraId="7EF5DA02" w14:textId="77777777" w:rsidR="007E18FF" w:rsidRDefault="00437F74">
      <w:pPr>
        <w:pStyle w:val="Textbody"/>
      </w:pPr>
      <w:r>
        <w:t>______________________________________________________________________________________</w:t>
      </w:r>
    </w:p>
    <w:p w14:paraId="38B98D04" w14:textId="77777777" w:rsidR="007E18FF" w:rsidRDefault="00437F74">
      <w:pPr>
        <w:pStyle w:val="Textbody"/>
      </w:pPr>
      <w:r>
        <w:t>______________________________________________________________________________________</w:t>
      </w:r>
    </w:p>
    <w:p w14:paraId="4163A9E5" w14:textId="77777777" w:rsidR="007E18FF" w:rsidRDefault="00437F74">
      <w:pPr>
        <w:pStyle w:val="Textbody"/>
      </w:pPr>
      <w:r>
        <w:t>______________________________________________________________________________________</w:t>
      </w:r>
    </w:p>
    <w:p w14:paraId="27798F0F" w14:textId="77777777" w:rsidR="007E18FF" w:rsidRDefault="00437F74">
      <w:pPr>
        <w:pStyle w:val="Textbody"/>
      </w:pPr>
      <w:r>
        <w:t>______________________________________________________________________________________</w:t>
      </w:r>
    </w:p>
    <w:p w14:paraId="7D71F642" w14:textId="77777777" w:rsidR="007E18FF" w:rsidRDefault="00437F74">
      <w:pPr>
        <w:pStyle w:val="Textbody"/>
      </w:pPr>
      <w:r>
        <w:t>______________________________________________________________________________________</w:t>
      </w:r>
    </w:p>
    <w:p w14:paraId="18012A94" w14:textId="77777777" w:rsidR="007E18FF" w:rsidRDefault="00437F74">
      <w:pPr>
        <w:pStyle w:val="Textbody"/>
      </w:pPr>
      <w:r>
        <w:t>______________________________________________________________________________________</w:t>
      </w:r>
    </w:p>
    <w:p w14:paraId="7FCB391E" w14:textId="77777777" w:rsidR="007E18FF" w:rsidRDefault="00437F74">
      <w:pPr>
        <w:pStyle w:val="Textbody"/>
      </w:pPr>
      <w:r>
        <w:t>______________________________________________________________________________________</w:t>
      </w:r>
    </w:p>
    <w:p w14:paraId="325B2D6F" w14:textId="77777777" w:rsidR="007E18FF" w:rsidRDefault="007E18FF">
      <w:pPr>
        <w:pStyle w:val="Textbody"/>
      </w:pPr>
    </w:p>
    <w:p w14:paraId="6EEAC6C6" w14:textId="77777777" w:rsidR="007E18FF" w:rsidRDefault="00437F74">
      <w:pPr>
        <w:pStyle w:val="Titre1"/>
      </w:pPr>
      <w:bookmarkStart w:id="2" w:name="_Toc187675455"/>
      <w:r>
        <w:t>Définition des classes de déchets</w:t>
      </w:r>
      <w:bookmarkEnd w:id="2"/>
    </w:p>
    <w:p w14:paraId="3FD896C3" w14:textId="77777777" w:rsidR="007E18FF" w:rsidRDefault="00437F74">
      <w:pPr>
        <w:pStyle w:val="Textbody"/>
      </w:pPr>
      <w:r>
        <w:t>Définition réglementaire des classes de déchets et de leur destination :</w:t>
      </w:r>
    </w:p>
    <w:p w14:paraId="731C81FD" w14:textId="77777777" w:rsidR="007E18FF" w:rsidRDefault="00437F74">
      <w:pPr>
        <w:pStyle w:val="Textbody"/>
      </w:pPr>
      <w:r>
        <w:t>Voir tableau ci-après paragraphe V.</w:t>
      </w:r>
    </w:p>
    <w:p w14:paraId="27B3CE3C" w14:textId="77777777" w:rsidR="007E18FF" w:rsidRDefault="00437F74">
      <w:pPr>
        <w:pStyle w:val="Textbody"/>
      </w:pPr>
      <w:r>
        <w:t>Tout matériau découvert en cours d’exécution des travaux non listés dans ce tableau fera l’objet d’une analyse par un laboratoire interne ou externe qui en déterminera les dispositions de suivi et d’évacuation.</w:t>
      </w:r>
    </w:p>
    <w:p w14:paraId="37FB8912" w14:textId="77777777" w:rsidR="007E18FF" w:rsidRDefault="007E18FF">
      <w:pPr>
        <w:pStyle w:val="Textbody"/>
      </w:pPr>
    </w:p>
    <w:p w14:paraId="47C656FF" w14:textId="77777777" w:rsidR="007E18FF" w:rsidRDefault="00437F74">
      <w:pPr>
        <w:pStyle w:val="Titre1"/>
      </w:pPr>
      <w:bookmarkStart w:id="3" w:name="_Toc187675456"/>
      <w:r>
        <w:t>Définition des destinations des déchets de chantier</w:t>
      </w:r>
      <w:bookmarkEnd w:id="3"/>
    </w:p>
    <w:p w14:paraId="1F045E37" w14:textId="77777777" w:rsidR="007E18FF" w:rsidRDefault="00437F74">
      <w:pPr>
        <w:pStyle w:val="Textbody"/>
      </w:pPr>
      <w:r>
        <w:t>Pour chaque type de déchets, le conducteur de travaux responsable du chantier, définira la destination au préalable.</w:t>
      </w:r>
    </w:p>
    <w:p w14:paraId="059F14D6" w14:textId="77777777" w:rsidR="007E18FF" w:rsidRDefault="00437F74">
      <w:pPr>
        <w:pStyle w:val="Textbody"/>
      </w:pPr>
      <w:r>
        <w:t>Les volumes (nombre de porteurs et type) évacués seront répertoriés par destination quotidiennement par le chef de chantier.</w:t>
      </w:r>
    </w:p>
    <w:p w14:paraId="42EF19B4" w14:textId="77777777" w:rsidR="007E18FF" w:rsidRDefault="00437F74">
      <w:pPr>
        <w:pStyle w:val="Textbody"/>
      </w:pPr>
      <w:r>
        <w:t>Un bilan des évacuations de déchets du chantier sera remis au maître d’œuvre en fin d’opération.</w:t>
      </w:r>
    </w:p>
    <w:p w14:paraId="69B9DE90" w14:textId="77777777" w:rsidR="007E18FF" w:rsidRDefault="00437F74">
      <w:pPr>
        <w:pStyle w:val="Textbody"/>
      </w:pPr>
      <w:r>
        <w:t>Dans la présente opération, les principaux déchets à évacuer tels que définis dans le CCTP et leur destination prévisible sont listés dans le tableau ci-après :</w:t>
      </w:r>
    </w:p>
    <w:p w14:paraId="1A9C21CB" w14:textId="6D1E4577" w:rsidR="007E18FF" w:rsidRDefault="007E18FF">
      <w:pPr>
        <w:pStyle w:val="Textbody"/>
      </w:pPr>
    </w:p>
    <w:p w14:paraId="3D5BD846" w14:textId="77777777" w:rsidR="00ED49F3" w:rsidRDefault="00ED49F3">
      <w:pPr>
        <w:pStyle w:val="Textbody"/>
      </w:pPr>
    </w:p>
    <w:tbl>
      <w:tblPr>
        <w:tblW w:w="9360" w:type="dxa"/>
        <w:tblInd w:w="291" w:type="dxa"/>
        <w:tblLayout w:type="fixed"/>
        <w:tblCellMar>
          <w:left w:w="10" w:type="dxa"/>
          <w:right w:w="10" w:type="dxa"/>
        </w:tblCellMar>
        <w:tblLook w:val="0000" w:firstRow="0" w:lastRow="0" w:firstColumn="0" w:lastColumn="0" w:noHBand="0" w:noVBand="0"/>
      </w:tblPr>
      <w:tblGrid>
        <w:gridCol w:w="1872"/>
        <w:gridCol w:w="1872"/>
        <w:gridCol w:w="1872"/>
        <w:gridCol w:w="1872"/>
        <w:gridCol w:w="1872"/>
      </w:tblGrid>
      <w:tr w:rsidR="007E18FF" w14:paraId="25C09C5F" w14:textId="77777777">
        <w:tc>
          <w:tcPr>
            <w:tcW w:w="187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72C9164D" w14:textId="77777777" w:rsidR="007E18FF" w:rsidRDefault="00437F74">
            <w:pPr>
              <w:pStyle w:val="TableContents"/>
              <w:jc w:val="center"/>
            </w:pPr>
            <w:r>
              <w:lastRenderedPageBreak/>
              <w:t>Description du déchet</w:t>
            </w:r>
          </w:p>
        </w:tc>
        <w:tc>
          <w:tcPr>
            <w:tcW w:w="187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27697299" w14:textId="77777777" w:rsidR="007E18FF" w:rsidRDefault="00437F74">
            <w:pPr>
              <w:pStyle w:val="TableContents"/>
              <w:jc w:val="center"/>
            </w:pPr>
            <w:r>
              <w:t>Méthode de tri</w:t>
            </w:r>
          </w:p>
        </w:tc>
        <w:tc>
          <w:tcPr>
            <w:tcW w:w="187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35E1D58" w14:textId="77777777" w:rsidR="007E18FF" w:rsidRDefault="00437F74">
            <w:pPr>
              <w:pStyle w:val="TableContents"/>
              <w:jc w:val="center"/>
            </w:pPr>
            <w:r>
              <w:t>Moyen de transport</w:t>
            </w:r>
          </w:p>
        </w:tc>
        <w:tc>
          <w:tcPr>
            <w:tcW w:w="1872" w:type="dxa"/>
            <w:tcBorders>
              <w:top w:val="single" w:sz="2" w:space="0" w:color="000000"/>
              <w:left w:val="single" w:sz="2" w:space="0" w:color="000000"/>
              <w:bottom w:val="single" w:sz="2" w:space="0" w:color="000000"/>
            </w:tcBorders>
            <w:tcMar>
              <w:top w:w="55" w:type="dxa"/>
              <w:left w:w="55" w:type="dxa"/>
              <w:bottom w:w="55" w:type="dxa"/>
              <w:right w:w="55" w:type="dxa"/>
            </w:tcMar>
            <w:vAlign w:val="center"/>
          </w:tcPr>
          <w:p w14:paraId="1C987091" w14:textId="77777777" w:rsidR="007E18FF" w:rsidRDefault="00437F74">
            <w:pPr>
              <w:pStyle w:val="TableContents"/>
              <w:jc w:val="center"/>
            </w:pPr>
            <w:r>
              <w:t>Destination</w:t>
            </w:r>
          </w:p>
        </w:tc>
        <w:tc>
          <w:tcPr>
            <w:tcW w:w="1872"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14:paraId="1F233BFA" w14:textId="77777777" w:rsidR="007E18FF" w:rsidRDefault="00437F74">
            <w:pPr>
              <w:pStyle w:val="TableContents"/>
              <w:jc w:val="center"/>
            </w:pPr>
            <w:r>
              <w:t>Traitement</w:t>
            </w:r>
          </w:p>
        </w:tc>
      </w:tr>
      <w:tr w:rsidR="007E18FF" w14:paraId="021684D4" w14:textId="77777777">
        <w:tc>
          <w:tcPr>
            <w:tcW w:w="1872" w:type="dxa"/>
            <w:tcBorders>
              <w:left w:val="single" w:sz="2" w:space="0" w:color="000000"/>
              <w:bottom w:val="single" w:sz="2" w:space="0" w:color="000000"/>
            </w:tcBorders>
            <w:tcMar>
              <w:top w:w="55" w:type="dxa"/>
              <w:left w:w="55" w:type="dxa"/>
              <w:bottom w:w="55" w:type="dxa"/>
              <w:right w:w="55" w:type="dxa"/>
            </w:tcMar>
            <w:vAlign w:val="center"/>
          </w:tcPr>
          <w:p w14:paraId="693BA4FA" w14:textId="77777777" w:rsidR="007E18FF" w:rsidRDefault="007E18FF">
            <w:pPr>
              <w:pStyle w:val="TableContents"/>
            </w:pPr>
          </w:p>
          <w:p w14:paraId="3034FB10" w14:textId="77777777" w:rsidR="007E18FF" w:rsidRDefault="007E18FF">
            <w:pPr>
              <w:pStyle w:val="TableContents"/>
            </w:pPr>
          </w:p>
          <w:p w14:paraId="7B907265"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6F8187DF"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57466787"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42FE8713" w14:textId="77777777" w:rsidR="007E18FF" w:rsidRDefault="007E18FF">
            <w:pPr>
              <w:pStyle w:val="TableContents"/>
            </w:pPr>
          </w:p>
        </w:tc>
        <w:tc>
          <w:tcPr>
            <w:tcW w:w="18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90C65C" w14:textId="77777777" w:rsidR="007E18FF" w:rsidRDefault="007E18FF">
            <w:pPr>
              <w:pStyle w:val="TableContents"/>
            </w:pPr>
          </w:p>
        </w:tc>
      </w:tr>
      <w:tr w:rsidR="007E18FF" w14:paraId="6C7CE165" w14:textId="77777777">
        <w:tc>
          <w:tcPr>
            <w:tcW w:w="1872" w:type="dxa"/>
            <w:tcBorders>
              <w:left w:val="single" w:sz="2" w:space="0" w:color="000000"/>
              <w:bottom w:val="single" w:sz="2" w:space="0" w:color="000000"/>
            </w:tcBorders>
            <w:tcMar>
              <w:top w:w="55" w:type="dxa"/>
              <w:left w:w="55" w:type="dxa"/>
              <w:bottom w:w="55" w:type="dxa"/>
              <w:right w:w="55" w:type="dxa"/>
            </w:tcMar>
            <w:vAlign w:val="center"/>
          </w:tcPr>
          <w:p w14:paraId="34F25E7B" w14:textId="77777777" w:rsidR="007E18FF" w:rsidRDefault="007E18FF">
            <w:pPr>
              <w:pStyle w:val="TableContents"/>
            </w:pPr>
          </w:p>
          <w:p w14:paraId="511F67A1" w14:textId="77777777" w:rsidR="007E18FF" w:rsidRDefault="007E18FF">
            <w:pPr>
              <w:pStyle w:val="TableContents"/>
            </w:pPr>
          </w:p>
          <w:p w14:paraId="3CD77F41"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3239AC71"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69993DFF"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36EC3C66" w14:textId="77777777" w:rsidR="007E18FF" w:rsidRDefault="007E18FF">
            <w:pPr>
              <w:pStyle w:val="TableContents"/>
            </w:pPr>
          </w:p>
        </w:tc>
        <w:tc>
          <w:tcPr>
            <w:tcW w:w="18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FD5E9F3" w14:textId="77777777" w:rsidR="007E18FF" w:rsidRDefault="007E18FF">
            <w:pPr>
              <w:pStyle w:val="TableContents"/>
            </w:pPr>
          </w:p>
        </w:tc>
      </w:tr>
      <w:tr w:rsidR="007E18FF" w14:paraId="686FDB23" w14:textId="77777777">
        <w:tc>
          <w:tcPr>
            <w:tcW w:w="1872" w:type="dxa"/>
            <w:tcBorders>
              <w:left w:val="single" w:sz="2" w:space="0" w:color="000000"/>
              <w:bottom w:val="single" w:sz="2" w:space="0" w:color="000000"/>
            </w:tcBorders>
            <w:tcMar>
              <w:top w:w="55" w:type="dxa"/>
              <w:left w:w="55" w:type="dxa"/>
              <w:bottom w:w="55" w:type="dxa"/>
              <w:right w:w="55" w:type="dxa"/>
            </w:tcMar>
            <w:vAlign w:val="center"/>
          </w:tcPr>
          <w:p w14:paraId="0DDFE2E5" w14:textId="77777777" w:rsidR="007E18FF" w:rsidRDefault="007E18FF">
            <w:pPr>
              <w:pStyle w:val="TableContents"/>
            </w:pPr>
          </w:p>
          <w:p w14:paraId="611020C3" w14:textId="77777777" w:rsidR="007E18FF" w:rsidRDefault="007E18FF">
            <w:pPr>
              <w:pStyle w:val="TableContents"/>
            </w:pPr>
          </w:p>
          <w:p w14:paraId="42C5D42C"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3A697513"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7ABD329D"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474BB3A3" w14:textId="77777777" w:rsidR="007E18FF" w:rsidRDefault="007E18FF">
            <w:pPr>
              <w:pStyle w:val="TableContents"/>
            </w:pPr>
          </w:p>
        </w:tc>
        <w:tc>
          <w:tcPr>
            <w:tcW w:w="18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E373EC5" w14:textId="77777777" w:rsidR="007E18FF" w:rsidRDefault="007E18FF">
            <w:pPr>
              <w:pStyle w:val="TableContents"/>
            </w:pPr>
          </w:p>
        </w:tc>
      </w:tr>
      <w:tr w:rsidR="007E18FF" w14:paraId="4A49DAF9" w14:textId="77777777">
        <w:tc>
          <w:tcPr>
            <w:tcW w:w="1872" w:type="dxa"/>
            <w:tcBorders>
              <w:left w:val="single" w:sz="2" w:space="0" w:color="000000"/>
              <w:bottom w:val="single" w:sz="2" w:space="0" w:color="000000"/>
            </w:tcBorders>
            <w:tcMar>
              <w:top w:w="55" w:type="dxa"/>
              <w:left w:w="55" w:type="dxa"/>
              <w:bottom w:w="55" w:type="dxa"/>
              <w:right w:w="55" w:type="dxa"/>
            </w:tcMar>
            <w:vAlign w:val="center"/>
          </w:tcPr>
          <w:p w14:paraId="2636CA2C" w14:textId="77777777" w:rsidR="007E18FF" w:rsidRDefault="007E18FF">
            <w:pPr>
              <w:pStyle w:val="TableContents"/>
            </w:pPr>
          </w:p>
          <w:p w14:paraId="1EF6C883" w14:textId="77777777" w:rsidR="007E18FF" w:rsidRDefault="007E18FF">
            <w:pPr>
              <w:pStyle w:val="TableContents"/>
            </w:pPr>
          </w:p>
          <w:p w14:paraId="7C770AD9"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7DE82F0C"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4F61E841" w14:textId="77777777" w:rsidR="007E18FF" w:rsidRDefault="007E18FF">
            <w:pPr>
              <w:pStyle w:val="TableContents"/>
            </w:pPr>
          </w:p>
        </w:tc>
        <w:tc>
          <w:tcPr>
            <w:tcW w:w="1872" w:type="dxa"/>
            <w:tcBorders>
              <w:left w:val="single" w:sz="2" w:space="0" w:color="000000"/>
              <w:bottom w:val="single" w:sz="2" w:space="0" w:color="000000"/>
            </w:tcBorders>
            <w:tcMar>
              <w:top w:w="55" w:type="dxa"/>
              <w:left w:w="55" w:type="dxa"/>
              <w:bottom w:w="55" w:type="dxa"/>
              <w:right w:w="55" w:type="dxa"/>
            </w:tcMar>
            <w:vAlign w:val="center"/>
          </w:tcPr>
          <w:p w14:paraId="7A17DA0E" w14:textId="77777777" w:rsidR="007E18FF" w:rsidRDefault="007E18FF">
            <w:pPr>
              <w:pStyle w:val="TableContents"/>
            </w:pPr>
          </w:p>
        </w:tc>
        <w:tc>
          <w:tcPr>
            <w:tcW w:w="187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0154021" w14:textId="77777777" w:rsidR="007E18FF" w:rsidRDefault="007E18FF">
            <w:pPr>
              <w:pStyle w:val="TableContents"/>
            </w:pPr>
          </w:p>
        </w:tc>
      </w:tr>
    </w:tbl>
    <w:p w14:paraId="0E626A03" w14:textId="77777777" w:rsidR="007E18FF" w:rsidRDefault="007E18FF">
      <w:pPr>
        <w:pStyle w:val="Standard"/>
      </w:pPr>
    </w:p>
    <w:p w14:paraId="7089B740" w14:textId="77777777" w:rsidR="007E18FF" w:rsidRDefault="00437F74">
      <w:pPr>
        <w:pStyle w:val="Titre1"/>
      </w:pPr>
      <w:bookmarkStart w:id="4" w:name="_Toc187675457"/>
      <w:r>
        <w:t>Dispositions de contrôle</w:t>
      </w:r>
      <w:bookmarkEnd w:id="4"/>
    </w:p>
    <w:p w14:paraId="6E47FAFF" w14:textId="77777777" w:rsidR="007E18FF" w:rsidRDefault="00437F74">
      <w:pPr>
        <w:pStyle w:val="Titre2"/>
      </w:pPr>
      <w:bookmarkStart w:id="5" w:name="_Toc187675458"/>
      <w:r>
        <w:t>Contrôle interne</w:t>
      </w:r>
      <w:bookmarkEnd w:id="5"/>
    </w:p>
    <w:p w14:paraId="5A750671" w14:textId="77777777" w:rsidR="007E18FF" w:rsidRDefault="00437F74">
      <w:pPr>
        <w:pStyle w:val="Textbody"/>
      </w:pPr>
      <w:r>
        <w:t>Le conducteur de travaux prépare la mise en œuvre des dispositions du SOSED.</w:t>
      </w:r>
    </w:p>
    <w:p w14:paraId="5684F5FD" w14:textId="77777777" w:rsidR="007E18FF" w:rsidRDefault="00437F74">
      <w:pPr>
        <w:pStyle w:val="Textbody"/>
      </w:pPr>
      <w:r>
        <w:t>Le chef de chantier assure un contrôle visuel des déchets évacués et s’assure de la conformité de la destination par rapport aux destinations fixées par le conducteur de travaux et le SOSED. Il collecte les bons d’acceptation et/ou de pesée dont il transmet le jour même copie au maître d’œuvre.</w:t>
      </w:r>
    </w:p>
    <w:p w14:paraId="45DDDC0D" w14:textId="77777777" w:rsidR="007E18FF" w:rsidRDefault="00437F74">
      <w:pPr>
        <w:pStyle w:val="Titre2"/>
      </w:pPr>
      <w:bookmarkStart w:id="6" w:name="_Toc187675459"/>
      <w:r>
        <w:t>Contrôle externe</w:t>
      </w:r>
      <w:bookmarkEnd w:id="6"/>
    </w:p>
    <w:p w14:paraId="6B4FC333" w14:textId="77777777" w:rsidR="007E18FF" w:rsidRDefault="00437F74">
      <w:pPr>
        <w:pStyle w:val="Textbody"/>
      </w:pPr>
      <w:r>
        <w:t>Le maître d’œuvre assure un contrôle extérieur avec l’appui éventuel de son laboratoire.</w:t>
      </w:r>
    </w:p>
    <w:p w14:paraId="6E006B9E" w14:textId="77777777" w:rsidR="007E18FF" w:rsidRDefault="00437F74">
      <w:pPr>
        <w:pStyle w:val="Titre2"/>
      </w:pPr>
      <w:bookmarkStart w:id="7" w:name="_Toc187675460"/>
      <w:r>
        <w:t>Laboratoires</w:t>
      </w:r>
      <w:bookmarkEnd w:id="7"/>
    </w:p>
    <w:p w14:paraId="212D826A" w14:textId="77777777" w:rsidR="007E18FF" w:rsidRDefault="00437F74">
      <w:pPr>
        <w:pStyle w:val="Textbody"/>
      </w:pPr>
      <w:r>
        <w:t>Laboratoire de l’entreprise :</w:t>
      </w:r>
    </w:p>
    <w:p w14:paraId="69F0D347" w14:textId="77777777" w:rsidR="007E18FF" w:rsidRDefault="00437F74">
      <w:pPr>
        <w:pStyle w:val="Textbody"/>
      </w:pPr>
      <w:r>
        <w:t>______________________________________________________________________________________</w:t>
      </w:r>
    </w:p>
    <w:p w14:paraId="56E64287" w14:textId="77777777" w:rsidR="007E18FF" w:rsidRDefault="00437F74">
      <w:pPr>
        <w:pStyle w:val="Textbody"/>
      </w:pPr>
      <w:r>
        <w:t>______________________________________________________________________________________</w:t>
      </w:r>
    </w:p>
    <w:p w14:paraId="5A9318EC" w14:textId="77777777" w:rsidR="007E18FF" w:rsidRDefault="00437F74">
      <w:pPr>
        <w:pStyle w:val="Textbody"/>
      </w:pPr>
      <w:r>
        <w:t>______________________________________________________________________________________</w:t>
      </w:r>
    </w:p>
    <w:p w14:paraId="582FF471" w14:textId="77777777" w:rsidR="007E18FF" w:rsidRDefault="007E18FF">
      <w:pPr>
        <w:pStyle w:val="Textbody"/>
      </w:pPr>
    </w:p>
    <w:p w14:paraId="42C183AB" w14:textId="77777777" w:rsidR="007E18FF" w:rsidRDefault="00437F74">
      <w:pPr>
        <w:pStyle w:val="Textbody"/>
      </w:pPr>
      <w:r>
        <w:t>Laboratoire du maître d’œuvre :</w:t>
      </w:r>
    </w:p>
    <w:p w14:paraId="14E51130" w14:textId="77777777" w:rsidR="007E18FF" w:rsidRDefault="00437F74">
      <w:pPr>
        <w:pStyle w:val="Textbody"/>
      </w:pPr>
      <w:r>
        <w:t>______________________________________________________________________________________</w:t>
      </w:r>
    </w:p>
    <w:p w14:paraId="32D11EA7" w14:textId="77777777" w:rsidR="007E18FF" w:rsidRDefault="00437F74">
      <w:pPr>
        <w:pStyle w:val="Textbody"/>
      </w:pPr>
      <w:r>
        <w:t>______________________________________________________________________________________</w:t>
      </w:r>
    </w:p>
    <w:p w14:paraId="1B91B9B2" w14:textId="77777777" w:rsidR="007E18FF" w:rsidRDefault="00437F74">
      <w:pPr>
        <w:pStyle w:val="Textbody"/>
      </w:pPr>
      <w:r>
        <w:t>______________________________________________________________________________________</w:t>
      </w:r>
    </w:p>
    <w:p w14:paraId="408DB103" w14:textId="77777777" w:rsidR="007E18FF" w:rsidRDefault="007E18FF">
      <w:pPr>
        <w:pStyle w:val="Textbody"/>
      </w:pPr>
    </w:p>
    <w:p w14:paraId="16CCA7A5" w14:textId="77777777" w:rsidR="007E18FF" w:rsidRDefault="00437F74">
      <w:pPr>
        <w:pStyle w:val="Titre1"/>
      </w:pPr>
      <w:bookmarkStart w:id="8" w:name="_Toc187675461"/>
      <w:r>
        <w:t>Tableau récapitulatif des déchets de chantier</w:t>
      </w:r>
      <w:bookmarkEnd w:id="8"/>
    </w:p>
    <w:p w14:paraId="44481977" w14:textId="77777777" w:rsidR="007E18FF" w:rsidRDefault="00437F74">
      <w:pPr>
        <w:pStyle w:val="Textbody"/>
        <w:rPr>
          <w:i/>
          <w:iCs/>
        </w:rPr>
      </w:pPr>
      <w:r>
        <w:rPr>
          <w:i/>
          <w:iCs/>
        </w:rPr>
        <w:t>(</w:t>
      </w:r>
      <w:proofErr w:type="gramStart"/>
      <w:r>
        <w:rPr>
          <w:i/>
          <w:iCs/>
        </w:rPr>
        <w:t>liste</w:t>
      </w:r>
      <w:proofErr w:type="gramEnd"/>
      <w:r>
        <w:rPr>
          <w:i/>
          <w:iCs/>
        </w:rPr>
        <w:t xml:space="preserve"> non exhaustive)</w:t>
      </w:r>
    </w:p>
    <w:p w14:paraId="1D05D0BC" w14:textId="77777777" w:rsidR="007E18FF" w:rsidRDefault="00437F74">
      <w:pPr>
        <w:pStyle w:val="Textbody"/>
      </w:pPr>
      <w:r>
        <w:t>Rappel des caractéristiques des déchets en fonction de leurs catégories :</w:t>
      </w:r>
    </w:p>
    <w:p w14:paraId="0325825C" w14:textId="77777777" w:rsidR="007E18FF" w:rsidRDefault="00437F74">
      <w:pPr>
        <w:pStyle w:val="Textbody"/>
      </w:pPr>
      <w:r>
        <w:t>Inertes :</w:t>
      </w:r>
      <w:r>
        <w:tab/>
        <w:t>- ne se décomposent pas</w:t>
      </w:r>
    </w:p>
    <w:p w14:paraId="5106B087" w14:textId="77777777" w:rsidR="007E18FF" w:rsidRDefault="00437F74">
      <w:pPr>
        <w:pStyle w:val="Textbody"/>
      </w:pPr>
      <w:r>
        <w:tab/>
      </w:r>
      <w:r>
        <w:tab/>
        <w:t>- ne brûlent pas</w:t>
      </w:r>
    </w:p>
    <w:p w14:paraId="08AF123A" w14:textId="77777777" w:rsidR="007E18FF" w:rsidRDefault="00437F74">
      <w:pPr>
        <w:pStyle w:val="Textbody"/>
      </w:pPr>
      <w:r>
        <w:tab/>
      </w:r>
      <w:r>
        <w:tab/>
        <w:t>- pas de réaction chimique ou biologique</w:t>
      </w:r>
    </w:p>
    <w:p w14:paraId="3F5AE3C2" w14:textId="77777777" w:rsidR="007E18FF" w:rsidRDefault="007E18FF">
      <w:pPr>
        <w:pStyle w:val="Textbody"/>
      </w:pPr>
    </w:p>
    <w:p w14:paraId="1CE05528" w14:textId="77777777" w:rsidR="007E18FF" w:rsidRDefault="00437F74">
      <w:pPr>
        <w:pStyle w:val="Textbody"/>
      </w:pPr>
      <w:r>
        <w:lastRenderedPageBreak/>
        <w:t>DIB : Déchet industriel banal, ni inerte, ni dangereux</w:t>
      </w:r>
    </w:p>
    <w:p w14:paraId="652FA48A" w14:textId="77777777" w:rsidR="007E18FF" w:rsidRDefault="00437F74">
      <w:pPr>
        <w:pStyle w:val="Textbody"/>
      </w:pPr>
      <w:r>
        <w:t>DIS : Déchet industriel spécial, dangereux et toxique</w:t>
      </w:r>
    </w:p>
    <w:p w14:paraId="6FC82722" w14:textId="77777777" w:rsidR="007E18FF" w:rsidRDefault="007E18FF">
      <w:pPr>
        <w:pStyle w:val="Textbody"/>
      </w:pPr>
    </w:p>
    <w:tbl>
      <w:tblPr>
        <w:tblW w:w="9645" w:type="dxa"/>
        <w:tblLayout w:type="fixed"/>
        <w:tblCellMar>
          <w:left w:w="10" w:type="dxa"/>
          <w:right w:w="10" w:type="dxa"/>
        </w:tblCellMar>
        <w:tblLook w:val="0000" w:firstRow="0" w:lastRow="0" w:firstColumn="0" w:lastColumn="0" w:noHBand="0" w:noVBand="0"/>
      </w:tblPr>
      <w:tblGrid>
        <w:gridCol w:w="1875"/>
        <w:gridCol w:w="2145"/>
        <w:gridCol w:w="2730"/>
        <w:gridCol w:w="2895"/>
      </w:tblGrid>
      <w:tr w:rsidR="007E18FF" w14:paraId="415BFA29" w14:textId="77777777">
        <w:tc>
          <w:tcPr>
            <w:tcW w:w="9645" w:type="dxa"/>
            <w:gridSpan w:val="4"/>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6C923DDB" w14:textId="77777777" w:rsidR="007E18FF" w:rsidRDefault="00437F74">
            <w:pPr>
              <w:pStyle w:val="TableContents"/>
              <w:jc w:val="center"/>
              <w:rPr>
                <w:b/>
                <w:bCs/>
              </w:rPr>
            </w:pPr>
            <w:r>
              <w:rPr>
                <w:b/>
                <w:bCs/>
              </w:rPr>
              <w:t>Nature du déchet de chantier à évacuer</w:t>
            </w:r>
          </w:p>
        </w:tc>
      </w:tr>
      <w:tr w:rsidR="007E18FF" w14:paraId="241C825A" w14:textId="77777777">
        <w:tc>
          <w:tcPr>
            <w:tcW w:w="1875" w:type="dxa"/>
            <w:tcBorders>
              <w:left w:val="single" w:sz="2" w:space="0" w:color="000000"/>
              <w:bottom w:val="single" w:sz="2" w:space="0" w:color="000000"/>
            </w:tcBorders>
            <w:tcMar>
              <w:top w:w="55" w:type="dxa"/>
              <w:left w:w="55" w:type="dxa"/>
              <w:bottom w:w="55" w:type="dxa"/>
              <w:right w:w="55" w:type="dxa"/>
            </w:tcMar>
          </w:tcPr>
          <w:p w14:paraId="0098DDA0" w14:textId="77777777" w:rsidR="007E18FF" w:rsidRDefault="00437F74">
            <w:pPr>
              <w:pStyle w:val="TableContents"/>
              <w:jc w:val="left"/>
            </w:pPr>
            <w:r>
              <w:t>Pavés propres</w:t>
            </w:r>
          </w:p>
          <w:p w14:paraId="037AF7BB" w14:textId="77777777" w:rsidR="007E18FF" w:rsidRDefault="007E18FF">
            <w:pPr>
              <w:pStyle w:val="TableContents"/>
              <w:jc w:val="left"/>
            </w:pPr>
          </w:p>
          <w:p w14:paraId="1F7E61AE" w14:textId="77777777" w:rsidR="007E18FF" w:rsidRDefault="00437F74">
            <w:pPr>
              <w:pStyle w:val="TableContents"/>
              <w:jc w:val="left"/>
            </w:pPr>
            <w:r>
              <w:t>Sable et gravillons propres</w:t>
            </w:r>
          </w:p>
          <w:p w14:paraId="4E761DA5" w14:textId="77777777" w:rsidR="007E18FF" w:rsidRDefault="007E18FF">
            <w:pPr>
              <w:pStyle w:val="TableContents"/>
              <w:jc w:val="left"/>
            </w:pPr>
          </w:p>
          <w:p w14:paraId="245C1DCB" w14:textId="77777777" w:rsidR="007E18FF" w:rsidRDefault="00437F74">
            <w:pPr>
              <w:pStyle w:val="TableContents"/>
              <w:jc w:val="left"/>
            </w:pPr>
            <w:r>
              <w:t>Limons</w:t>
            </w:r>
          </w:p>
          <w:p w14:paraId="7CEFC49E" w14:textId="77777777" w:rsidR="007E18FF" w:rsidRDefault="007E18FF">
            <w:pPr>
              <w:pStyle w:val="TableContents"/>
              <w:jc w:val="left"/>
            </w:pPr>
          </w:p>
          <w:p w14:paraId="1556D35E" w14:textId="77777777" w:rsidR="007E18FF" w:rsidRDefault="00437F74">
            <w:pPr>
              <w:pStyle w:val="TableContents"/>
              <w:jc w:val="left"/>
            </w:pPr>
            <w:r>
              <w:t xml:space="preserve">Argiles et silex et à meulière  </w:t>
            </w:r>
          </w:p>
          <w:p w14:paraId="3EF77B44" w14:textId="77777777" w:rsidR="007E18FF" w:rsidRDefault="007E18FF">
            <w:pPr>
              <w:pStyle w:val="TableContents"/>
              <w:jc w:val="left"/>
            </w:pPr>
          </w:p>
          <w:p w14:paraId="3740A96F" w14:textId="77777777" w:rsidR="007E18FF" w:rsidRDefault="00437F74">
            <w:pPr>
              <w:pStyle w:val="TableContents"/>
              <w:jc w:val="left"/>
            </w:pPr>
            <w:r>
              <w:t>Marno-calcaires</w:t>
            </w:r>
          </w:p>
          <w:p w14:paraId="46B0D6F9" w14:textId="77777777" w:rsidR="007E18FF" w:rsidRDefault="007E18FF">
            <w:pPr>
              <w:pStyle w:val="TableContents"/>
              <w:jc w:val="left"/>
            </w:pPr>
          </w:p>
          <w:p w14:paraId="0933EB86" w14:textId="77777777" w:rsidR="007E18FF" w:rsidRDefault="00437F74">
            <w:pPr>
              <w:pStyle w:val="TableContents"/>
              <w:jc w:val="left"/>
            </w:pPr>
            <w:r>
              <w:t>Calcaires, craie, grès</w:t>
            </w:r>
          </w:p>
          <w:p w14:paraId="27DF17B9" w14:textId="77777777" w:rsidR="007E18FF" w:rsidRDefault="007E18FF">
            <w:pPr>
              <w:pStyle w:val="TableContents"/>
              <w:jc w:val="left"/>
            </w:pPr>
          </w:p>
          <w:p w14:paraId="349DD5D8" w14:textId="77777777" w:rsidR="007E18FF" w:rsidRDefault="00437F74">
            <w:pPr>
              <w:pStyle w:val="TableContents"/>
              <w:jc w:val="left"/>
            </w:pPr>
            <w:r>
              <w:t>Par extension :</w:t>
            </w:r>
          </w:p>
          <w:p w14:paraId="26219DCE" w14:textId="77777777" w:rsidR="007E18FF" w:rsidRDefault="007E18FF">
            <w:pPr>
              <w:pStyle w:val="TableContents"/>
              <w:jc w:val="left"/>
            </w:pPr>
          </w:p>
          <w:p w14:paraId="72AFB59C" w14:textId="77777777" w:rsidR="007E18FF" w:rsidRDefault="00437F74">
            <w:pPr>
              <w:pStyle w:val="TableContents"/>
              <w:jc w:val="left"/>
            </w:pPr>
            <w:r>
              <w:t>Les sols non salins, à l’état solide</w:t>
            </w:r>
          </w:p>
          <w:p w14:paraId="59D71057" w14:textId="77777777" w:rsidR="007E18FF" w:rsidRDefault="007E18FF">
            <w:pPr>
              <w:pStyle w:val="TableContents"/>
              <w:jc w:val="left"/>
            </w:pPr>
          </w:p>
          <w:p w14:paraId="2A9ABE63" w14:textId="77777777" w:rsidR="007E18FF" w:rsidRDefault="00437F74">
            <w:pPr>
              <w:pStyle w:val="TableContents"/>
              <w:jc w:val="left"/>
            </w:pPr>
            <w:r>
              <w:t>Mélange de ces sols</w:t>
            </w:r>
          </w:p>
        </w:tc>
        <w:tc>
          <w:tcPr>
            <w:tcW w:w="2145" w:type="dxa"/>
            <w:tcBorders>
              <w:left w:val="single" w:sz="2" w:space="0" w:color="000000"/>
              <w:bottom w:val="single" w:sz="2" w:space="0" w:color="000000"/>
            </w:tcBorders>
            <w:tcMar>
              <w:top w:w="55" w:type="dxa"/>
              <w:left w:w="55" w:type="dxa"/>
              <w:bottom w:w="55" w:type="dxa"/>
              <w:right w:w="55" w:type="dxa"/>
            </w:tcMar>
          </w:tcPr>
          <w:p w14:paraId="0D869B35" w14:textId="77777777" w:rsidR="007E18FF" w:rsidRDefault="00437F74">
            <w:pPr>
              <w:pStyle w:val="TableContents"/>
              <w:jc w:val="left"/>
            </w:pPr>
            <w:r>
              <w:t>Pavés/dalles souillés</w:t>
            </w:r>
          </w:p>
          <w:p w14:paraId="7FFCFF6A" w14:textId="77777777" w:rsidR="007E18FF" w:rsidRDefault="007E18FF">
            <w:pPr>
              <w:pStyle w:val="TableContents"/>
              <w:jc w:val="left"/>
            </w:pPr>
          </w:p>
          <w:p w14:paraId="27DF8A6F" w14:textId="77777777" w:rsidR="007E18FF" w:rsidRDefault="00437F74">
            <w:pPr>
              <w:pStyle w:val="TableContents"/>
              <w:jc w:val="left"/>
            </w:pPr>
            <w:r>
              <w:t>Béton de ciment armé ou non</w:t>
            </w:r>
          </w:p>
          <w:p w14:paraId="45CE80CB" w14:textId="77777777" w:rsidR="007E18FF" w:rsidRDefault="007E18FF">
            <w:pPr>
              <w:pStyle w:val="TableContents"/>
              <w:jc w:val="left"/>
            </w:pPr>
          </w:p>
          <w:p w14:paraId="1E2FB5A1" w14:textId="77777777" w:rsidR="007E18FF" w:rsidRDefault="00437F74">
            <w:pPr>
              <w:pStyle w:val="TableContents"/>
              <w:jc w:val="left"/>
            </w:pPr>
            <w:r>
              <w:t>Béton maigre</w:t>
            </w:r>
          </w:p>
          <w:p w14:paraId="275798B6" w14:textId="77777777" w:rsidR="007E18FF" w:rsidRDefault="007E18FF">
            <w:pPr>
              <w:pStyle w:val="TableContents"/>
              <w:jc w:val="left"/>
            </w:pPr>
          </w:p>
          <w:p w14:paraId="668A52EF" w14:textId="77777777" w:rsidR="007E18FF" w:rsidRDefault="00437F74">
            <w:pPr>
              <w:pStyle w:val="TableContents"/>
              <w:jc w:val="left"/>
            </w:pPr>
            <w:r>
              <w:t>Limons traités</w:t>
            </w:r>
          </w:p>
          <w:p w14:paraId="639C8C57" w14:textId="77777777" w:rsidR="007E18FF" w:rsidRDefault="007E18FF">
            <w:pPr>
              <w:pStyle w:val="TableContents"/>
              <w:jc w:val="left"/>
            </w:pPr>
          </w:p>
          <w:p w14:paraId="07C0C691" w14:textId="77777777" w:rsidR="007E18FF" w:rsidRDefault="00437F74">
            <w:pPr>
              <w:pStyle w:val="TableContents"/>
              <w:jc w:val="left"/>
            </w:pPr>
            <w:r>
              <w:t>Limon et argile très humide</w:t>
            </w:r>
          </w:p>
          <w:p w14:paraId="098E5DCE" w14:textId="77777777" w:rsidR="007E18FF" w:rsidRDefault="007E18FF">
            <w:pPr>
              <w:pStyle w:val="TableContents"/>
              <w:jc w:val="left"/>
            </w:pPr>
          </w:p>
          <w:p w14:paraId="35B152FF" w14:textId="77777777" w:rsidR="007E18FF" w:rsidRDefault="00437F74">
            <w:pPr>
              <w:pStyle w:val="TableContents"/>
              <w:jc w:val="left"/>
            </w:pPr>
            <w:r>
              <w:t>Boues non organiques</w:t>
            </w:r>
          </w:p>
          <w:p w14:paraId="6EC9CC16" w14:textId="77777777" w:rsidR="007E18FF" w:rsidRDefault="007E18FF">
            <w:pPr>
              <w:pStyle w:val="TableContents"/>
              <w:jc w:val="left"/>
            </w:pPr>
          </w:p>
          <w:p w14:paraId="4EA764D2" w14:textId="77777777" w:rsidR="007E18FF" w:rsidRDefault="00437F74">
            <w:pPr>
              <w:pStyle w:val="TableContents"/>
              <w:jc w:val="left"/>
            </w:pPr>
            <w:r>
              <w:t>Terre végétale vase et tourbes contenant moins de 10% de matière organique</w:t>
            </w:r>
          </w:p>
          <w:p w14:paraId="06D3BDCF" w14:textId="77777777" w:rsidR="007E18FF" w:rsidRDefault="007E18FF">
            <w:pPr>
              <w:pStyle w:val="TableContents"/>
              <w:jc w:val="left"/>
            </w:pPr>
          </w:p>
          <w:p w14:paraId="042568CC" w14:textId="77777777" w:rsidR="007E18FF" w:rsidRDefault="00437F74">
            <w:pPr>
              <w:pStyle w:val="TableContents"/>
              <w:jc w:val="left"/>
            </w:pPr>
            <w:r>
              <w:t>Bétons concassés F71 et F72</w:t>
            </w:r>
          </w:p>
        </w:tc>
        <w:tc>
          <w:tcPr>
            <w:tcW w:w="2730" w:type="dxa"/>
            <w:tcBorders>
              <w:left w:val="single" w:sz="2" w:space="0" w:color="000000"/>
              <w:bottom w:val="single" w:sz="2" w:space="0" w:color="000000"/>
            </w:tcBorders>
            <w:tcMar>
              <w:top w:w="55" w:type="dxa"/>
              <w:left w:w="55" w:type="dxa"/>
              <w:bottom w:w="55" w:type="dxa"/>
              <w:right w:w="55" w:type="dxa"/>
            </w:tcMar>
          </w:tcPr>
          <w:p w14:paraId="2A320F3C" w14:textId="77777777" w:rsidR="007E18FF" w:rsidRDefault="00437F74">
            <w:pPr>
              <w:pStyle w:val="TableContents"/>
              <w:jc w:val="left"/>
            </w:pPr>
            <w:r>
              <w:t>Bétons bitumineux</w:t>
            </w:r>
          </w:p>
          <w:p w14:paraId="5D7F4251" w14:textId="77777777" w:rsidR="007E18FF" w:rsidRDefault="007E18FF">
            <w:pPr>
              <w:pStyle w:val="TableContents"/>
              <w:jc w:val="left"/>
            </w:pPr>
          </w:p>
          <w:p w14:paraId="76200F3D" w14:textId="77777777" w:rsidR="007E18FF" w:rsidRDefault="00437F74">
            <w:pPr>
              <w:pStyle w:val="TableContents"/>
              <w:jc w:val="left"/>
            </w:pPr>
            <w:r>
              <w:t>Asphaltes</w:t>
            </w:r>
          </w:p>
          <w:p w14:paraId="46F593FE" w14:textId="77777777" w:rsidR="007E18FF" w:rsidRDefault="007E18FF">
            <w:pPr>
              <w:pStyle w:val="TableContents"/>
              <w:jc w:val="left"/>
            </w:pPr>
          </w:p>
          <w:p w14:paraId="563B426D" w14:textId="77777777" w:rsidR="007E18FF" w:rsidRDefault="00437F74">
            <w:pPr>
              <w:pStyle w:val="TableContents"/>
              <w:jc w:val="left"/>
            </w:pPr>
            <w:r>
              <w:t>Grave bitume</w:t>
            </w:r>
          </w:p>
          <w:p w14:paraId="3A70308E" w14:textId="77777777" w:rsidR="007E18FF" w:rsidRDefault="007E18FF">
            <w:pPr>
              <w:pStyle w:val="TableContents"/>
              <w:jc w:val="left"/>
            </w:pPr>
          </w:p>
          <w:p w14:paraId="7D039312" w14:textId="77777777" w:rsidR="007E18FF" w:rsidRDefault="00437F74">
            <w:pPr>
              <w:pStyle w:val="TableContents"/>
              <w:jc w:val="left"/>
            </w:pPr>
            <w:r>
              <w:t>Enduits à l’émulsion de bitume</w:t>
            </w:r>
          </w:p>
          <w:p w14:paraId="0D2E116E" w14:textId="77777777" w:rsidR="007E18FF" w:rsidRDefault="007E18FF">
            <w:pPr>
              <w:pStyle w:val="TableContents"/>
              <w:jc w:val="left"/>
            </w:pPr>
          </w:p>
          <w:p w14:paraId="3B5F4E0D" w14:textId="77777777" w:rsidR="007E18FF" w:rsidRDefault="00437F74">
            <w:pPr>
              <w:pStyle w:val="TableContents"/>
              <w:jc w:val="left"/>
            </w:pPr>
            <w:r>
              <w:t>Câbles, ferrailles, tuyaux et tampons de fonte</w:t>
            </w:r>
          </w:p>
          <w:p w14:paraId="52421F30" w14:textId="77777777" w:rsidR="007E18FF" w:rsidRDefault="007E18FF">
            <w:pPr>
              <w:pStyle w:val="TableContents"/>
              <w:jc w:val="left"/>
            </w:pPr>
          </w:p>
          <w:p w14:paraId="4DB365CE" w14:textId="77777777" w:rsidR="007E18FF" w:rsidRDefault="00437F74">
            <w:pPr>
              <w:pStyle w:val="TableContents"/>
              <w:jc w:val="left"/>
            </w:pPr>
            <w:r>
              <w:t xml:space="preserve">Tuyaux plastiques et </w:t>
            </w:r>
            <w:proofErr w:type="spellStart"/>
            <w:r>
              <w:t>fibro-ciment</w:t>
            </w:r>
            <w:proofErr w:type="spellEnd"/>
          </w:p>
          <w:p w14:paraId="765562DA" w14:textId="77777777" w:rsidR="007E18FF" w:rsidRDefault="007E18FF">
            <w:pPr>
              <w:pStyle w:val="TableContents"/>
              <w:jc w:val="left"/>
            </w:pPr>
          </w:p>
          <w:p w14:paraId="44BE4F4A" w14:textId="77777777" w:rsidR="007E18FF" w:rsidRDefault="00437F74">
            <w:pPr>
              <w:pStyle w:val="TableContents"/>
              <w:jc w:val="left"/>
            </w:pPr>
            <w:proofErr w:type="spellStart"/>
            <w:r>
              <w:t>Machefer</w:t>
            </w:r>
            <w:proofErr w:type="spellEnd"/>
            <w:r>
              <w:t xml:space="preserve"> origine inconnue</w:t>
            </w:r>
          </w:p>
          <w:p w14:paraId="53F49ABB" w14:textId="77777777" w:rsidR="007E18FF" w:rsidRDefault="007E18FF">
            <w:pPr>
              <w:pStyle w:val="TableContents"/>
              <w:jc w:val="left"/>
            </w:pPr>
          </w:p>
          <w:p w14:paraId="69E0D165" w14:textId="77777777" w:rsidR="007E18FF" w:rsidRDefault="00437F74">
            <w:pPr>
              <w:pStyle w:val="TableContents"/>
              <w:jc w:val="left"/>
            </w:pPr>
            <w:r>
              <w:t>Produit de démolition :</w:t>
            </w:r>
          </w:p>
          <w:p w14:paraId="70CE0B3F" w14:textId="77777777" w:rsidR="007E18FF" w:rsidRDefault="00437F74">
            <w:pPr>
              <w:pStyle w:val="TableContents"/>
              <w:jc w:val="left"/>
            </w:pPr>
            <w:r>
              <w:t>F73</w:t>
            </w:r>
          </w:p>
          <w:p w14:paraId="2B925DE2" w14:textId="77777777" w:rsidR="007E18FF" w:rsidRDefault="007E18FF">
            <w:pPr>
              <w:pStyle w:val="TableContents"/>
              <w:jc w:val="left"/>
            </w:pPr>
          </w:p>
          <w:p w14:paraId="29287375" w14:textId="77777777" w:rsidR="007E18FF" w:rsidRDefault="00437F74">
            <w:pPr>
              <w:pStyle w:val="TableContents"/>
              <w:jc w:val="left"/>
            </w:pPr>
            <w:r>
              <w:t>Ordures ménagères ou assimilables</w:t>
            </w:r>
          </w:p>
          <w:p w14:paraId="0FE20681" w14:textId="77777777" w:rsidR="007E18FF" w:rsidRDefault="007E18FF">
            <w:pPr>
              <w:pStyle w:val="TableContents"/>
              <w:jc w:val="left"/>
            </w:pPr>
          </w:p>
          <w:p w14:paraId="6D2042C6" w14:textId="77777777" w:rsidR="007E18FF" w:rsidRDefault="00437F74">
            <w:pPr>
              <w:pStyle w:val="TableContents"/>
              <w:jc w:val="left"/>
            </w:pPr>
            <w:r>
              <w:t>Encombrants (à traiter en fonction de la nature)</w:t>
            </w:r>
          </w:p>
          <w:p w14:paraId="09AEA3D0" w14:textId="77777777" w:rsidR="007E18FF" w:rsidRDefault="007E18FF">
            <w:pPr>
              <w:pStyle w:val="TableContents"/>
              <w:jc w:val="left"/>
            </w:pPr>
          </w:p>
          <w:p w14:paraId="0BCF1C09" w14:textId="77777777" w:rsidR="007E18FF" w:rsidRDefault="00437F74">
            <w:pPr>
              <w:pStyle w:val="TableContents"/>
              <w:jc w:val="left"/>
            </w:pPr>
            <w:r>
              <w:t xml:space="preserve">Déchets putrescibles (matières organiques, </w:t>
            </w:r>
            <w:proofErr w:type="gramStart"/>
            <w:r>
              <w:t>déchets vert</w:t>
            </w:r>
            <w:proofErr w:type="gramEnd"/>
            <w:r>
              <w:t>.)</w:t>
            </w:r>
          </w:p>
        </w:tc>
        <w:tc>
          <w:tcPr>
            <w:tcW w:w="2895" w:type="dxa"/>
            <w:tcBorders>
              <w:left w:val="single" w:sz="2" w:space="0" w:color="000000"/>
              <w:bottom w:val="single" w:sz="2" w:space="0" w:color="000000"/>
              <w:right w:val="single" w:sz="2" w:space="0" w:color="000000"/>
            </w:tcBorders>
            <w:tcMar>
              <w:top w:w="55" w:type="dxa"/>
              <w:left w:w="55" w:type="dxa"/>
              <w:bottom w:w="55" w:type="dxa"/>
              <w:right w:w="55" w:type="dxa"/>
            </w:tcMar>
          </w:tcPr>
          <w:p w14:paraId="237344F6" w14:textId="77777777" w:rsidR="007E18FF" w:rsidRDefault="00437F74">
            <w:pPr>
              <w:pStyle w:val="TableContents"/>
              <w:jc w:val="left"/>
            </w:pPr>
            <w:r>
              <w:t>Enduits avec bitume goudron ou goudron pur</w:t>
            </w:r>
          </w:p>
          <w:p w14:paraId="182953FB" w14:textId="77777777" w:rsidR="007E18FF" w:rsidRDefault="007E18FF">
            <w:pPr>
              <w:pStyle w:val="TableContents"/>
              <w:jc w:val="left"/>
            </w:pPr>
          </w:p>
          <w:p w14:paraId="04878A05" w14:textId="77777777" w:rsidR="007E18FF" w:rsidRDefault="00437F74">
            <w:pPr>
              <w:pStyle w:val="TableContents"/>
              <w:jc w:val="left"/>
            </w:pPr>
            <w:r>
              <w:t>Sols mélangés à des goudrons</w:t>
            </w:r>
          </w:p>
          <w:p w14:paraId="5EC6A061" w14:textId="77777777" w:rsidR="007E18FF" w:rsidRDefault="007E18FF">
            <w:pPr>
              <w:pStyle w:val="TableContents"/>
              <w:jc w:val="left"/>
            </w:pPr>
          </w:p>
          <w:p w14:paraId="05039CC8" w14:textId="77777777" w:rsidR="007E18FF" w:rsidRDefault="00437F74">
            <w:pPr>
              <w:pStyle w:val="TableContents"/>
              <w:jc w:val="left"/>
            </w:pPr>
            <w:r>
              <w:t>Produits métalliques revêtus de goudron</w:t>
            </w:r>
          </w:p>
          <w:p w14:paraId="76A25B93" w14:textId="77777777" w:rsidR="007E18FF" w:rsidRDefault="007E18FF">
            <w:pPr>
              <w:pStyle w:val="TableContents"/>
              <w:jc w:val="left"/>
            </w:pPr>
          </w:p>
          <w:p w14:paraId="4DA01C13" w14:textId="77777777" w:rsidR="007E18FF" w:rsidRDefault="00437F74">
            <w:pPr>
              <w:pStyle w:val="TableContents"/>
              <w:jc w:val="left"/>
            </w:pPr>
            <w:r>
              <w:t>Transformateurs et tableaux électriques</w:t>
            </w:r>
          </w:p>
          <w:p w14:paraId="1261E08B" w14:textId="77777777" w:rsidR="007E18FF" w:rsidRDefault="007E18FF">
            <w:pPr>
              <w:pStyle w:val="TableContents"/>
              <w:jc w:val="left"/>
            </w:pPr>
          </w:p>
          <w:p w14:paraId="4FEFED97" w14:textId="77777777" w:rsidR="007E18FF" w:rsidRDefault="00437F74">
            <w:pPr>
              <w:pStyle w:val="TableContents"/>
              <w:jc w:val="left"/>
            </w:pPr>
            <w:r>
              <w:t>Amiantes</w:t>
            </w:r>
          </w:p>
          <w:p w14:paraId="427AA36E" w14:textId="77777777" w:rsidR="007E18FF" w:rsidRDefault="007E18FF">
            <w:pPr>
              <w:pStyle w:val="TableContents"/>
              <w:jc w:val="left"/>
            </w:pPr>
          </w:p>
          <w:p w14:paraId="75DC8A2D" w14:textId="77777777" w:rsidR="007E18FF" w:rsidRDefault="00437F74">
            <w:pPr>
              <w:pStyle w:val="TableContents"/>
              <w:jc w:val="left"/>
            </w:pPr>
            <w:r>
              <w:t>Tout produit contenant de l’amiante.</w:t>
            </w:r>
          </w:p>
          <w:p w14:paraId="28ADCAAC" w14:textId="77777777" w:rsidR="007E18FF" w:rsidRDefault="007E18FF">
            <w:pPr>
              <w:pStyle w:val="TableContents"/>
              <w:jc w:val="left"/>
            </w:pPr>
          </w:p>
          <w:p w14:paraId="2E44F8BC" w14:textId="77777777" w:rsidR="007E18FF" w:rsidRDefault="00437F74">
            <w:pPr>
              <w:pStyle w:val="TableContents"/>
              <w:jc w:val="left"/>
            </w:pPr>
            <w:r>
              <w:t>Boues de curages :</w:t>
            </w:r>
          </w:p>
          <w:p w14:paraId="27070C61" w14:textId="77777777" w:rsidR="007E18FF" w:rsidRDefault="00437F74">
            <w:pPr>
              <w:pStyle w:val="TableContents"/>
              <w:jc w:val="left"/>
            </w:pPr>
            <w:r>
              <w:t>– avec matières organiques</w:t>
            </w:r>
          </w:p>
          <w:p w14:paraId="5472B509" w14:textId="77777777" w:rsidR="007E18FF" w:rsidRDefault="00437F74">
            <w:pPr>
              <w:pStyle w:val="TableContents"/>
              <w:jc w:val="left"/>
            </w:pPr>
            <w:r>
              <w:t>– avec hydrocarbures</w:t>
            </w:r>
          </w:p>
          <w:p w14:paraId="4F980544" w14:textId="77777777" w:rsidR="007E18FF" w:rsidRDefault="00437F74">
            <w:pPr>
              <w:pStyle w:val="TableContents"/>
              <w:jc w:val="left"/>
            </w:pPr>
            <w:r>
              <w:t>– avec métaux lourds</w:t>
            </w:r>
          </w:p>
          <w:p w14:paraId="160EEA3B" w14:textId="77777777" w:rsidR="007E18FF" w:rsidRDefault="00437F74">
            <w:pPr>
              <w:pStyle w:val="TableContents"/>
              <w:jc w:val="left"/>
            </w:pPr>
            <w:r>
              <w:t>– mélange des trois</w:t>
            </w:r>
          </w:p>
          <w:p w14:paraId="553C9BD2" w14:textId="77777777" w:rsidR="007E18FF" w:rsidRDefault="007E18FF">
            <w:pPr>
              <w:pStyle w:val="TableContents"/>
              <w:jc w:val="left"/>
            </w:pPr>
          </w:p>
          <w:p w14:paraId="11329E95" w14:textId="77777777" w:rsidR="007E18FF" w:rsidRDefault="00437F74">
            <w:pPr>
              <w:pStyle w:val="TableContents"/>
              <w:jc w:val="left"/>
            </w:pPr>
            <w:r>
              <w:t>Résidus de peinture :</w:t>
            </w:r>
          </w:p>
          <w:p w14:paraId="5DFA850E" w14:textId="77777777" w:rsidR="007E18FF" w:rsidRDefault="00437F74">
            <w:pPr>
              <w:pStyle w:val="TableContents"/>
              <w:jc w:val="left"/>
            </w:pPr>
            <w:r>
              <w:t>– routière ou résines ou bande collée</w:t>
            </w:r>
          </w:p>
          <w:p w14:paraId="6ECF5C80" w14:textId="77777777" w:rsidR="007E18FF" w:rsidRDefault="00437F74">
            <w:pPr>
              <w:pStyle w:val="TableContents"/>
              <w:jc w:val="left"/>
            </w:pPr>
            <w:r>
              <w:t>– autres peintures sur supports divers</w:t>
            </w:r>
          </w:p>
        </w:tc>
      </w:tr>
      <w:tr w:rsidR="007E18FF" w14:paraId="4AD9FCE0" w14:textId="77777777">
        <w:tc>
          <w:tcPr>
            <w:tcW w:w="4020" w:type="dxa"/>
            <w:gridSpan w:val="2"/>
            <w:tcBorders>
              <w:left w:val="single" w:sz="2" w:space="0" w:color="000000"/>
              <w:bottom w:val="single" w:sz="2" w:space="0" w:color="000000"/>
            </w:tcBorders>
            <w:tcMar>
              <w:top w:w="55" w:type="dxa"/>
              <w:left w:w="55" w:type="dxa"/>
              <w:bottom w:w="55" w:type="dxa"/>
              <w:right w:w="55" w:type="dxa"/>
            </w:tcMar>
            <w:vAlign w:val="center"/>
          </w:tcPr>
          <w:p w14:paraId="74C1873E" w14:textId="77777777" w:rsidR="007E18FF" w:rsidRDefault="00437F74">
            <w:pPr>
              <w:pStyle w:val="TableContents"/>
              <w:jc w:val="center"/>
              <w:rPr>
                <w:b/>
                <w:bCs/>
              </w:rPr>
            </w:pPr>
            <w:r>
              <w:rPr>
                <w:b/>
                <w:bCs/>
              </w:rPr>
              <w:t>Inerte</w:t>
            </w:r>
          </w:p>
        </w:tc>
        <w:tc>
          <w:tcPr>
            <w:tcW w:w="2730" w:type="dxa"/>
            <w:tcBorders>
              <w:left w:val="single" w:sz="2" w:space="0" w:color="000000"/>
              <w:bottom w:val="single" w:sz="2" w:space="0" w:color="000000"/>
            </w:tcBorders>
            <w:tcMar>
              <w:top w:w="55" w:type="dxa"/>
              <w:left w:w="55" w:type="dxa"/>
              <w:bottom w:w="55" w:type="dxa"/>
              <w:right w:w="55" w:type="dxa"/>
            </w:tcMar>
            <w:vAlign w:val="center"/>
          </w:tcPr>
          <w:p w14:paraId="3F6E397A" w14:textId="77777777" w:rsidR="007E18FF" w:rsidRDefault="00437F74">
            <w:pPr>
              <w:pStyle w:val="TableContents"/>
              <w:jc w:val="center"/>
              <w:rPr>
                <w:b/>
                <w:bCs/>
              </w:rPr>
            </w:pPr>
            <w:r>
              <w:rPr>
                <w:b/>
                <w:bCs/>
              </w:rPr>
              <w:t>Industriel banal (DIB)</w:t>
            </w:r>
          </w:p>
        </w:tc>
        <w:tc>
          <w:tcPr>
            <w:tcW w:w="289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29FE327" w14:textId="77777777" w:rsidR="007E18FF" w:rsidRDefault="00437F74">
            <w:pPr>
              <w:pStyle w:val="TableContents"/>
              <w:jc w:val="center"/>
              <w:rPr>
                <w:b/>
                <w:bCs/>
              </w:rPr>
            </w:pPr>
            <w:r>
              <w:rPr>
                <w:b/>
                <w:bCs/>
              </w:rPr>
              <w:t>Industriel spécial (DIS)</w:t>
            </w:r>
          </w:p>
        </w:tc>
      </w:tr>
      <w:tr w:rsidR="007E18FF" w14:paraId="52910F6D" w14:textId="77777777">
        <w:tc>
          <w:tcPr>
            <w:tcW w:w="4020" w:type="dxa"/>
            <w:gridSpan w:val="2"/>
            <w:tcBorders>
              <w:left w:val="single" w:sz="2" w:space="0" w:color="000000"/>
              <w:bottom w:val="single" w:sz="2" w:space="0" w:color="000000"/>
            </w:tcBorders>
            <w:tcMar>
              <w:top w:w="55" w:type="dxa"/>
              <w:left w:w="55" w:type="dxa"/>
              <w:bottom w:w="55" w:type="dxa"/>
              <w:right w:w="55" w:type="dxa"/>
            </w:tcMar>
            <w:vAlign w:val="center"/>
          </w:tcPr>
          <w:p w14:paraId="27C6EF93" w14:textId="77777777" w:rsidR="007E18FF" w:rsidRDefault="00437F74">
            <w:pPr>
              <w:pStyle w:val="TableContents"/>
              <w:jc w:val="center"/>
            </w:pPr>
            <w:r>
              <w:t>Classe III sous réserve d’acceptation pour les produits contenant des sulfates</w:t>
            </w:r>
          </w:p>
        </w:tc>
        <w:tc>
          <w:tcPr>
            <w:tcW w:w="2730" w:type="dxa"/>
            <w:tcBorders>
              <w:left w:val="single" w:sz="2" w:space="0" w:color="000000"/>
              <w:bottom w:val="single" w:sz="2" w:space="0" w:color="000000"/>
            </w:tcBorders>
            <w:tcMar>
              <w:top w:w="55" w:type="dxa"/>
              <w:left w:w="55" w:type="dxa"/>
              <w:bottom w:w="55" w:type="dxa"/>
              <w:right w:w="55" w:type="dxa"/>
            </w:tcMar>
            <w:vAlign w:val="center"/>
          </w:tcPr>
          <w:p w14:paraId="15E1AED9" w14:textId="77777777" w:rsidR="007E18FF" w:rsidRDefault="00437F74">
            <w:pPr>
              <w:pStyle w:val="TableContents"/>
              <w:jc w:val="center"/>
            </w:pPr>
            <w:r>
              <w:t>Classe II</w:t>
            </w:r>
          </w:p>
        </w:tc>
        <w:tc>
          <w:tcPr>
            <w:tcW w:w="289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DFD8983" w14:textId="77777777" w:rsidR="007E18FF" w:rsidRDefault="00437F74">
            <w:pPr>
              <w:pStyle w:val="TableContents"/>
              <w:jc w:val="center"/>
            </w:pPr>
            <w:r>
              <w:t>Classe I ou II après traitement (étude spécifique)</w:t>
            </w:r>
          </w:p>
        </w:tc>
      </w:tr>
      <w:tr w:rsidR="007E18FF" w14:paraId="1FAFF72E" w14:textId="77777777">
        <w:tc>
          <w:tcPr>
            <w:tcW w:w="1875" w:type="dxa"/>
            <w:tcBorders>
              <w:left w:val="single" w:sz="2" w:space="0" w:color="000000"/>
              <w:bottom w:val="single" w:sz="2" w:space="0" w:color="000000"/>
            </w:tcBorders>
            <w:tcMar>
              <w:top w:w="55" w:type="dxa"/>
              <w:left w:w="55" w:type="dxa"/>
              <w:bottom w:w="55" w:type="dxa"/>
              <w:right w:w="55" w:type="dxa"/>
            </w:tcMar>
            <w:vAlign w:val="center"/>
          </w:tcPr>
          <w:p w14:paraId="2209A237" w14:textId="77777777" w:rsidR="007E18FF" w:rsidRDefault="00437F74">
            <w:pPr>
              <w:pStyle w:val="TableContents"/>
              <w:jc w:val="center"/>
            </w:pPr>
            <w:r>
              <w:t>Réemploi en place ou différé</w:t>
            </w:r>
          </w:p>
        </w:tc>
        <w:tc>
          <w:tcPr>
            <w:tcW w:w="4875" w:type="dxa"/>
            <w:gridSpan w:val="2"/>
            <w:tcBorders>
              <w:left w:val="single" w:sz="2" w:space="0" w:color="000000"/>
              <w:bottom w:val="single" w:sz="2" w:space="0" w:color="000000"/>
            </w:tcBorders>
            <w:tcMar>
              <w:top w:w="55" w:type="dxa"/>
              <w:left w:w="55" w:type="dxa"/>
              <w:bottom w:w="55" w:type="dxa"/>
              <w:right w:w="55" w:type="dxa"/>
            </w:tcMar>
            <w:vAlign w:val="center"/>
          </w:tcPr>
          <w:p w14:paraId="66A0D4BF" w14:textId="77777777" w:rsidR="007E18FF" w:rsidRDefault="00437F74">
            <w:pPr>
              <w:pStyle w:val="TableContents"/>
              <w:jc w:val="center"/>
            </w:pPr>
            <w:r>
              <w:t>Recyclage en place ou en installation adaptée*</w:t>
            </w:r>
          </w:p>
        </w:tc>
        <w:tc>
          <w:tcPr>
            <w:tcW w:w="2895"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30E8924" w14:textId="77777777" w:rsidR="007E18FF" w:rsidRDefault="00437F74">
            <w:pPr>
              <w:pStyle w:val="TableContents"/>
              <w:jc w:val="center"/>
            </w:pPr>
            <w:r>
              <w:t>Traitement en installation spécifique après identification</w:t>
            </w:r>
          </w:p>
        </w:tc>
      </w:tr>
    </w:tbl>
    <w:p w14:paraId="3CAA7607" w14:textId="77777777" w:rsidR="007E18FF" w:rsidRDefault="007E18FF">
      <w:pPr>
        <w:pStyle w:val="Standard"/>
      </w:pPr>
    </w:p>
    <w:sectPr w:rsidR="007E18FF" w:rsidSect="00ED49F3">
      <w:headerReference w:type="default" r:id="rId8"/>
      <w:footerReference w:type="default" r:id="rId9"/>
      <w:footerReference w:type="first" r:id="rId10"/>
      <w:pgSz w:w="11906" w:h="16838"/>
      <w:pgMar w:top="1134" w:right="1134" w:bottom="102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F9854" w14:textId="77777777" w:rsidR="007722DD" w:rsidRDefault="00437F74">
      <w:r>
        <w:separator/>
      </w:r>
    </w:p>
  </w:endnote>
  <w:endnote w:type="continuationSeparator" w:id="0">
    <w:p w14:paraId="2E255C7D" w14:textId="77777777" w:rsidR="007722DD" w:rsidRDefault="0043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charset w:val="02"/>
    <w:family w:val="auto"/>
    <w:pitch w:val="default"/>
  </w:font>
  <w:font w:name="OpenSymbol">
    <w:altName w:val="Arial Unicode MS"/>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rianne">
    <w:panose1 w:val="02000000000000000000"/>
    <w:charset w:val="00"/>
    <w:family w:val="auto"/>
    <w:pitch w:val="variable"/>
    <w:sig w:usb0="0000000F"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00"/>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95CFC" w14:textId="77777777" w:rsidR="00552291" w:rsidRDefault="00437F74">
    <w:pPr>
      <w:pStyle w:val="Pieddepage"/>
    </w:pPr>
    <w:r>
      <w:tab/>
    </w:r>
    <w:r>
      <w:fldChar w:fldCharType="begin"/>
    </w:r>
    <w:r>
      <w:instrText xml:space="preserve"> PAGE </w:instrText>
    </w:r>
    <w:r>
      <w:fldChar w:fldCharType="separate"/>
    </w:r>
    <w:r>
      <w:t>7</w:t>
    </w:r>
    <w:r>
      <w:fldChar w:fldCharType="end"/>
    </w:r>
    <w:r>
      <w:t>/</w:t>
    </w:r>
    <w:r w:rsidR="00ED49F3">
      <w:fldChar w:fldCharType="begin"/>
    </w:r>
    <w:r w:rsidR="00ED49F3">
      <w:instrText xml:space="preserve"> NUMPAGES </w:instrText>
    </w:r>
    <w:r w:rsidR="00ED49F3">
      <w:fldChar w:fldCharType="separate"/>
    </w:r>
    <w:r>
      <w:t>7</w:t>
    </w:r>
    <w:r w:rsidR="00ED49F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75122" w14:textId="77777777" w:rsidR="00552291" w:rsidRDefault="00437F74">
    <w:pPr>
      <w:pStyle w:val="Pieddepage"/>
    </w:pPr>
    <w:r>
      <w:tab/>
    </w:r>
    <w:r>
      <w:fldChar w:fldCharType="begin"/>
    </w:r>
    <w:r>
      <w:instrText xml:space="preserve"> PAGE </w:instrText>
    </w:r>
    <w:r>
      <w:fldChar w:fldCharType="separate"/>
    </w:r>
    <w:r>
      <w:t>1</w:t>
    </w:r>
    <w:r>
      <w:fldChar w:fldCharType="end"/>
    </w:r>
    <w:r>
      <w:t>/</w:t>
    </w:r>
    <w:r w:rsidR="00ED49F3">
      <w:fldChar w:fldCharType="begin"/>
    </w:r>
    <w:r w:rsidR="00ED49F3">
      <w:instrText xml:space="preserve"> NUMPAGES </w:instrText>
    </w:r>
    <w:r w:rsidR="00ED49F3">
      <w:fldChar w:fldCharType="separate"/>
    </w:r>
    <w:r>
      <w:t>7</w:t>
    </w:r>
    <w:r w:rsidR="00ED49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C09F9" w14:textId="77777777" w:rsidR="007722DD" w:rsidRDefault="00437F74">
      <w:r>
        <w:rPr>
          <w:color w:val="000000"/>
        </w:rPr>
        <w:separator/>
      </w:r>
    </w:p>
  </w:footnote>
  <w:footnote w:type="continuationSeparator" w:id="0">
    <w:p w14:paraId="350E93B8" w14:textId="77777777" w:rsidR="007722DD" w:rsidRDefault="00437F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E9D13" w14:textId="04748F06" w:rsidR="00552291" w:rsidRPr="00192623" w:rsidRDefault="00437F74" w:rsidP="00ED49F3">
    <w:pPr>
      <w:pStyle w:val="En-tte"/>
      <w:tabs>
        <w:tab w:val="clear" w:pos="4819"/>
        <w:tab w:val="center" w:pos="4395"/>
      </w:tabs>
    </w:pPr>
    <w:r w:rsidRPr="00192623">
      <w:t>SOSED</w:t>
    </w:r>
    <w:r w:rsidRPr="00192623">
      <w:tab/>
    </w:r>
    <w:r w:rsidRPr="00192623">
      <w:tab/>
    </w:r>
    <w:r w:rsidR="00ED49F3" w:rsidRPr="00ED49F3">
      <w:t>Réhabilitation de la RN 12 Y PR 26+400 au PR 26+600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53507"/>
    <w:multiLevelType w:val="multilevel"/>
    <w:tmpl w:val="2F401E46"/>
    <w:styleLink w:val="List1"/>
    <w:lvl w:ilvl="0">
      <w:numFmt w:val="bullet"/>
      <w:pStyle w:val="corpsdetextepuce"/>
      <w:lvlText w:val="•"/>
      <w:lvlJc w:val="left"/>
      <w:pPr>
        <w:ind w:left="227" w:hanging="227"/>
      </w:pPr>
      <w:rPr>
        <w:rFonts w:ascii="StarSymbol" w:eastAsia="OpenSymbol" w:hAnsi="StarSymbol" w:cs="OpenSymbol"/>
        <w:b/>
        <w:bCs/>
      </w:rPr>
    </w:lvl>
    <w:lvl w:ilvl="1">
      <w:numFmt w:val="bullet"/>
      <w:lvlText w:val="•"/>
      <w:lvlJc w:val="left"/>
      <w:pPr>
        <w:ind w:left="454" w:hanging="227"/>
      </w:pPr>
      <w:rPr>
        <w:rFonts w:ascii="StarSymbol" w:eastAsia="OpenSymbol" w:hAnsi="StarSymbol" w:cs="OpenSymbol"/>
        <w:b/>
        <w:bCs/>
      </w:rPr>
    </w:lvl>
    <w:lvl w:ilvl="2">
      <w:numFmt w:val="bullet"/>
      <w:lvlText w:val="•"/>
      <w:lvlJc w:val="left"/>
      <w:pPr>
        <w:ind w:left="680" w:hanging="227"/>
      </w:pPr>
      <w:rPr>
        <w:rFonts w:ascii="StarSymbol" w:eastAsia="OpenSymbol" w:hAnsi="StarSymbol" w:cs="OpenSymbol"/>
        <w:b/>
        <w:bCs/>
      </w:rPr>
    </w:lvl>
    <w:lvl w:ilvl="3">
      <w:numFmt w:val="bullet"/>
      <w:lvlText w:val="•"/>
      <w:lvlJc w:val="left"/>
      <w:pPr>
        <w:ind w:left="907" w:hanging="227"/>
      </w:pPr>
      <w:rPr>
        <w:rFonts w:ascii="StarSymbol" w:eastAsia="OpenSymbol" w:hAnsi="StarSymbol" w:cs="OpenSymbol"/>
        <w:b/>
        <w:bCs/>
      </w:rPr>
    </w:lvl>
    <w:lvl w:ilvl="4">
      <w:numFmt w:val="bullet"/>
      <w:lvlText w:val="•"/>
      <w:lvlJc w:val="left"/>
      <w:pPr>
        <w:ind w:left="1134" w:hanging="227"/>
      </w:pPr>
      <w:rPr>
        <w:rFonts w:ascii="StarSymbol" w:eastAsia="OpenSymbol" w:hAnsi="StarSymbol" w:cs="OpenSymbol"/>
        <w:b/>
        <w:bCs/>
      </w:rPr>
    </w:lvl>
    <w:lvl w:ilvl="5">
      <w:numFmt w:val="bullet"/>
      <w:lvlText w:val="•"/>
      <w:lvlJc w:val="left"/>
      <w:pPr>
        <w:ind w:left="1361" w:hanging="227"/>
      </w:pPr>
      <w:rPr>
        <w:rFonts w:ascii="StarSymbol" w:eastAsia="OpenSymbol" w:hAnsi="StarSymbol" w:cs="OpenSymbol"/>
        <w:b/>
        <w:bCs/>
      </w:rPr>
    </w:lvl>
    <w:lvl w:ilvl="6">
      <w:numFmt w:val="bullet"/>
      <w:lvlText w:val="•"/>
      <w:lvlJc w:val="left"/>
      <w:pPr>
        <w:ind w:left="1587" w:hanging="227"/>
      </w:pPr>
      <w:rPr>
        <w:rFonts w:ascii="StarSymbol" w:eastAsia="OpenSymbol" w:hAnsi="StarSymbol" w:cs="OpenSymbol"/>
        <w:b/>
        <w:bCs/>
      </w:rPr>
    </w:lvl>
    <w:lvl w:ilvl="7">
      <w:numFmt w:val="bullet"/>
      <w:lvlText w:val="•"/>
      <w:lvlJc w:val="left"/>
      <w:pPr>
        <w:ind w:left="1814" w:hanging="227"/>
      </w:pPr>
      <w:rPr>
        <w:rFonts w:ascii="StarSymbol" w:eastAsia="OpenSymbol" w:hAnsi="StarSymbol" w:cs="OpenSymbol"/>
        <w:b/>
        <w:bCs/>
      </w:rPr>
    </w:lvl>
    <w:lvl w:ilvl="8">
      <w:numFmt w:val="bullet"/>
      <w:lvlText w:val="•"/>
      <w:lvlJc w:val="left"/>
      <w:pPr>
        <w:ind w:left="2041" w:hanging="227"/>
      </w:pPr>
      <w:rPr>
        <w:rFonts w:ascii="StarSymbol" w:eastAsia="OpenSymbol" w:hAnsi="StarSymbol" w:cs="OpenSymbol"/>
        <w:b/>
        <w:bCs/>
      </w:rPr>
    </w:lvl>
  </w:abstractNum>
  <w:abstractNum w:abstractNumId="1" w15:restartNumberingAfterBreak="0">
    <w:nsid w:val="50A92C96"/>
    <w:multiLevelType w:val="multilevel"/>
    <w:tmpl w:val="416E7364"/>
    <w:styleLink w:val="Outline"/>
    <w:lvl w:ilvl="0">
      <w:start w:val="1"/>
      <w:numFmt w:val="upperRoman"/>
      <w:pStyle w:val="Titre1"/>
      <w:lvlText w:val="%1 -  "/>
      <w:lvlJc w:val="left"/>
      <w:rPr>
        <w:b/>
        <w:bCs/>
      </w:rPr>
    </w:lvl>
    <w:lvl w:ilvl="1">
      <w:start w:val="1"/>
      <w:numFmt w:val="decimal"/>
      <w:pStyle w:val="Titre2"/>
      <w:lvlText w:val="%1.%2 - "/>
      <w:lvlJc w:val="left"/>
      <w:rPr>
        <w:b/>
        <w:bCs/>
      </w:rPr>
    </w:lvl>
    <w:lvl w:ilvl="2">
      <w:start w:val="1"/>
      <w:numFmt w:val="decimal"/>
      <w:pStyle w:val="Titre3"/>
      <w:lvlText w:val="%1.%2.%3 - "/>
      <w:lvlJc w:val="left"/>
      <w:rPr>
        <w:b/>
        <w:bCs/>
      </w:rPr>
    </w:lvl>
    <w:lvl w:ilvl="3">
      <w:start w:val="1"/>
      <w:numFmt w:val="decimal"/>
      <w:pStyle w:val="Titre4"/>
      <w:lvlText w:val="%1.%2.%3.%4 - "/>
      <w:lvlJc w:val="left"/>
      <w:rPr>
        <w:b/>
        <w:bCs/>
      </w:rPr>
    </w:lvl>
    <w:lvl w:ilvl="4">
      <w:start w:val="1"/>
      <w:numFmt w:val="upperLetter"/>
      <w:pStyle w:val="Titre5"/>
      <w:lvlText w:val="%5)"/>
      <w:lvlJc w:val="left"/>
      <w:rPr>
        <w:b/>
        <w:bCs/>
      </w:r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5A9F4731"/>
    <w:multiLevelType w:val="multilevel"/>
    <w:tmpl w:val="AE00E51A"/>
    <w:styleLink w:val="WWNum33"/>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revisionView w:inkAnnotations="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8FF"/>
    <w:rsid w:val="00192623"/>
    <w:rsid w:val="0028574F"/>
    <w:rsid w:val="00437F74"/>
    <w:rsid w:val="007722DD"/>
    <w:rsid w:val="007E18FF"/>
    <w:rsid w:val="009E450C"/>
    <w:rsid w:val="00ED49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438FF"/>
  <w15:docId w15:val="{508EB7C0-BA1C-4AD9-A7EF-B1D49C5A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Unicode MS"/>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Heading"/>
    <w:next w:val="Textbody"/>
    <w:uiPriority w:val="9"/>
    <w:qFormat/>
    <w:pPr>
      <w:numPr>
        <w:numId w:val="1"/>
      </w:numPr>
      <w:spacing w:before="114" w:after="114"/>
      <w:outlineLvl w:val="0"/>
    </w:pPr>
    <w:rPr>
      <w:rFonts w:ascii="Marianne" w:eastAsia="Marianne" w:hAnsi="Marianne" w:cs="Marianne"/>
      <w:b/>
      <w:bCs/>
      <w:sz w:val="24"/>
      <w:szCs w:val="24"/>
      <w:u w:val="single"/>
    </w:rPr>
  </w:style>
  <w:style w:type="paragraph" w:styleId="Titre2">
    <w:name w:val="heading 2"/>
    <w:basedOn w:val="Heading"/>
    <w:next w:val="Textbody"/>
    <w:uiPriority w:val="9"/>
    <w:unhideWhenUsed/>
    <w:qFormat/>
    <w:pPr>
      <w:numPr>
        <w:ilvl w:val="1"/>
        <w:numId w:val="1"/>
      </w:numPr>
      <w:spacing w:before="200"/>
      <w:outlineLvl w:val="1"/>
    </w:pPr>
    <w:rPr>
      <w:rFonts w:ascii="Marianne" w:eastAsia="Marianne" w:hAnsi="Marianne" w:cs="Marianne"/>
      <w:b/>
      <w:bCs/>
      <w:sz w:val="20"/>
      <w:szCs w:val="20"/>
      <w:u w:val="single"/>
    </w:rPr>
  </w:style>
  <w:style w:type="paragraph" w:styleId="Titre3">
    <w:name w:val="heading 3"/>
    <w:basedOn w:val="Heading"/>
    <w:next w:val="Textbody"/>
    <w:uiPriority w:val="9"/>
    <w:semiHidden/>
    <w:unhideWhenUsed/>
    <w:qFormat/>
    <w:pPr>
      <w:numPr>
        <w:ilvl w:val="2"/>
        <w:numId w:val="1"/>
      </w:numPr>
      <w:tabs>
        <w:tab w:val="left" w:pos="283"/>
      </w:tabs>
      <w:spacing w:before="140"/>
      <w:outlineLvl w:val="2"/>
    </w:pPr>
    <w:rPr>
      <w:rFonts w:ascii="Marianne" w:eastAsia="Marianne" w:hAnsi="Marianne" w:cs="Marianne"/>
      <w:sz w:val="20"/>
      <w:szCs w:val="20"/>
    </w:rPr>
  </w:style>
  <w:style w:type="paragraph" w:styleId="Titre4">
    <w:name w:val="heading 4"/>
    <w:basedOn w:val="Heading"/>
    <w:next w:val="Textbody"/>
    <w:uiPriority w:val="9"/>
    <w:semiHidden/>
    <w:unhideWhenUsed/>
    <w:qFormat/>
    <w:pPr>
      <w:numPr>
        <w:ilvl w:val="3"/>
        <w:numId w:val="1"/>
      </w:numPr>
      <w:tabs>
        <w:tab w:val="left" w:pos="705"/>
        <w:tab w:val="left" w:pos="805"/>
        <w:tab w:val="left" w:pos="930"/>
        <w:tab w:val="left" w:pos="1155"/>
        <w:tab w:val="left" w:pos="2042"/>
        <w:tab w:val="left" w:pos="2330"/>
        <w:tab w:val="decimal" w:pos="2380"/>
      </w:tabs>
      <w:spacing w:before="120"/>
      <w:outlineLvl w:val="3"/>
    </w:pPr>
    <w:rPr>
      <w:rFonts w:ascii="Marianne" w:eastAsia="Marianne" w:hAnsi="Marianne" w:cs="Marianne"/>
      <w:sz w:val="20"/>
      <w:szCs w:val="20"/>
      <w:u w:val="single"/>
    </w:rPr>
  </w:style>
  <w:style w:type="paragraph" w:styleId="Titre5">
    <w:name w:val="heading 5"/>
    <w:basedOn w:val="Heading"/>
    <w:next w:val="Textbody"/>
    <w:uiPriority w:val="9"/>
    <w:semiHidden/>
    <w:unhideWhenUsed/>
    <w:qFormat/>
    <w:pPr>
      <w:numPr>
        <w:ilvl w:val="4"/>
        <w:numId w:val="1"/>
      </w:numPr>
      <w:tabs>
        <w:tab w:val="left" w:pos="568"/>
      </w:tabs>
      <w:spacing w:before="120" w:after="60"/>
      <w:outlineLvl w:val="4"/>
    </w:pPr>
    <w:rPr>
      <w:rFonts w:ascii="Marianne" w:hAnsi="Marianne"/>
      <w:sz w:val="20"/>
      <w:szCs w:val="20"/>
    </w:rPr>
  </w:style>
  <w:style w:type="paragraph" w:styleId="Titre6">
    <w:name w:val="heading 6"/>
    <w:basedOn w:val="Heading"/>
    <w:next w:val="Textbody"/>
    <w:uiPriority w:val="9"/>
    <w:semiHidden/>
    <w:unhideWhenUsed/>
    <w:qFormat/>
    <w:pPr>
      <w:spacing w:before="60" w:after="60"/>
      <w:outlineLvl w:val="5"/>
    </w:pPr>
    <w:rPr>
      <w:b/>
      <w:bCs/>
      <w:i/>
      <w:iCs/>
    </w:rPr>
  </w:style>
  <w:style w:type="paragraph" w:styleId="Titre7">
    <w:name w:val="heading 7"/>
    <w:basedOn w:val="Heading"/>
    <w:next w:val="Textbody"/>
    <w:pPr>
      <w:spacing w:before="60" w:after="60"/>
      <w:outlineLvl w:val="6"/>
    </w:pPr>
    <w:rPr>
      <w:b/>
      <w:bCs/>
    </w:rPr>
  </w:style>
  <w:style w:type="paragraph" w:styleId="Titre8">
    <w:name w:val="heading 8"/>
    <w:basedOn w:val="Heading"/>
    <w:next w:val="Textbody"/>
    <w:pPr>
      <w:spacing w:before="60" w:after="60"/>
      <w:outlineLvl w:val="7"/>
    </w:pPr>
    <w:rPr>
      <w:b/>
      <w:bCs/>
      <w:i/>
      <w:iCs/>
    </w:rPr>
  </w:style>
  <w:style w:type="paragraph" w:styleId="Titre9">
    <w:name w:val="heading 9"/>
    <w:basedOn w:val="Heading"/>
    <w:next w:val="Textbody"/>
    <w:pPr>
      <w:spacing w:before="60" w:after="60"/>
      <w:outlineLvl w:val="8"/>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pPr>
      <w:jc w:val="both"/>
    </w:pPr>
    <w:rPr>
      <w:rFonts w:ascii="Marianne" w:eastAsia="Marianne" w:hAnsi="Marianne" w:cs="Marianne"/>
      <w:sz w:val="20"/>
      <w:szCs w:val="20"/>
    </w:rPr>
  </w:style>
  <w:style w:type="paragraph" w:customStyle="1" w:styleId="Heading">
    <w:name w:val="Heading"/>
    <w:basedOn w:val="Standard"/>
    <w:next w:val="Textbody"/>
    <w:pPr>
      <w:keepNext/>
      <w:spacing w:before="240" w:after="120"/>
    </w:pPr>
    <w:rPr>
      <w:rFonts w:ascii="Liberation Sans" w:eastAsia="Microsoft YaHei" w:hAnsi="Liberation Sans" w:cs="Arial Unicode MS"/>
      <w:sz w:val="28"/>
      <w:szCs w:val="28"/>
    </w:rPr>
  </w:style>
  <w:style w:type="paragraph" w:customStyle="1" w:styleId="Textbody">
    <w:name w:val="Text body"/>
    <w:basedOn w:val="Standard"/>
    <w:pPr>
      <w:suppressLineNumbers/>
      <w:spacing w:before="57" w:after="57"/>
      <w:ind w:left="283"/>
    </w:pPr>
  </w:style>
  <w:style w:type="paragraph" w:styleId="Liste">
    <w:name w:val="List"/>
    <w:basedOn w:val="Textbody"/>
    <w:rPr>
      <w:rFonts w:cs="Arial Unicode MS"/>
      <w:sz w:val="24"/>
    </w:rPr>
  </w:style>
  <w:style w:type="paragraph" w:styleId="Lgende">
    <w:name w:val="caption"/>
    <w:basedOn w:val="Standard"/>
    <w:pPr>
      <w:suppressLineNumbers/>
      <w:spacing w:before="120" w:after="120"/>
    </w:pPr>
    <w:rPr>
      <w:rFonts w:cs="Arial Unicode MS"/>
      <w:i/>
      <w:iCs/>
      <w:sz w:val="24"/>
      <w:szCs w:val="24"/>
    </w:rPr>
  </w:style>
  <w:style w:type="paragraph" w:customStyle="1" w:styleId="Index">
    <w:name w:val="Index"/>
    <w:basedOn w:val="Standard"/>
    <w:pPr>
      <w:suppressLineNumbers/>
    </w:pPr>
    <w:rPr>
      <w:rFonts w:cs="Arial Unicode MS"/>
      <w:sz w:val="24"/>
    </w:rPr>
  </w:style>
  <w:style w:type="paragraph" w:customStyle="1" w:styleId="TableContents">
    <w:name w:val="Table Contents"/>
    <w:basedOn w:val="Standard"/>
    <w:pPr>
      <w:suppressLineNumbers/>
    </w:pPr>
  </w:style>
  <w:style w:type="paragraph" w:styleId="Titre">
    <w:name w:val="Title"/>
    <w:basedOn w:val="Heading"/>
    <w:next w:val="Textbody"/>
    <w:uiPriority w:val="10"/>
    <w:qFormat/>
    <w:pPr>
      <w:spacing w:before="12" w:after="0"/>
      <w:jc w:val="center"/>
    </w:pPr>
    <w:rPr>
      <w:rFonts w:ascii="Arial" w:eastAsia="Arial" w:hAnsi="Arial" w:cs="Arial"/>
      <w:b/>
      <w:bCs/>
      <w:color w:val="008080"/>
      <w:sz w:val="40"/>
      <w:szCs w:val="40"/>
    </w:rPr>
  </w:style>
  <w:style w:type="paragraph" w:styleId="Sous-titre">
    <w:name w:val="Subtitle"/>
    <w:basedOn w:val="Heading"/>
    <w:next w:val="Textbody"/>
    <w:uiPriority w:val="11"/>
    <w:qFormat/>
    <w:pPr>
      <w:spacing w:before="60"/>
      <w:jc w:val="center"/>
    </w:pPr>
    <w:rPr>
      <w:rFonts w:ascii="Arial" w:hAnsi="Arial"/>
      <w:b/>
      <w:bCs/>
      <w:sz w:val="32"/>
      <w:szCs w:val="32"/>
    </w:rPr>
  </w:style>
  <w:style w:type="paragraph" w:customStyle="1" w:styleId="Quotations">
    <w:name w:val="Quotations"/>
    <w:basedOn w:val="Standard"/>
    <w:pPr>
      <w:spacing w:before="114" w:after="114"/>
      <w:ind w:right="567"/>
    </w:pPr>
    <w:rPr>
      <w:b/>
      <w:bCs/>
      <w:u w:val="single"/>
    </w:rPr>
  </w:style>
  <w:style w:type="paragraph" w:customStyle="1" w:styleId="Illustration">
    <w:name w:val="Illustration"/>
    <w:basedOn w:val="Lgende"/>
    <w:pPr>
      <w:jc w:val="center"/>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Standard"/>
    <w:pPr>
      <w:suppressLineNumbers/>
      <w:tabs>
        <w:tab w:val="center" w:pos="4819"/>
        <w:tab w:val="right" w:pos="9638"/>
      </w:tabs>
    </w:pPr>
  </w:style>
  <w:style w:type="paragraph" w:styleId="Pieddepage">
    <w:name w:val="footer"/>
    <w:basedOn w:val="Standard"/>
    <w:pPr>
      <w:suppressLineNumbers/>
      <w:tabs>
        <w:tab w:val="center" w:pos="4819"/>
        <w:tab w:val="right" w:pos="9638"/>
      </w:tabs>
    </w:pPr>
  </w:style>
  <w:style w:type="paragraph" w:customStyle="1" w:styleId="Heading10">
    <w:name w:val="Heading 10"/>
    <w:basedOn w:val="Heading"/>
    <w:next w:val="Textbody"/>
    <w:pPr>
      <w:spacing w:before="60" w:after="60"/>
    </w:pPr>
    <w:rPr>
      <w:b/>
      <w:bCs/>
    </w:rPr>
  </w:style>
  <w:style w:type="paragraph" w:customStyle="1" w:styleId="TableHeading">
    <w:name w:val="Table Heading"/>
    <w:basedOn w:val="TableContents"/>
    <w:pPr>
      <w:jc w:val="center"/>
    </w:pPr>
    <w:rPr>
      <w:b/>
      <w:bCs/>
    </w:rPr>
  </w:style>
  <w:style w:type="paragraph" w:customStyle="1" w:styleId="Paragraphe">
    <w:name w:val="Paragraphe"/>
    <w:basedOn w:val="Standard"/>
    <w:pPr>
      <w:overflowPunct w:val="0"/>
      <w:autoSpaceDE w:val="0"/>
      <w:spacing w:before="120"/>
    </w:pPr>
    <w:rPr>
      <w:rFonts w:ascii="Arial" w:eastAsia="Arial" w:hAnsi="Arial" w:cs="Times New Roman"/>
      <w:sz w:val="24"/>
      <w:szCs w:val="24"/>
    </w:rPr>
  </w:style>
  <w:style w:type="paragraph" w:customStyle="1" w:styleId="Contents1">
    <w:name w:val="Contents 1"/>
    <w:basedOn w:val="Index"/>
    <w:autoRedefine/>
    <w:pPr>
      <w:tabs>
        <w:tab w:val="right" w:leader="dot" w:pos="9638"/>
      </w:tabs>
      <w:spacing w:before="171" w:after="171"/>
    </w:pPr>
    <w:rPr>
      <w:rFonts w:cs="Marianne"/>
      <w:b/>
      <w:bCs/>
    </w:rPr>
  </w:style>
  <w:style w:type="paragraph" w:customStyle="1" w:styleId="Contents2">
    <w:name w:val="Contents 2"/>
    <w:basedOn w:val="Index"/>
    <w:pPr>
      <w:tabs>
        <w:tab w:val="right" w:leader="dot" w:pos="9921"/>
      </w:tabs>
      <w:spacing w:before="57" w:after="57"/>
      <w:ind w:left="283"/>
    </w:pPr>
  </w:style>
  <w:style w:type="paragraph" w:customStyle="1" w:styleId="Contents3">
    <w:name w:val="Contents 3"/>
    <w:basedOn w:val="Index"/>
    <w:pPr>
      <w:tabs>
        <w:tab w:val="right" w:leader="dot" w:pos="10204"/>
      </w:tabs>
      <w:ind w:left="566"/>
    </w:pPr>
  </w:style>
  <w:style w:type="paragraph" w:customStyle="1" w:styleId="Contents4">
    <w:name w:val="Contents 4"/>
    <w:basedOn w:val="Index"/>
    <w:pPr>
      <w:tabs>
        <w:tab w:val="right" w:leader="dot" w:pos="9638"/>
      </w:tabs>
      <w:ind w:left="849"/>
    </w:pPr>
  </w:style>
  <w:style w:type="paragraph" w:customStyle="1" w:styleId="Framecontents">
    <w:name w:val="Frame contents"/>
    <w:basedOn w:val="Standard"/>
  </w:style>
  <w:style w:type="paragraph" w:customStyle="1" w:styleId="Table">
    <w:name w:val="Table"/>
    <w:basedOn w:val="Lgende"/>
    <w:pPr>
      <w:keepNext/>
      <w:jc w:val="center"/>
    </w:pPr>
    <w:rPr>
      <w:b/>
      <w:bCs/>
      <w:sz w:val="18"/>
      <w:szCs w:val="18"/>
    </w:rPr>
  </w:style>
  <w:style w:type="paragraph" w:customStyle="1" w:styleId="Parareponse">
    <w:name w:val="Para_reponse"/>
    <w:basedOn w:val="Standard"/>
    <w:pPr>
      <w:spacing w:before="120" w:after="120"/>
    </w:pPr>
  </w:style>
  <w:style w:type="paragraph" w:customStyle="1" w:styleId="Reponse">
    <w:name w:val="Reponse"/>
    <w:basedOn w:val="Standard"/>
    <w:pPr>
      <w:ind w:left="567" w:right="567"/>
    </w:pPr>
  </w:style>
  <w:style w:type="paragraph" w:customStyle="1" w:styleId="corpsdetextepuce">
    <w:name w:val="corps de texte puce"/>
    <w:basedOn w:val="Textbody"/>
    <w:pPr>
      <w:numPr>
        <w:numId w:val="2"/>
      </w:numPr>
      <w:spacing w:after="85"/>
    </w:pPr>
    <w:rPr>
      <w:sz w:val="21"/>
    </w:rPr>
  </w:style>
  <w:style w:type="paragraph" w:customStyle="1" w:styleId="Headerleft">
    <w:name w:val="Header left"/>
    <w:basedOn w:val="En-tte"/>
  </w:style>
  <w:style w:type="paragraph" w:customStyle="1" w:styleId="Paradouble">
    <w:name w:val="Para_double"/>
    <w:basedOn w:val="Paragraphe"/>
    <w:pPr>
      <w:spacing w:after="240"/>
    </w:pPr>
  </w:style>
  <w:style w:type="paragraph" w:styleId="Titreindex">
    <w:name w:val="index heading"/>
    <w:basedOn w:val="Heading"/>
    <w:pPr>
      <w:suppressLineNumbers/>
    </w:pPr>
    <w:rPr>
      <w:rFonts w:ascii="Marianne" w:eastAsia="Marianne" w:hAnsi="Marianne" w:cs="Marianne"/>
      <w:b/>
      <w:bCs/>
    </w:rPr>
  </w:style>
  <w:style w:type="paragraph" w:customStyle="1" w:styleId="ContentsHeading">
    <w:name w:val="Contents Heading"/>
    <w:basedOn w:val="Titreindex"/>
    <w:rPr>
      <w:sz w:val="32"/>
      <w:szCs w:val="32"/>
    </w:rPr>
  </w:style>
  <w:style w:type="character" w:customStyle="1" w:styleId="BulletSymbols">
    <w:name w:val="Bullet Symbols"/>
    <w:rPr>
      <w:rFonts w:ascii="OpenSymbol" w:eastAsia="OpenSymbol" w:hAnsi="OpenSymbol" w:cs="OpenSymbol"/>
      <w:b/>
      <w:bCs/>
    </w:rPr>
  </w:style>
  <w:style w:type="character" w:customStyle="1" w:styleId="NumberingSymbols">
    <w:name w:val="Numbering Symbols"/>
    <w:rPr>
      <w:b/>
      <w:bCs/>
    </w:rPr>
  </w:style>
  <w:style w:type="character" w:customStyle="1" w:styleId="Internetlink">
    <w:name w:val="Internet link"/>
    <w:rPr>
      <w:color w:val="000080"/>
      <w:u w:val="single"/>
    </w:rPr>
  </w:style>
  <w:style w:type="character" w:customStyle="1" w:styleId="IndexLink">
    <w:name w:val="Index Link"/>
  </w:style>
  <w:style w:type="character" w:customStyle="1" w:styleId="StrongEmphasis">
    <w:name w:val="Strong Emphasis"/>
    <w:rPr>
      <w:b/>
      <w:bCs/>
    </w:rPr>
  </w:style>
  <w:style w:type="character" w:customStyle="1" w:styleId="Bullet20Symbols">
    <w:name w:val="Bullet_20_Symbols"/>
  </w:style>
  <w:style w:type="character" w:customStyle="1" w:styleId="VisitedInternetLink">
    <w:name w:val="Visited Internet Link"/>
    <w:rPr>
      <w:color w:val="800000"/>
      <w:u w:val="single"/>
    </w:rPr>
  </w:style>
  <w:style w:type="character" w:customStyle="1" w:styleId="Character20style">
    <w:name w:val="Character_20_style"/>
  </w:style>
  <w:style w:type="numbering" w:customStyle="1" w:styleId="List1">
    <w:name w:val="List 1"/>
    <w:basedOn w:val="Aucuneliste"/>
    <w:pPr>
      <w:numPr>
        <w:numId w:val="2"/>
      </w:numPr>
    </w:pPr>
  </w:style>
  <w:style w:type="numbering" w:customStyle="1" w:styleId="WWNum33">
    <w:name w:val="WWNum33"/>
    <w:basedOn w:val="Aucuneliste"/>
    <w:pPr>
      <w:numPr>
        <w:numId w:val="3"/>
      </w:numPr>
    </w:pPr>
  </w:style>
  <w:style w:type="table" w:styleId="Grilledutableau">
    <w:name w:val="Table Grid"/>
    <w:basedOn w:val="TableauNormal"/>
    <w:uiPriority w:val="39"/>
    <w:rsid w:val="00192623"/>
    <w:pPr>
      <w:autoSpaceDN/>
      <w:textAlignment w:val="auto"/>
    </w:pPr>
    <w:rPr>
      <w:rFonts w:asciiTheme="minorHAnsi" w:eastAsiaTheme="minorEastAsia"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ED49F3"/>
    <w:pPr>
      <w:spacing w:after="100"/>
    </w:pPr>
    <w:rPr>
      <w:rFonts w:cs="Mangal"/>
      <w:szCs w:val="21"/>
    </w:rPr>
  </w:style>
  <w:style w:type="paragraph" w:styleId="TM2">
    <w:name w:val="toc 2"/>
    <w:basedOn w:val="Normal"/>
    <w:next w:val="Normal"/>
    <w:autoRedefine/>
    <w:uiPriority w:val="39"/>
    <w:unhideWhenUsed/>
    <w:rsid w:val="00ED49F3"/>
    <w:pPr>
      <w:spacing w:after="100"/>
      <w:ind w:left="240"/>
    </w:pPr>
    <w:rPr>
      <w:rFonts w:cs="Mangal"/>
      <w:szCs w:val="21"/>
    </w:rPr>
  </w:style>
  <w:style w:type="character" w:styleId="Lienhypertexte">
    <w:name w:val="Hyperlink"/>
    <w:basedOn w:val="Policepardfaut"/>
    <w:uiPriority w:val="99"/>
    <w:unhideWhenUsed/>
    <w:rsid w:val="00ED49F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1269</Words>
  <Characters>6985</Characters>
  <Application>Microsoft Office Word</Application>
  <DocSecurity>0</DocSecurity>
  <Lines>58</Lines>
  <Paragraphs>16</Paragraphs>
  <ScaleCrop>false</ScaleCrop>
  <Company/>
  <LinksUpToDate>false</LinksUpToDate>
  <CharactersWithSpaces>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CHAPARD Hugo</dc:creator>
  <cp:lastModifiedBy>PROVOST Laurent</cp:lastModifiedBy>
  <cp:revision>4</cp:revision>
  <dcterms:created xsi:type="dcterms:W3CDTF">2024-07-09T10:09:00Z</dcterms:created>
  <dcterms:modified xsi:type="dcterms:W3CDTF">2025-01-13T14:46:00Z</dcterms:modified>
</cp:coreProperties>
</file>