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6CC0" w:rsidRDefault="00A56CC0" w:rsidP="00306352"/>
    <w:p w:rsidR="00E72CBA" w:rsidRPr="00843537" w:rsidRDefault="00A56CC0" w:rsidP="00306352">
      <w:pPr>
        <w:tabs>
          <w:tab w:val="left" w:pos="1005"/>
          <w:tab w:val="right" w:pos="9360"/>
        </w:tabs>
        <w:rPr>
          <w:b/>
          <w:bCs/>
          <w:sz w:val="32"/>
          <w:szCs w:val="32"/>
        </w:rPr>
      </w:pPr>
      <w:r>
        <w:tab/>
      </w:r>
      <w:r>
        <w:tab/>
      </w:r>
      <w:r w:rsidR="00E72CBA">
        <w:rPr>
          <w:b/>
          <w:bCs/>
          <w:sz w:val="32"/>
          <w:szCs w:val="32"/>
        </w:rPr>
        <w:t>Règlement de la consultation</w:t>
      </w:r>
    </w:p>
    <w:p w:rsidR="00E72CBA" w:rsidRPr="00843537" w:rsidRDefault="00E72CBA" w:rsidP="00306352">
      <w:pPr>
        <w:pBdr>
          <w:bottom w:val="single" w:sz="18" w:space="17" w:color="auto"/>
        </w:pBdr>
        <w:tabs>
          <w:tab w:val="left" w:pos="540"/>
          <w:tab w:val="right" w:pos="9360"/>
        </w:tabs>
        <w:rPr>
          <w:sz w:val="40"/>
          <w:szCs w:val="40"/>
        </w:rPr>
      </w:pPr>
      <w:r>
        <w:rPr>
          <w:b/>
          <w:bCs/>
          <w:sz w:val="32"/>
          <w:szCs w:val="32"/>
        </w:rPr>
        <w:tab/>
      </w:r>
      <w:r>
        <w:rPr>
          <w:b/>
          <w:bCs/>
          <w:sz w:val="32"/>
          <w:szCs w:val="32"/>
        </w:rPr>
        <w:tab/>
        <w:t>RC</w:t>
      </w:r>
    </w:p>
    <w:p w:rsidR="00E72CBA" w:rsidRPr="00E50C1C" w:rsidRDefault="00E72CBA" w:rsidP="00306352">
      <w:pPr>
        <w:tabs>
          <w:tab w:val="right" w:pos="9360"/>
        </w:tabs>
        <w:rPr>
          <w:rFonts w:cs="Calibri"/>
        </w:rPr>
      </w:pPr>
    </w:p>
    <w:p w:rsidR="00E72CBA" w:rsidRPr="00E50C1C" w:rsidRDefault="00E72CBA" w:rsidP="00306352">
      <w:pPr>
        <w:tabs>
          <w:tab w:val="right" w:pos="9360"/>
        </w:tabs>
        <w:rPr>
          <w:rFonts w:cs="Calibri"/>
        </w:rPr>
      </w:pPr>
    </w:p>
    <w:p w:rsidR="00A56CC0" w:rsidRPr="00E72CBA" w:rsidRDefault="00A56CC0" w:rsidP="00306352">
      <w:pPr>
        <w:tabs>
          <w:tab w:val="left" w:pos="1005"/>
          <w:tab w:val="right" w:pos="9360"/>
        </w:tabs>
        <w:rPr>
          <w:rFonts w:ascii="Calibri" w:hAnsi="Calibri" w:cs="Times New Roman"/>
          <w:b/>
          <w:bCs/>
          <w:sz w:val="32"/>
          <w:szCs w:val="32"/>
        </w:rPr>
      </w:pPr>
    </w:p>
    <w:p w:rsidR="00A56CC0" w:rsidRPr="00E72CBA" w:rsidRDefault="00A56CC0" w:rsidP="00306352">
      <w:pPr>
        <w:tabs>
          <w:tab w:val="left" w:pos="1005"/>
          <w:tab w:val="right" w:pos="9360"/>
        </w:tabs>
        <w:rPr>
          <w:rFonts w:ascii="Calibri" w:hAnsi="Calibri" w:cs="Times New Roman"/>
          <w:b/>
          <w:bCs/>
          <w:sz w:val="32"/>
          <w:szCs w:val="32"/>
        </w:rPr>
      </w:pPr>
    </w:p>
    <w:p w:rsidR="00A56CC0" w:rsidRPr="00E50C1C" w:rsidRDefault="00A56CC0" w:rsidP="00306352"/>
    <w:p w:rsidR="00A56CC0" w:rsidRPr="00E50C1C" w:rsidRDefault="00A56CC0" w:rsidP="00306352"/>
    <w:p w:rsidR="00A56CC0" w:rsidRDefault="00A56CC0" w:rsidP="00306352"/>
    <w:p w:rsidR="00102424" w:rsidRDefault="00102424" w:rsidP="00306352"/>
    <w:p w:rsidR="00102424" w:rsidRDefault="00102424" w:rsidP="00306352"/>
    <w:p w:rsidR="00102424" w:rsidRDefault="00102424" w:rsidP="00306352"/>
    <w:p w:rsidR="00102424" w:rsidRDefault="00102424" w:rsidP="00306352"/>
    <w:p w:rsidR="00102424" w:rsidRDefault="00102424" w:rsidP="00306352"/>
    <w:p w:rsidR="00102424" w:rsidRDefault="00102424" w:rsidP="00306352"/>
    <w:p w:rsidR="00102424" w:rsidRDefault="00102424" w:rsidP="00306352"/>
    <w:p w:rsidR="00102424" w:rsidRPr="00E50C1C" w:rsidRDefault="00102424" w:rsidP="00306352"/>
    <w:p w:rsidR="00A56CC0" w:rsidRPr="00E50C1C" w:rsidRDefault="00A56CC0" w:rsidP="00306352"/>
    <w:p w:rsidR="00A56CC0" w:rsidRPr="00E50C1C" w:rsidRDefault="00A56CC0" w:rsidP="00306352"/>
    <w:p w:rsidR="00102424" w:rsidRPr="00102424" w:rsidRDefault="0055038D" w:rsidP="00102424">
      <w:pPr>
        <w:tabs>
          <w:tab w:val="right" w:pos="9360"/>
        </w:tabs>
        <w:spacing w:after="160" w:line="288" w:lineRule="auto"/>
        <w:jc w:val="center"/>
        <w:rPr>
          <w:rFonts w:ascii="Calibri" w:hAnsi="Calibri" w:cs="Calibri"/>
          <w:b/>
          <w:bCs/>
          <w:sz w:val="36"/>
          <w:szCs w:val="36"/>
        </w:rPr>
      </w:pPr>
      <w:r w:rsidRPr="0055038D">
        <w:rPr>
          <w:rFonts w:ascii="Calibri" w:hAnsi="Calibri" w:cs="Calibri"/>
          <w:b/>
          <w:bCs/>
          <w:sz w:val="36"/>
          <w:szCs w:val="36"/>
        </w:rPr>
        <w:t>C</w:t>
      </w:r>
      <w:r w:rsidR="00102424">
        <w:rPr>
          <w:rFonts w:ascii="Calibri" w:hAnsi="Calibri" w:cs="Calibri"/>
          <w:b/>
          <w:bCs/>
          <w:sz w:val="36"/>
          <w:szCs w:val="36"/>
        </w:rPr>
        <w:t>urage et débouchage des canalisations des différents sites de la Caisse Primaire d’Assurance Maladie de la Gironde.</w:t>
      </w:r>
    </w:p>
    <w:p w:rsidR="00A56CC0" w:rsidRPr="00A56CC0" w:rsidRDefault="00A56CC0" w:rsidP="00306352"/>
    <w:p w:rsidR="00A56CC0" w:rsidRPr="00E50C1C" w:rsidRDefault="00A56CC0" w:rsidP="00306352"/>
    <w:tbl>
      <w:tblPr>
        <w:tblStyle w:val="Grilledutableau"/>
        <w:tblW w:w="0" w:type="auto"/>
        <w:tblLook w:val="04A0" w:firstRow="1" w:lastRow="0" w:firstColumn="1" w:lastColumn="0" w:noHBand="0" w:noVBand="1"/>
      </w:tblPr>
      <w:tblGrid>
        <w:gridCol w:w="9628"/>
      </w:tblGrid>
      <w:tr w:rsidR="00C41A1B" w:rsidTr="00C41A1B">
        <w:trPr>
          <w:trHeight w:val="2277"/>
        </w:trPr>
        <w:tc>
          <w:tcPr>
            <w:tcW w:w="9795" w:type="dxa"/>
          </w:tcPr>
          <w:p w:rsidR="00C41A1B" w:rsidRDefault="00C41A1B" w:rsidP="00BD283E">
            <w:pPr>
              <w:jc w:val="center"/>
            </w:pPr>
          </w:p>
          <w:p w:rsidR="00C41A1B" w:rsidRPr="00E72CBA" w:rsidRDefault="0099306A" w:rsidP="00BD283E">
            <w:pPr>
              <w:jc w:val="center"/>
              <w:rPr>
                <w:rFonts w:ascii="Calibri" w:hAnsi="Calibri" w:cs="Times New Roman"/>
                <w:b/>
              </w:rPr>
            </w:pPr>
            <w:r w:rsidRPr="00E72CBA">
              <w:rPr>
                <w:rFonts w:ascii="Calibri" w:hAnsi="Calibri" w:cs="Times New Roman"/>
                <w:b/>
              </w:rPr>
              <w:t>POUVOIR ADJUDICATEUR</w:t>
            </w:r>
          </w:p>
          <w:p w:rsidR="00C41A1B" w:rsidRPr="00E72CBA" w:rsidRDefault="00C41A1B" w:rsidP="00BD283E">
            <w:pPr>
              <w:jc w:val="center"/>
              <w:rPr>
                <w:rFonts w:ascii="Calibri" w:hAnsi="Calibri" w:cs="Times New Roman"/>
                <w:b/>
              </w:rPr>
            </w:pPr>
          </w:p>
          <w:p w:rsidR="00C41A1B" w:rsidRPr="00E72CBA" w:rsidRDefault="00C41A1B" w:rsidP="00BD283E">
            <w:pPr>
              <w:jc w:val="center"/>
              <w:rPr>
                <w:rFonts w:ascii="Calibri" w:hAnsi="Calibri" w:cs="Times New Roman"/>
                <w:b/>
              </w:rPr>
            </w:pPr>
            <w:r w:rsidRPr="00E72CBA">
              <w:rPr>
                <w:rFonts w:ascii="Calibri" w:hAnsi="Calibri" w:cs="Times New Roman"/>
                <w:b/>
              </w:rPr>
              <w:t>Caisse Primaire d’Assurance Maladie de la Gironde</w:t>
            </w:r>
          </w:p>
          <w:p w:rsidR="00C41A1B" w:rsidRPr="00E72CBA" w:rsidRDefault="00C41A1B" w:rsidP="00BD283E">
            <w:pPr>
              <w:jc w:val="center"/>
              <w:rPr>
                <w:rFonts w:ascii="Calibri" w:hAnsi="Calibri" w:cs="Times New Roman"/>
                <w:b/>
              </w:rPr>
            </w:pPr>
            <w:r w:rsidRPr="00E72CBA">
              <w:rPr>
                <w:rFonts w:ascii="Calibri" w:hAnsi="Calibri" w:cs="Times New Roman"/>
                <w:b/>
              </w:rPr>
              <w:t>Place de l’Europe – 33085 Bordeaux</w:t>
            </w:r>
          </w:p>
          <w:p w:rsidR="00C41A1B" w:rsidRPr="00E72CBA" w:rsidRDefault="00C41A1B" w:rsidP="00BD283E">
            <w:pPr>
              <w:jc w:val="center"/>
              <w:rPr>
                <w:rFonts w:ascii="Calibri" w:hAnsi="Calibri" w:cs="Times New Roman"/>
                <w:b/>
              </w:rPr>
            </w:pPr>
          </w:p>
          <w:p w:rsidR="00C41A1B" w:rsidRPr="00E72CBA" w:rsidRDefault="00C41A1B" w:rsidP="00BD283E">
            <w:pPr>
              <w:jc w:val="center"/>
              <w:rPr>
                <w:rFonts w:ascii="Calibri" w:hAnsi="Calibri" w:cs="Times New Roman"/>
              </w:rPr>
            </w:pPr>
            <w:r w:rsidRPr="00E72CBA">
              <w:rPr>
                <w:rFonts w:ascii="Calibri" w:hAnsi="Calibri" w:cs="Times New Roman"/>
              </w:rPr>
              <w:t>Le pouvoir adjudicateur est représenté par :</w:t>
            </w:r>
          </w:p>
          <w:p w:rsidR="00C41A1B" w:rsidRPr="00E72CBA" w:rsidRDefault="00C41A1B" w:rsidP="00BD283E">
            <w:pPr>
              <w:jc w:val="center"/>
              <w:rPr>
                <w:rFonts w:ascii="Calibri" w:hAnsi="Calibri" w:cs="Times New Roman"/>
                <w:b/>
              </w:rPr>
            </w:pPr>
          </w:p>
          <w:p w:rsidR="00C41A1B" w:rsidRDefault="00C41A1B" w:rsidP="00BD283E">
            <w:pPr>
              <w:jc w:val="center"/>
            </w:pPr>
            <w:r w:rsidRPr="00E72CBA">
              <w:rPr>
                <w:rFonts w:ascii="Calibri" w:hAnsi="Calibri" w:cs="Times New Roman"/>
                <w:b/>
              </w:rPr>
              <w:t xml:space="preserve">M. le Directeur Philippe </w:t>
            </w:r>
            <w:proofErr w:type="spellStart"/>
            <w:r w:rsidRPr="00E72CBA">
              <w:rPr>
                <w:rFonts w:ascii="Calibri" w:hAnsi="Calibri" w:cs="Times New Roman"/>
                <w:b/>
              </w:rPr>
              <w:t>Claussin</w:t>
            </w:r>
            <w:proofErr w:type="spellEnd"/>
          </w:p>
        </w:tc>
      </w:tr>
    </w:tbl>
    <w:p w:rsidR="00A56CC0" w:rsidRPr="00E50C1C" w:rsidRDefault="00A56CC0" w:rsidP="00306352"/>
    <w:p w:rsidR="00A56CC0" w:rsidRPr="00E50C1C" w:rsidRDefault="00A56CC0" w:rsidP="00306352"/>
    <w:p w:rsidR="00A56CC0" w:rsidRPr="00E50C1C" w:rsidRDefault="00A56CC0" w:rsidP="00306352"/>
    <w:p w:rsidR="00A56CC0" w:rsidRDefault="00A56CC0" w:rsidP="00306352"/>
    <w:p w:rsidR="00A56CC0" w:rsidRPr="00E72CBA" w:rsidRDefault="00A56CC0" w:rsidP="00306352">
      <w:pPr>
        <w:tabs>
          <w:tab w:val="right" w:pos="9360"/>
        </w:tabs>
        <w:ind w:left="540" w:hanging="540"/>
        <w:rPr>
          <w:rFonts w:ascii="Calibri" w:hAnsi="Calibri" w:cs="Calibri"/>
          <w:sz w:val="32"/>
          <w:szCs w:val="32"/>
        </w:rPr>
      </w:pPr>
      <w:r w:rsidRPr="00E72CBA">
        <w:rPr>
          <w:rFonts w:ascii="Calibri" w:hAnsi="Calibri" w:cs="Calibri"/>
          <w:sz w:val="32"/>
          <w:szCs w:val="32"/>
        </w:rPr>
        <w:tab/>
        <w:t>Date et heure limite de remise des offres :</w:t>
      </w:r>
    </w:p>
    <w:p w:rsidR="00A56CC0" w:rsidRPr="0035405F" w:rsidRDefault="00A56CC0" w:rsidP="00306352">
      <w:pPr>
        <w:tabs>
          <w:tab w:val="right" w:pos="9360"/>
        </w:tabs>
        <w:ind w:left="540" w:hanging="540"/>
        <w:rPr>
          <w:rFonts w:ascii="Calibri" w:hAnsi="Calibri" w:cs="Calibri"/>
          <w:b/>
          <w:color w:val="FF0000"/>
          <w:sz w:val="32"/>
          <w:szCs w:val="32"/>
        </w:rPr>
      </w:pPr>
      <w:r w:rsidRPr="00E72CBA">
        <w:rPr>
          <w:rFonts w:ascii="Calibri" w:hAnsi="Calibri" w:cs="Calibri"/>
          <w:sz w:val="32"/>
          <w:szCs w:val="32"/>
        </w:rPr>
        <w:tab/>
      </w:r>
      <w:r w:rsidR="00996E91" w:rsidRPr="00C563D7">
        <w:rPr>
          <w:rFonts w:ascii="Calibri" w:hAnsi="Calibri" w:cs="Calibri"/>
          <w:b/>
          <w:color w:val="FF0000"/>
          <w:sz w:val="32"/>
          <w:szCs w:val="32"/>
        </w:rPr>
        <w:t>Le</w:t>
      </w:r>
      <w:r w:rsidR="00B63369" w:rsidRPr="00C563D7">
        <w:rPr>
          <w:rFonts w:ascii="Calibri" w:hAnsi="Calibri" w:cs="Calibri"/>
          <w:b/>
          <w:color w:val="FF0000"/>
          <w:sz w:val="32"/>
          <w:szCs w:val="32"/>
        </w:rPr>
        <w:t xml:space="preserve"> </w:t>
      </w:r>
      <w:r w:rsidR="00E11C52">
        <w:rPr>
          <w:rFonts w:ascii="Calibri" w:hAnsi="Calibri" w:cs="Calibri"/>
          <w:b/>
          <w:color w:val="FF0000"/>
          <w:sz w:val="32"/>
          <w:szCs w:val="32"/>
        </w:rPr>
        <w:t>04</w:t>
      </w:r>
      <w:r w:rsidR="0035405F" w:rsidRPr="00C563D7">
        <w:rPr>
          <w:rFonts w:ascii="Calibri" w:hAnsi="Calibri" w:cs="Calibri"/>
          <w:b/>
          <w:color w:val="FF0000"/>
          <w:sz w:val="32"/>
          <w:szCs w:val="32"/>
        </w:rPr>
        <w:t>/</w:t>
      </w:r>
      <w:r w:rsidR="0012504D">
        <w:rPr>
          <w:rFonts w:ascii="Calibri" w:hAnsi="Calibri" w:cs="Calibri"/>
          <w:b/>
          <w:color w:val="FF0000"/>
          <w:sz w:val="32"/>
          <w:szCs w:val="32"/>
        </w:rPr>
        <w:t>04</w:t>
      </w:r>
      <w:r w:rsidR="0084621B" w:rsidRPr="00C563D7">
        <w:rPr>
          <w:rFonts w:ascii="Calibri" w:hAnsi="Calibri" w:cs="Calibri"/>
          <w:b/>
          <w:color w:val="FF0000"/>
          <w:sz w:val="32"/>
          <w:szCs w:val="32"/>
        </w:rPr>
        <w:t>/</w:t>
      </w:r>
      <w:r w:rsidR="00E11C52">
        <w:rPr>
          <w:rFonts w:ascii="Calibri" w:hAnsi="Calibri" w:cs="Calibri"/>
          <w:b/>
          <w:color w:val="FF0000"/>
          <w:sz w:val="32"/>
          <w:szCs w:val="32"/>
        </w:rPr>
        <w:t>2025</w:t>
      </w:r>
      <w:r w:rsidR="00996E91" w:rsidRPr="00C563D7">
        <w:rPr>
          <w:rFonts w:ascii="Calibri" w:hAnsi="Calibri" w:cs="Calibri"/>
          <w:b/>
          <w:color w:val="FF0000"/>
          <w:sz w:val="32"/>
          <w:szCs w:val="32"/>
        </w:rPr>
        <w:t xml:space="preserve"> </w:t>
      </w:r>
      <w:r w:rsidR="0084621B" w:rsidRPr="00C563D7">
        <w:rPr>
          <w:rFonts w:ascii="Calibri" w:hAnsi="Calibri" w:cs="Calibri"/>
          <w:b/>
          <w:color w:val="FF0000"/>
          <w:sz w:val="32"/>
          <w:szCs w:val="32"/>
        </w:rPr>
        <w:t xml:space="preserve">à </w:t>
      </w:r>
      <w:r w:rsidR="00A509B0" w:rsidRPr="00C563D7">
        <w:rPr>
          <w:rFonts w:ascii="Calibri" w:hAnsi="Calibri" w:cs="Calibri"/>
          <w:b/>
          <w:color w:val="FF0000"/>
          <w:sz w:val="32"/>
          <w:szCs w:val="32"/>
        </w:rPr>
        <w:t>12</w:t>
      </w:r>
      <w:r w:rsidR="005F0CC3" w:rsidRPr="00C563D7">
        <w:rPr>
          <w:rFonts w:ascii="Calibri" w:hAnsi="Calibri" w:cs="Calibri"/>
          <w:b/>
          <w:color w:val="FF0000"/>
          <w:sz w:val="32"/>
          <w:szCs w:val="32"/>
        </w:rPr>
        <w:t>h00</w:t>
      </w:r>
    </w:p>
    <w:p w:rsidR="00A56CC0" w:rsidRPr="00E50C1C" w:rsidRDefault="00A56CC0" w:rsidP="00306352"/>
    <w:p w:rsidR="00E72CBA" w:rsidRDefault="00E72CBA" w:rsidP="00306352"/>
    <w:p w:rsidR="00663520" w:rsidRDefault="00663520" w:rsidP="00102424"/>
    <w:p w:rsidR="00102424" w:rsidRDefault="00102424" w:rsidP="00102424">
      <w:pPr>
        <w:rPr>
          <w:rFonts w:cs="Calibri"/>
          <w:b/>
          <w:bCs/>
          <w:sz w:val="32"/>
          <w:szCs w:val="32"/>
        </w:rPr>
      </w:pPr>
    </w:p>
    <w:p w:rsidR="00663520" w:rsidRDefault="00663520" w:rsidP="00BD283E">
      <w:pPr>
        <w:jc w:val="right"/>
        <w:rPr>
          <w:rFonts w:cs="Calibri"/>
          <w:b/>
          <w:bCs/>
          <w:sz w:val="32"/>
          <w:szCs w:val="32"/>
        </w:rPr>
      </w:pPr>
    </w:p>
    <w:p w:rsidR="00E72CBA" w:rsidRPr="00BC31E2" w:rsidRDefault="00E72CBA" w:rsidP="00BD283E">
      <w:pPr>
        <w:jc w:val="right"/>
        <w:rPr>
          <w:rFonts w:cs="Calibri"/>
          <w:bCs/>
          <w:sz w:val="12"/>
          <w:szCs w:val="12"/>
        </w:rPr>
      </w:pPr>
      <w:r w:rsidRPr="00BC31E2">
        <w:rPr>
          <w:rFonts w:cs="Calibri"/>
          <w:b/>
          <w:bCs/>
          <w:sz w:val="32"/>
          <w:szCs w:val="32"/>
        </w:rPr>
        <w:t>Marché n°</w:t>
      </w:r>
      <w:r w:rsidR="00E11C52">
        <w:rPr>
          <w:rFonts w:cs="Calibri"/>
          <w:b/>
          <w:bCs/>
          <w:sz w:val="32"/>
          <w:szCs w:val="32"/>
        </w:rPr>
        <w:t>07_2025</w:t>
      </w:r>
      <w:r w:rsidR="0055038D" w:rsidRPr="00BC31E2">
        <w:rPr>
          <w:rFonts w:cs="Calibri"/>
          <w:b/>
          <w:bCs/>
          <w:sz w:val="32"/>
          <w:szCs w:val="32"/>
        </w:rPr>
        <w:t>PS</w:t>
      </w:r>
      <w:r w:rsidRPr="00BC31E2">
        <w:rPr>
          <w:rFonts w:cs="Calibri"/>
          <w:b/>
          <w:bCs/>
          <w:sz w:val="32"/>
          <w:szCs w:val="32"/>
        </w:rPr>
        <w:t xml:space="preserve"> </w:t>
      </w:r>
      <w:r w:rsidR="0084621B" w:rsidRPr="00BC31E2">
        <w:rPr>
          <w:rFonts w:cs="Calibri"/>
          <w:b/>
          <w:bCs/>
          <w:sz w:val="32"/>
          <w:szCs w:val="32"/>
        </w:rPr>
        <w:t xml:space="preserve">  </w:t>
      </w:r>
    </w:p>
    <w:p w:rsidR="00E72CBA" w:rsidRDefault="00E72CBA" w:rsidP="002D4271">
      <w:pPr>
        <w:tabs>
          <w:tab w:val="right" w:pos="9639"/>
        </w:tabs>
        <w:rPr>
          <w:rFonts w:cs="Calibri"/>
          <w:b/>
          <w:bCs/>
          <w:sz w:val="32"/>
          <w:szCs w:val="32"/>
        </w:rPr>
        <w:sectPr w:rsidR="00E72CBA" w:rsidSect="00A56CC0">
          <w:headerReference w:type="default" r:id="rId8"/>
          <w:footerReference w:type="default" r:id="rId9"/>
          <w:pgSz w:w="11906" w:h="16838" w:code="9"/>
          <w:pgMar w:top="1134" w:right="1134" w:bottom="1134" w:left="1134" w:header="709" w:footer="567" w:gutter="0"/>
          <w:cols w:space="708"/>
          <w:docGrid w:linePitch="360"/>
        </w:sectPr>
      </w:pPr>
      <w:r w:rsidRPr="00BC31E2">
        <w:rPr>
          <w:rFonts w:cs="Calibri"/>
          <w:b/>
          <w:bCs/>
          <w:sz w:val="32"/>
          <w:szCs w:val="32"/>
        </w:rPr>
        <w:tab/>
      </w:r>
      <w:r w:rsidR="00BD283E">
        <w:rPr>
          <w:rFonts w:cs="Calibri"/>
          <w:b/>
          <w:bCs/>
          <w:sz w:val="32"/>
          <w:szCs w:val="32"/>
        </w:rPr>
        <w:t>MAPA</w:t>
      </w:r>
    </w:p>
    <w:p w:rsidR="00E72CBA" w:rsidRDefault="00E72CBA" w:rsidP="00306352"/>
    <w:p w:rsidR="00E72CBA" w:rsidRDefault="00E72CBA" w:rsidP="00306352"/>
    <w:p w:rsidR="00A56CC0" w:rsidRDefault="00A56CC0" w:rsidP="00306352"/>
    <w:p w:rsidR="00450502" w:rsidRPr="00002B6E" w:rsidRDefault="007A5A9F" w:rsidP="00306352">
      <w:pPr>
        <w:pStyle w:val="TM1"/>
      </w:pPr>
      <w:r w:rsidRPr="00002B6E">
        <w:t>Sommaire</w:t>
      </w:r>
    </w:p>
    <w:p w:rsidR="007B628E" w:rsidRPr="00002B6E" w:rsidRDefault="007B628E" w:rsidP="00306352"/>
    <w:p w:rsidR="0058684F" w:rsidRDefault="00002B6E">
      <w:pPr>
        <w:pStyle w:val="TM2"/>
        <w:rPr>
          <w:rFonts w:eastAsiaTheme="minorEastAsia" w:cstheme="minorBidi"/>
          <w:b w:val="0"/>
          <w:bCs w:val="0"/>
          <w:sz w:val="22"/>
          <w:szCs w:val="22"/>
        </w:rPr>
      </w:pPr>
      <w:r w:rsidRPr="00E3560C">
        <w:fldChar w:fldCharType="begin"/>
      </w:r>
      <w:r w:rsidRPr="00E3560C">
        <w:instrText xml:space="preserve"> TOC \h \z \t "1.1;3;ARTICLE CCAP/CCTP...;2;CHAPITRE/TITRE;1" </w:instrText>
      </w:r>
      <w:r w:rsidRPr="00E3560C">
        <w:fldChar w:fldCharType="separate"/>
      </w:r>
      <w:hyperlink w:anchor="_Toc95299471" w:history="1">
        <w:r w:rsidR="0058684F" w:rsidRPr="00E463AC">
          <w:rPr>
            <w:rStyle w:val="Lienhypertexte"/>
            <w:rFonts w:cs="Times New Roman"/>
          </w:rPr>
          <w:t>Article 1</w:t>
        </w:r>
        <w:r w:rsidR="0058684F">
          <w:rPr>
            <w:rFonts w:eastAsiaTheme="minorEastAsia" w:cstheme="minorBidi"/>
            <w:b w:val="0"/>
            <w:bCs w:val="0"/>
            <w:sz w:val="22"/>
            <w:szCs w:val="22"/>
          </w:rPr>
          <w:tab/>
        </w:r>
        <w:r w:rsidR="0058684F" w:rsidRPr="00E463AC">
          <w:rPr>
            <w:rStyle w:val="Lienhypertexte"/>
          </w:rPr>
          <w:t>Objet du marché</w:t>
        </w:r>
        <w:r w:rsidR="0058684F">
          <w:rPr>
            <w:webHidden/>
          </w:rPr>
          <w:tab/>
        </w:r>
        <w:r w:rsidR="0058684F">
          <w:rPr>
            <w:webHidden/>
          </w:rPr>
          <w:fldChar w:fldCharType="begin"/>
        </w:r>
        <w:r w:rsidR="0058684F">
          <w:rPr>
            <w:webHidden/>
          </w:rPr>
          <w:instrText xml:space="preserve"> PAGEREF _Toc95299471 \h </w:instrText>
        </w:r>
        <w:r w:rsidR="0058684F">
          <w:rPr>
            <w:webHidden/>
          </w:rPr>
        </w:r>
        <w:r w:rsidR="0058684F">
          <w:rPr>
            <w:webHidden/>
          </w:rPr>
          <w:fldChar w:fldCharType="separate"/>
        </w:r>
        <w:r w:rsidR="00EF24C1">
          <w:rPr>
            <w:webHidden/>
          </w:rPr>
          <w:t>5</w:t>
        </w:r>
        <w:r w:rsidR="0058684F">
          <w:rPr>
            <w:webHidden/>
          </w:rPr>
          <w:fldChar w:fldCharType="end"/>
        </w:r>
      </w:hyperlink>
    </w:p>
    <w:p w:rsidR="0058684F" w:rsidRDefault="00EF24C1">
      <w:pPr>
        <w:pStyle w:val="TM3"/>
        <w:rPr>
          <w:rFonts w:eastAsiaTheme="minorEastAsia" w:cstheme="minorBidi"/>
          <w:noProof/>
          <w:sz w:val="22"/>
          <w:szCs w:val="22"/>
        </w:rPr>
      </w:pPr>
      <w:hyperlink w:anchor="_Toc95299472" w:history="1">
        <w:r w:rsidR="0058684F" w:rsidRPr="00E463AC">
          <w:rPr>
            <w:rStyle w:val="Lienhypertexte"/>
            <w:noProof/>
          </w:rPr>
          <w:t>1.1 Acheteur</w:t>
        </w:r>
        <w:r w:rsidR="0058684F">
          <w:rPr>
            <w:noProof/>
            <w:webHidden/>
          </w:rPr>
          <w:tab/>
        </w:r>
        <w:r w:rsidR="0058684F">
          <w:rPr>
            <w:noProof/>
            <w:webHidden/>
          </w:rPr>
          <w:fldChar w:fldCharType="begin"/>
        </w:r>
        <w:r w:rsidR="0058684F">
          <w:rPr>
            <w:noProof/>
            <w:webHidden/>
          </w:rPr>
          <w:instrText xml:space="preserve"> PAGEREF _Toc95299472 \h </w:instrText>
        </w:r>
        <w:r w:rsidR="0058684F">
          <w:rPr>
            <w:noProof/>
            <w:webHidden/>
          </w:rPr>
        </w:r>
        <w:r w:rsidR="0058684F">
          <w:rPr>
            <w:noProof/>
            <w:webHidden/>
          </w:rPr>
          <w:fldChar w:fldCharType="separate"/>
        </w:r>
        <w:r>
          <w:rPr>
            <w:noProof/>
            <w:webHidden/>
          </w:rPr>
          <w:t>5</w:t>
        </w:r>
        <w:r w:rsidR="0058684F">
          <w:rPr>
            <w:noProof/>
            <w:webHidden/>
          </w:rPr>
          <w:fldChar w:fldCharType="end"/>
        </w:r>
      </w:hyperlink>
    </w:p>
    <w:p w:rsidR="0058684F" w:rsidRDefault="00EF24C1">
      <w:pPr>
        <w:pStyle w:val="TM3"/>
        <w:rPr>
          <w:rFonts w:eastAsiaTheme="minorEastAsia" w:cstheme="minorBidi"/>
          <w:noProof/>
          <w:sz w:val="22"/>
          <w:szCs w:val="22"/>
        </w:rPr>
      </w:pPr>
      <w:hyperlink w:anchor="_Toc95299473" w:history="1">
        <w:r w:rsidR="0058684F" w:rsidRPr="00E463AC">
          <w:rPr>
            <w:rStyle w:val="Lienhypertexte"/>
            <w:noProof/>
          </w:rPr>
          <w:t>1.2  Objet du marché</w:t>
        </w:r>
        <w:r w:rsidR="0058684F">
          <w:rPr>
            <w:noProof/>
            <w:webHidden/>
          </w:rPr>
          <w:tab/>
        </w:r>
        <w:r w:rsidR="0058684F">
          <w:rPr>
            <w:noProof/>
            <w:webHidden/>
          </w:rPr>
          <w:fldChar w:fldCharType="begin"/>
        </w:r>
        <w:r w:rsidR="0058684F">
          <w:rPr>
            <w:noProof/>
            <w:webHidden/>
          </w:rPr>
          <w:instrText xml:space="preserve"> PAGEREF _Toc95299473 \h </w:instrText>
        </w:r>
        <w:r w:rsidR="0058684F">
          <w:rPr>
            <w:noProof/>
            <w:webHidden/>
          </w:rPr>
        </w:r>
        <w:r w:rsidR="0058684F">
          <w:rPr>
            <w:noProof/>
            <w:webHidden/>
          </w:rPr>
          <w:fldChar w:fldCharType="separate"/>
        </w:r>
        <w:r>
          <w:rPr>
            <w:noProof/>
            <w:webHidden/>
          </w:rPr>
          <w:t>5</w:t>
        </w:r>
        <w:r w:rsidR="0058684F">
          <w:rPr>
            <w:noProof/>
            <w:webHidden/>
          </w:rPr>
          <w:fldChar w:fldCharType="end"/>
        </w:r>
      </w:hyperlink>
    </w:p>
    <w:p w:rsidR="0058684F" w:rsidRDefault="00EF24C1">
      <w:pPr>
        <w:pStyle w:val="TM3"/>
        <w:rPr>
          <w:rFonts w:eastAsiaTheme="minorEastAsia" w:cstheme="minorBidi"/>
          <w:noProof/>
          <w:sz w:val="22"/>
          <w:szCs w:val="22"/>
        </w:rPr>
      </w:pPr>
      <w:hyperlink w:anchor="_Toc95299474" w:history="1">
        <w:r w:rsidR="0058684F" w:rsidRPr="00E463AC">
          <w:rPr>
            <w:rStyle w:val="Lienhypertexte"/>
            <w:noProof/>
          </w:rPr>
          <w:t>1.3  Nature du marché</w:t>
        </w:r>
        <w:r w:rsidR="0058684F">
          <w:rPr>
            <w:noProof/>
            <w:webHidden/>
          </w:rPr>
          <w:tab/>
        </w:r>
        <w:r w:rsidR="0058684F">
          <w:rPr>
            <w:noProof/>
            <w:webHidden/>
          </w:rPr>
          <w:fldChar w:fldCharType="begin"/>
        </w:r>
        <w:r w:rsidR="0058684F">
          <w:rPr>
            <w:noProof/>
            <w:webHidden/>
          </w:rPr>
          <w:instrText xml:space="preserve"> PAGEREF _Toc95299474 \h </w:instrText>
        </w:r>
        <w:r w:rsidR="0058684F">
          <w:rPr>
            <w:noProof/>
            <w:webHidden/>
          </w:rPr>
        </w:r>
        <w:r w:rsidR="0058684F">
          <w:rPr>
            <w:noProof/>
            <w:webHidden/>
          </w:rPr>
          <w:fldChar w:fldCharType="separate"/>
        </w:r>
        <w:r>
          <w:rPr>
            <w:noProof/>
            <w:webHidden/>
          </w:rPr>
          <w:t>5</w:t>
        </w:r>
        <w:r w:rsidR="0058684F">
          <w:rPr>
            <w:noProof/>
            <w:webHidden/>
          </w:rPr>
          <w:fldChar w:fldCharType="end"/>
        </w:r>
      </w:hyperlink>
    </w:p>
    <w:p w:rsidR="0058684F" w:rsidRDefault="00EF24C1">
      <w:pPr>
        <w:pStyle w:val="TM3"/>
        <w:rPr>
          <w:rFonts w:eastAsiaTheme="minorEastAsia" w:cstheme="minorBidi"/>
          <w:noProof/>
          <w:sz w:val="22"/>
          <w:szCs w:val="22"/>
        </w:rPr>
      </w:pPr>
      <w:hyperlink w:anchor="_Toc95299475" w:history="1">
        <w:r w:rsidR="0058684F" w:rsidRPr="00E463AC">
          <w:rPr>
            <w:rStyle w:val="Lienhypertexte"/>
            <w:noProof/>
          </w:rPr>
          <w:t>1.4  Forme du marché</w:t>
        </w:r>
        <w:r w:rsidR="0058684F">
          <w:rPr>
            <w:noProof/>
            <w:webHidden/>
          </w:rPr>
          <w:tab/>
        </w:r>
        <w:r w:rsidR="0058684F">
          <w:rPr>
            <w:noProof/>
            <w:webHidden/>
          </w:rPr>
          <w:fldChar w:fldCharType="begin"/>
        </w:r>
        <w:r w:rsidR="0058684F">
          <w:rPr>
            <w:noProof/>
            <w:webHidden/>
          </w:rPr>
          <w:instrText xml:space="preserve"> PAGEREF _Toc95299475 \h </w:instrText>
        </w:r>
        <w:r w:rsidR="0058684F">
          <w:rPr>
            <w:noProof/>
            <w:webHidden/>
          </w:rPr>
        </w:r>
        <w:r w:rsidR="0058684F">
          <w:rPr>
            <w:noProof/>
            <w:webHidden/>
          </w:rPr>
          <w:fldChar w:fldCharType="separate"/>
        </w:r>
        <w:r>
          <w:rPr>
            <w:noProof/>
            <w:webHidden/>
          </w:rPr>
          <w:t>5</w:t>
        </w:r>
        <w:r w:rsidR="0058684F">
          <w:rPr>
            <w:noProof/>
            <w:webHidden/>
          </w:rPr>
          <w:fldChar w:fldCharType="end"/>
        </w:r>
      </w:hyperlink>
    </w:p>
    <w:p w:rsidR="0058684F" w:rsidRDefault="00EF24C1">
      <w:pPr>
        <w:pStyle w:val="TM3"/>
        <w:rPr>
          <w:rFonts w:eastAsiaTheme="minorEastAsia" w:cstheme="minorBidi"/>
          <w:noProof/>
          <w:sz w:val="22"/>
          <w:szCs w:val="22"/>
        </w:rPr>
      </w:pPr>
      <w:hyperlink w:anchor="_Toc95299476" w:history="1">
        <w:r w:rsidR="0058684F" w:rsidRPr="00E463AC">
          <w:rPr>
            <w:rStyle w:val="Lienhypertexte"/>
            <w:noProof/>
          </w:rPr>
          <w:t>1.5  Décomposition du marché en lots</w:t>
        </w:r>
        <w:r w:rsidR="0058684F">
          <w:rPr>
            <w:noProof/>
            <w:webHidden/>
          </w:rPr>
          <w:tab/>
        </w:r>
        <w:r w:rsidR="0058684F">
          <w:rPr>
            <w:noProof/>
            <w:webHidden/>
          </w:rPr>
          <w:fldChar w:fldCharType="begin"/>
        </w:r>
        <w:r w:rsidR="0058684F">
          <w:rPr>
            <w:noProof/>
            <w:webHidden/>
          </w:rPr>
          <w:instrText xml:space="preserve"> PAGEREF _Toc95299476 \h </w:instrText>
        </w:r>
        <w:r w:rsidR="0058684F">
          <w:rPr>
            <w:noProof/>
            <w:webHidden/>
          </w:rPr>
        </w:r>
        <w:r w:rsidR="0058684F">
          <w:rPr>
            <w:noProof/>
            <w:webHidden/>
          </w:rPr>
          <w:fldChar w:fldCharType="separate"/>
        </w:r>
        <w:r>
          <w:rPr>
            <w:noProof/>
            <w:webHidden/>
          </w:rPr>
          <w:t>5</w:t>
        </w:r>
        <w:r w:rsidR="0058684F">
          <w:rPr>
            <w:noProof/>
            <w:webHidden/>
          </w:rPr>
          <w:fldChar w:fldCharType="end"/>
        </w:r>
      </w:hyperlink>
    </w:p>
    <w:p w:rsidR="0058684F" w:rsidRDefault="00EF24C1">
      <w:pPr>
        <w:pStyle w:val="TM2"/>
        <w:rPr>
          <w:rFonts w:eastAsiaTheme="minorEastAsia" w:cstheme="minorBidi"/>
          <w:b w:val="0"/>
          <w:bCs w:val="0"/>
          <w:sz w:val="22"/>
          <w:szCs w:val="22"/>
        </w:rPr>
      </w:pPr>
      <w:hyperlink w:anchor="_Toc95299477" w:history="1">
        <w:r w:rsidR="0058684F" w:rsidRPr="00E463AC">
          <w:rPr>
            <w:rStyle w:val="Lienhypertexte"/>
          </w:rPr>
          <w:t>Article 2 Dossier de consultation</w:t>
        </w:r>
        <w:r w:rsidR="0058684F">
          <w:rPr>
            <w:webHidden/>
          </w:rPr>
          <w:tab/>
        </w:r>
        <w:r w:rsidR="0058684F">
          <w:rPr>
            <w:webHidden/>
          </w:rPr>
          <w:fldChar w:fldCharType="begin"/>
        </w:r>
        <w:r w:rsidR="0058684F">
          <w:rPr>
            <w:webHidden/>
          </w:rPr>
          <w:instrText xml:space="preserve"> PAGEREF _Toc95299477 \h </w:instrText>
        </w:r>
        <w:r w:rsidR="0058684F">
          <w:rPr>
            <w:webHidden/>
          </w:rPr>
        </w:r>
        <w:r w:rsidR="0058684F">
          <w:rPr>
            <w:webHidden/>
          </w:rPr>
          <w:fldChar w:fldCharType="separate"/>
        </w:r>
        <w:r>
          <w:rPr>
            <w:webHidden/>
          </w:rPr>
          <w:t>6</w:t>
        </w:r>
        <w:r w:rsidR="0058684F">
          <w:rPr>
            <w:webHidden/>
          </w:rPr>
          <w:fldChar w:fldCharType="end"/>
        </w:r>
      </w:hyperlink>
    </w:p>
    <w:p w:rsidR="0058684F" w:rsidRDefault="00EF24C1">
      <w:pPr>
        <w:pStyle w:val="TM3"/>
        <w:rPr>
          <w:rFonts w:eastAsiaTheme="minorEastAsia" w:cstheme="minorBidi"/>
          <w:noProof/>
          <w:sz w:val="22"/>
          <w:szCs w:val="22"/>
        </w:rPr>
      </w:pPr>
      <w:hyperlink w:anchor="_Toc95299478" w:history="1">
        <w:r w:rsidR="0058684F" w:rsidRPr="00E463AC">
          <w:rPr>
            <w:rStyle w:val="Lienhypertexte"/>
            <w:noProof/>
          </w:rPr>
          <w:t>2.1  Pièces constitutives du dossier de consultation</w:t>
        </w:r>
        <w:r w:rsidR="0058684F">
          <w:rPr>
            <w:noProof/>
            <w:webHidden/>
          </w:rPr>
          <w:tab/>
        </w:r>
        <w:r w:rsidR="0058684F">
          <w:rPr>
            <w:noProof/>
            <w:webHidden/>
          </w:rPr>
          <w:fldChar w:fldCharType="begin"/>
        </w:r>
        <w:r w:rsidR="0058684F">
          <w:rPr>
            <w:noProof/>
            <w:webHidden/>
          </w:rPr>
          <w:instrText xml:space="preserve"> PAGEREF _Toc95299478 \h </w:instrText>
        </w:r>
        <w:r w:rsidR="0058684F">
          <w:rPr>
            <w:noProof/>
            <w:webHidden/>
          </w:rPr>
        </w:r>
        <w:r w:rsidR="0058684F">
          <w:rPr>
            <w:noProof/>
            <w:webHidden/>
          </w:rPr>
          <w:fldChar w:fldCharType="separate"/>
        </w:r>
        <w:r>
          <w:rPr>
            <w:noProof/>
            <w:webHidden/>
          </w:rPr>
          <w:t>6</w:t>
        </w:r>
        <w:r w:rsidR="0058684F">
          <w:rPr>
            <w:noProof/>
            <w:webHidden/>
          </w:rPr>
          <w:fldChar w:fldCharType="end"/>
        </w:r>
      </w:hyperlink>
    </w:p>
    <w:p w:rsidR="0058684F" w:rsidRDefault="00EF24C1">
      <w:pPr>
        <w:pStyle w:val="TM3"/>
        <w:rPr>
          <w:rFonts w:eastAsiaTheme="minorEastAsia" w:cstheme="minorBidi"/>
          <w:noProof/>
          <w:sz w:val="22"/>
          <w:szCs w:val="22"/>
        </w:rPr>
      </w:pPr>
      <w:hyperlink w:anchor="_Toc95299479" w:history="1">
        <w:r w:rsidR="0058684F" w:rsidRPr="00E463AC">
          <w:rPr>
            <w:rStyle w:val="Lienhypertexte"/>
            <w:noProof/>
          </w:rPr>
          <w:t>2.2  Modification du détail du dossier de consultation par le pouvoir adjudicateur</w:t>
        </w:r>
        <w:r w:rsidR="0058684F">
          <w:rPr>
            <w:noProof/>
            <w:webHidden/>
          </w:rPr>
          <w:tab/>
        </w:r>
        <w:r w:rsidR="0058684F">
          <w:rPr>
            <w:noProof/>
            <w:webHidden/>
          </w:rPr>
          <w:fldChar w:fldCharType="begin"/>
        </w:r>
        <w:r w:rsidR="0058684F">
          <w:rPr>
            <w:noProof/>
            <w:webHidden/>
          </w:rPr>
          <w:instrText xml:space="preserve"> PAGEREF _Toc95299479 \h </w:instrText>
        </w:r>
        <w:r w:rsidR="0058684F">
          <w:rPr>
            <w:noProof/>
            <w:webHidden/>
          </w:rPr>
        </w:r>
        <w:r w:rsidR="0058684F">
          <w:rPr>
            <w:noProof/>
            <w:webHidden/>
          </w:rPr>
          <w:fldChar w:fldCharType="separate"/>
        </w:r>
        <w:r>
          <w:rPr>
            <w:noProof/>
            <w:webHidden/>
          </w:rPr>
          <w:t>6</w:t>
        </w:r>
        <w:r w:rsidR="0058684F">
          <w:rPr>
            <w:noProof/>
            <w:webHidden/>
          </w:rPr>
          <w:fldChar w:fldCharType="end"/>
        </w:r>
      </w:hyperlink>
    </w:p>
    <w:p w:rsidR="0058684F" w:rsidRDefault="00EF24C1">
      <w:pPr>
        <w:pStyle w:val="TM3"/>
        <w:rPr>
          <w:rFonts w:eastAsiaTheme="minorEastAsia" w:cstheme="minorBidi"/>
          <w:noProof/>
          <w:sz w:val="22"/>
          <w:szCs w:val="22"/>
        </w:rPr>
      </w:pPr>
      <w:hyperlink w:anchor="_Toc95299480" w:history="1">
        <w:r w:rsidR="0058684F" w:rsidRPr="00E463AC">
          <w:rPr>
            <w:rStyle w:val="Lienhypertexte"/>
            <w:noProof/>
          </w:rPr>
          <w:t>2.3  Présentation des candidatures et des offres</w:t>
        </w:r>
        <w:r w:rsidR="0058684F">
          <w:rPr>
            <w:noProof/>
            <w:webHidden/>
          </w:rPr>
          <w:tab/>
        </w:r>
        <w:r w:rsidR="0058684F">
          <w:rPr>
            <w:noProof/>
            <w:webHidden/>
          </w:rPr>
          <w:fldChar w:fldCharType="begin"/>
        </w:r>
        <w:r w:rsidR="0058684F">
          <w:rPr>
            <w:noProof/>
            <w:webHidden/>
          </w:rPr>
          <w:instrText xml:space="preserve"> PAGEREF _Toc95299480 \h </w:instrText>
        </w:r>
        <w:r w:rsidR="0058684F">
          <w:rPr>
            <w:noProof/>
            <w:webHidden/>
          </w:rPr>
        </w:r>
        <w:r w:rsidR="0058684F">
          <w:rPr>
            <w:noProof/>
            <w:webHidden/>
          </w:rPr>
          <w:fldChar w:fldCharType="separate"/>
        </w:r>
        <w:r>
          <w:rPr>
            <w:noProof/>
            <w:webHidden/>
          </w:rPr>
          <w:t>7</w:t>
        </w:r>
        <w:r w:rsidR="0058684F">
          <w:rPr>
            <w:noProof/>
            <w:webHidden/>
          </w:rPr>
          <w:fldChar w:fldCharType="end"/>
        </w:r>
      </w:hyperlink>
    </w:p>
    <w:p w:rsidR="0058684F" w:rsidRDefault="00EF24C1">
      <w:pPr>
        <w:pStyle w:val="TM2"/>
        <w:rPr>
          <w:rFonts w:eastAsiaTheme="minorEastAsia" w:cstheme="minorBidi"/>
          <w:b w:val="0"/>
          <w:bCs w:val="0"/>
          <w:sz w:val="22"/>
          <w:szCs w:val="22"/>
        </w:rPr>
      </w:pPr>
      <w:hyperlink w:anchor="_Toc95299481" w:history="1">
        <w:r w:rsidR="0058684F" w:rsidRPr="00E463AC">
          <w:rPr>
            <w:rStyle w:val="Lienhypertexte"/>
          </w:rPr>
          <w:t>Article 3 Variantes et prestations supplementaires eventuelles</w:t>
        </w:r>
        <w:r w:rsidR="0058684F">
          <w:rPr>
            <w:webHidden/>
          </w:rPr>
          <w:tab/>
        </w:r>
        <w:r w:rsidR="0058684F">
          <w:rPr>
            <w:webHidden/>
          </w:rPr>
          <w:fldChar w:fldCharType="begin"/>
        </w:r>
        <w:r w:rsidR="0058684F">
          <w:rPr>
            <w:webHidden/>
          </w:rPr>
          <w:instrText xml:space="preserve"> PAGEREF _Toc95299481 \h </w:instrText>
        </w:r>
        <w:r w:rsidR="0058684F">
          <w:rPr>
            <w:webHidden/>
          </w:rPr>
        </w:r>
        <w:r w:rsidR="0058684F">
          <w:rPr>
            <w:webHidden/>
          </w:rPr>
          <w:fldChar w:fldCharType="separate"/>
        </w:r>
        <w:r>
          <w:rPr>
            <w:webHidden/>
          </w:rPr>
          <w:t>7</w:t>
        </w:r>
        <w:r w:rsidR="0058684F">
          <w:rPr>
            <w:webHidden/>
          </w:rPr>
          <w:fldChar w:fldCharType="end"/>
        </w:r>
      </w:hyperlink>
    </w:p>
    <w:p w:rsidR="0058684F" w:rsidRDefault="00EF24C1">
      <w:pPr>
        <w:pStyle w:val="TM3"/>
        <w:rPr>
          <w:rFonts w:eastAsiaTheme="minorEastAsia" w:cstheme="minorBidi"/>
          <w:noProof/>
          <w:sz w:val="22"/>
          <w:szCs w:val="22"/>
        </w:rPr>
      </w:pPr>
      <w:hyperlink w:anchor="_Toc95299482" w:history="1">
        <w:r w:rsidR="0058684F" w:rsidRPr="00E463AC">
          <w:rPr>
            <w:rStyle w:val="Lienhypertexte"/>
            <w:noProof/>
          </w:rPr>
          <w:t>3.1</w:t>
        </w:r>
        <w:r w:rsidR="0058684F">
          <w:rPr>
            <w:rFonts w:eastAsiaTheme="minorEastAsia" w:cstheme="minorBidi"/>
            <w:noProof/>
            <w:sz w:val="22"/>
            <w:szCs w:val="22"/>
          </w:rPr>
          <w:tab/>
        </w:r>
        <w:r w:rsidR="0058684F" w:rsidRPr="00E463AC">
          <w:rPr>
            <w:rStyle w:val="Lienhypertexte"/>
            <w:noProof/>
          </w:rPr>
          <w:t>Variantes</w:t>
        </w:r>
        <w:r w:rsidR="0058684F">
          <w:rPr>
            <w:noProof/>
            <w:webHidden/>
          </w:rPr>
          <w:tab/>
        </w:r>
        <w:r w:rsidR="0058684F">
          <w:rPr>
            <w:noProof/>
            <w:webHidden/>
          </w:rPr>
          <w:fldChar w:fldCharType="begin"/>
        </w:r>
        <w:r w:rsidR="0058684F">
          <w:rPr>
            <w:noProof/>
            <w:webHidden/>
          </w:rPr>
          <w:instrText xml:space="preserve"> PAGEREF _Toc95299482 \h </w:instrText>
        </w:r>
        <w:r w:rsidR="0058684F">
          <w:rPr>
            <w:noProof/>
            <w:webHidden/>
          </w:rPr>
        </w:r>
        <w:r w:rsidR="0058684F">
          <w:rPr>
            <w:noProof/>
            <w:webHidden/>
          </w:rPr>
          <w:fldChar w:fldCharType="separate"/>
        </w:r>
        <w:r>
          <w:rPr>
            <w:noProof/>
            <w:webHidden/>
          </w:rPr>
          <w:t>7</w:t>
        </w:r>
        <w:r w:rsidR="0058684F">
          <w:rPr>
            <w:noProof/>
            <w:webHidden/>
          </w:rPr>
          <w:fldChar w:fldCharType="end"/>
        </w:r>
      </w:hyperlink>
    </w:p>
    <w:p w:rsidR="0058684F" w:rsidRDefault="00EF24C1">
      <w:pPr>
        <w:pStyle w:val="TM3"/>
        <w:rPr>
          <w:rFonts w:eastAsiaTheme="minorEastAsia" w:cstheme="minorBidi"/>
          <w:noProof/>
          <w:sz w:val="22"/>
          <w:szCs w:val="22"/>
        </w:rPr>
      </w:pPr>
      <w:hyperlink w:anchor="_Toc95299483" w:history="1">
        <w:r w:rsidR="0058684F" w:rsidRPr="00E463AC">
          <w:rPr>
            <w:rStyle w:val="Lienhypertexte"/>
            <w:noProof/>
          </w:rPr>
          <w:t>3.2</w:t>
        </w:r>
        <w:r w:rsidR="0058684F">
          <w:rPr>
            <w:rFonts w:eastAsiaTheme="minorEastAsia" w:cstheme="minorBidi"/>
            <w:noProof/>
            <w:sz w:val="22"/>
            <w:szCs w:val="22"/>
          </w:rPr>
          <w:tab/>
        </w:r>
        <w:r w:rsidR="0058684F" w:rsidRPr="00E463AC">
          <w:rPr>
            <w:rStyle w:val="Lienhypertexte"/>
            <w:noProof/>
          </w:rPr>
          <w:t>Prestations Supplémentaires Eventuelles</w:t>
        </w:r>
        <w:r w:rsidR="0058684F">
          <w:rPr>
            <w:noProof/>
            <w:webHidden/>
          </w:rPr>
          <w:tab/>
        </w:r>
        <w:r w:rsidR="0058684F">
          <w:rPr>
            <w:noProof/>
            <w:webHidden/>
          </w:rPr>
          <w:fldChar w:fldCharType="begin"/>
        </w:r>
        <w:r w:rsidR="0058684F">
          <w:rPr>
            <w:noProof/>
            <w:webHidden/>
          </w:rPr>
          <w:instrText xml:space="preserve"> PAGEREF _Toc95299483 \h </w:instrText>
        </w:r>
        <w:r w:rsidR="0058684F">
          <w:rPr>
            <w:noProof/>
            <w:webHidden/>
          </w:rPr>
        </w:r>
        <w:r w:rsidR="0058684F">
          <w:rPr>
            <w:noProof/>
            <w:webHidden/>
          </w:rPr>
          <w:fldChar w:fldCharType="separate"/>
        </w:r>
        <w:r>
          <w:rPr>
            <w:noProof/>
            <w:webHidden/>
          </w:rPr>
          <w:t>7</w:t>
        </w:r>
        <w:r w:rsidR="0058684F">
          <w:rPr>
            <w:noProof/>
            <w:webHidden/>
          </w:rPr>
          <w:fldChar w:fldCharType="end"/>
        </w:r>
      </w:hyperlink>
    </w:p>
    <w:p w:rsidR="0058684F" w:rsidRDefault="00EF24C1">
      <w:pPr>
        <w:pStyle w:val="TM2"/>
        <w:rPr>
          <w:rFonts w:eastAsiaTheme="minorEastAsia" w:cstheme="minorBidi"/>
          <w:b w:val="0"/>
          <w:bCs w:val="0"/>
          <w:sz w:val="22"/>
          <w:szCs w:val="22"/>
        </w:rPr>
      </w:pPr>
      <w:hyperlink w:anchor="_Toc95299484" w:history="1">
        <w:r w:rsidR="0058684F" w:rsidRPr="00E463AC">
          <w:rPr>
            <w:rStyle w:val="Lienhypertexte"/>
          </w:rPr>
          <w:t>Article 4 Caractéristiques principales du marché</w:t>
        </w:r>
        <w:r w:rsidR="0058684F">
          <w:rPr>
            <w:webHidden/>
          </w:rPr>
          <w:tab/>
        </w:r>
        <w:r w:rsidR="0058684F">
          <w:rPr>
            <w:webHidden/>
          </w:rPr>
          <w:fldChar w:fldCharType="begin"/>
        </w:r>
        <w:r w:rsidR="0058684F">
          <w:rPr>
            <w:webHidden/>
          </w:rPr>
          <w:instrText xml:space="preserve"> PAGEREF _Toc95299484 \h </w:instrText>
        </w:r>
        <w:r w:rsidR="0058684F">
          <w:rPr>
            <w:webHidden/>
          </w:rPr>
        </w:r>
        <w:r w:rsidR="0058684F">
          <w:rPr>
            <w:webHidden/>
          </w:rPr>
          <w:fldChar w:fldCharType="separate"/>
        </w:r>
        <w:r>
          <w:rPr>
            <w:webHidden/>
          </w:rPr>
          <w:t>7</w:t>
        </w:r>
        <w:r w:rsidR="0058684F">
          <w:rPr>
            <w:webHidden/>
          </w:rPr>
          <w:fldChar w:fldCharType="end"/>
        </w:r>
      </w:hyperlink>
    </w:p>
    <w:p w:rsidR="0058684F" w:rsidRDefault="00EF24C1">
      <w:pPr>
        <w:pStyle w:val="TM3"/>
        <w:rPr>
          <w:rFonts w:eastAsiaTheme="minorEastAsia" w:cstheme="minorBidi"/>
          <w:noProof/>
          <w:sz w:val="22"/>
          <w:szCs w:val="22"/>
        </w:rPr>
      </w:pPr>
      <w:hyperlink w:anchor="_Toc95299485" w:history="1">
        <w:r w:rsidR="0058684F" w:rsidRPr="00E463AC">
          <w:rPr>
            <w:rStyle w:val="Lienhypertexte"/>
            <w:noProof/>
          </w:rPr>
          <w:t>4.1 Forme du marché</w:t>
        </w:r>
        <w:r w:rsidR="0058684F">
          <w:rPr>
            <w:noProof/>
            <w:webHidden/>
          </w:rPr>
          <w:tab/>
        </w:r>
        <w:r w:rsidR="0058684F">
          <w:rPr>
            <w:noProof/>
            <w:webHidden/>
          </w:rPr>
          <w:fldChar w:fldCharType="begin"/>
        </w:r>
        <w:r w:rsidR="0058684F">
          <w:rPr>
            <w:noProof/>
            <w:webHidden/>
          </w:rPr>
          <w:instrText xml:space="preserve"> PAGEREF _Toc95299485 \h </w:instrText>
        </w:r>
        <w:r w:rsidR="0058684F">
          <w:rPr>
            <w:noProof/>
            <w:webHidden/>
          </w:rPr>
        </w:r>
        <w:r w:rsidR="0058684F">
          <w:rPr>
            <w:noProof/>
            <w:webHidden/>
          </w:rPr>
          <w:fldChar w:fldCharType="separate"/>
        </w:r>
        <w:r>
          <w:rPr>
            <w:noProof/>
            <w:webHidden/>
          </w:rPr>
          <w:t>7</w:t>
        </w:r>
        <w:r w:rsidR="0058684F">
          <w:rPr>
            <w:noProof/>
            <w:webHidden/>
          </w:rPr>
          <w:fldChar w:fldCharType="end"/>
        </w:r>
      </w:hyperlink>
    </w:p>
    <w:p w:rsidR="0058684F" w:rsidRDefault="00EF24C1">
      <w:pPr>
        <w:pStyle w:val="TM3"/>
        <w:rPr>
          <w:rFonts w:eastAsiaTheme="minorEastAsia" w:cstheme="minorBidi"/>
          <w:noProof/>
          <w:sz w:val="22"/>
          <w:szCs w:val="22"/>
        </w:rPr>
      </w:pPr>
      <w:hyperlink w:anchor="_Toc95299486" w:history="1">
        <w:r w:rsidR="0058684F" w:rsidRPr="00E463AC">
          <w:rPr>
            <w:rStyle w:val="Lienhypertexte"/>
            <w:noProof/>
          </w:rPr>
          <w:t>4.2</w:t>
        </w:r>
        <w:r w:rsidR="0058684F">
          <w:rPr>
            <w:rFonts w:eastAsiaTheme="minorEastAsia" w:cstheme="minorBidi"/>
            <w:noProof/>
            <w:sz w:val="22"/>
            <w:szCs w:val="22"/>
          </w:rPr>
          <w:tab/>
        </w:r>
        <w:r w:rsidR="0058684F" w:rsidRPr="00E463AC">
          <w:rPr>
            <w:rStyle w:val="Lienhypertexte"/>
            <w:noProof/>
          </w:rPr>
          <w:t>Durée du marché et délai d’exécution</w:t>
        </w:r>
        <w:r w:rsidR="0058684F">
          <w:rPr>
            <w:noProof/>
            <w:webHidden/>
          </w:rPr>
          <w:tab/>
        </w:r>
        <w:r w:rsidR="0058684F">
          <w:rPr>
            <w:noProof/>
            <w:webHidden/>
          </w:rPr>
          <w:fldChar w:fldCharType="begin"/>
        </w:r>
        <w:r w:rsidR="0058684F">
          <w:rPr>
            <w:noProof/>
            <w:webHidden/>
          </w:rPr>
          <w:instrText xml:space="preserve"> PAGEREF _Toc95299486 \h </w:instrText>
        </w:r>
        <w:r w:rsidR="0058684F">
          <w:rPr>
            <w:noProof/>
            <w:webHidden/>
          </w:rPr>
        </w:r>
        <w:r w:rsidR="0058684F">
          <w:rPr>
            <w:noProof/>
            <w:webHidden/>
          </w:rPr>
          <w:fldChar w:fldCharType="separate"/>
        </w:r>
        <w:r>
          <w:rPr>
            <w:noProof/>
            <w:webHidden/>
          </w:rPr>
          <w:t>9</w:t>
        </w:r>
        <w:r w:rsidR="0058684F">
          <w:rPr>
            <w:noProof/>
            <w:webHidden/>
          </w:rPr>
          <w:fldChar w:fldCharType="end"/>
        </w:r>
      </w:hyperlink>
    </w:p>
    <w:p w:rsidR="0058684F" w:rsidRDefault="00EF24C1">
      <w:pPr>
        <w:pStyle w:val="TM3"/>
        <w:rPr>
          <w:rFonts w:eastAsiaTheme="minorEastAsia" w:cstheme="minorBidi"/>
          <w:noProof/>
          <w:sz w:val="22"/>
          <w:szCs w:val="22"/>
        </w:rPr>
      </w:pPr>
      <w:hyperlink w:anchor="_Toc95299487" w:history="1">
        <w:r w:rsidR="0058684F" w:rsidRPr="00E463AC">
          <w:rPr>
            <w:rStyle w:val="Lienhypertexte"/>
            <w:noProof/>
          </w:rPr>
          <w:t>4.3</w:t>
        </w:r>
        <w:r w:rsidR="0058684F">
          <w:rPr>
            <w:rFonts w:eastAsiaTheme="minorEastAsia" w:cstheme="minorBidi"/>
            <w:noProof/>
            <w:sz w:val="22"/>
            <w:szCs w:val="22"/>
          </w:rPr>
          <w:tab/>
        </w:r>
        <w:r w:rsidR="0058684F" w:rsidRPr="00E463AC">
          <w:rPr>
            <w:rStyle w:val="Lienhypertexte"/>
            <w:noProof/>
          </w:rPr>
          <w:t>Lieux d’exécution</w:t>
        </w:r>
        <w:r w:rsidR="0058684F">
          <w:rPr>
            <w:noProof/>
            <w:webHidden/>
          </w:rPr>
          <w:tab/>
        </w:r>
        <w:r w:rsidR="0058684F">
          <w:rPr>
            <w:noProof/>
            <w:webHidden/>
          </w:rPr>
          <w:fldChar w:fldCharType="begin"/>
        </w:r>
        <w:r w:rsidR="0058684F">
          <w:rPr>
            <w:noProof/>
            <w:webHidden/>
          </w:rPr>
          <w:instrText xml:space="preserve"> PAGEREF _Toc95299487 \h </w:instrText>
        </w:r>
        <w:r w:rsidR="0058684F">
          <w:rPr>
            <w:noProof/>
            <w:webHidden/>
          </w:rPr>
        </w:r>
        <w:r w:rsidR="0058684F">
          <w:rPr>
            <w:noProof/>
            <w:webHidden/>
          </w:rPr>
          <w:fldChar w:fldCharType="separate"/>
        </w:r>
        <w:r>
          <w:rPr>
            <w:noProof/>
            <w:webHidden/>
          </w:rPr>
          <w:t>9</w:t>
        </w:r>
        <w:r w:rsidR="0058684F">
          <w:rPr>
            <w:noProof/>
            <w:webHidden/>
          </w:rPr>
          <w:fldChar w:fldCharType="end"/>
        </w:r>
      </w:hyperlink>
    </w:p>
    <w:p w:rsidR="0058684F" w:rsidRDefault="00EF24C1">
      <w:pPr>
        <w:pStyle w:val="TM2"/>
        <w:rPr>
          <w:rFonts w:eastAsiaTheme="minorEastAsia" w:cstheme="minorBidi"/>
          <w:b w:val="0"/>
          <w:bCs w:val="0"/>
          <w:sz w:val="22"/>
          <w:szCs w:val="22"/>
        </w:rPr>
      </w:pPr>
      <w:hyperlink w:anchor="_Toc95299488" w:history="1">
        <w:r w:rsidR="0058684F" w:rsidRPr="00E463AC">
          <w:rPr>
            <w:rStyle w:val="Lienhypertexte"/>
          </w:rPr>
          <w:t>Article 5 Consultation</w:t>
        </w:r>
        <w:r w:rsidR="0058684F">
          <w:rPr>
            <w:webHidden/>
          </w:rPr>
          <w:tab/>
        </w:r>
        <w:r w:rsidR="0058684F">
          <w:rPr>
            <w:webHidden/>
          </w:rPr>
          <w:fldChar w:fldCharType="begin"/>
        </w:r>
        <w:r w:rsidR="0058684F">
          <w:rPr>
            <w:webHidden/>
          </w:rPr>
          <w:instrText xml:space="preserve"> PAGEREF _Toc95299488 \h </w:instrText>
        </w:r>
        <w:r w:rsidR="0058684F">
          <w:rPr>
            <w:webHidden/>
          </w:rPr>
        </w:r>
        <w:r w:rsidR="0058684F">
          <w:rPr>
            <w:webHidden/>
          </w:rPr>
          <w:fldChar w:fldCharType="separate"/>
        </w:r>
        <w:r>
          <w:rPr>
            <w:webHidden/>
          </w:rPr>
          <w:t>9</w:t>
        </w:r>
        <w:r w:rsidR="0058684F">
          <w:rPr>
            <w:webHidden/>
          </w:rPr>
          <w:fldChar w:fldCharType="end"/>
        </w:r>
      </w:hyperlink>
    </w:p>
    <w:p w:rsidR="0058684F" w:rsidRDefault="00EF24C1">
      <w:pPr>
        <w:pStyle w:val="TM3"/>
        <w:rPr>
          <w:rFonts w:eastAsiaTheme="minorEastAsia" w:cstheme="minorBidi"/>
          <w:noProof/>
          <w:sz w:val="22"/>
          <w:szCs w:val="22"/>
        </w:rPr>
      </w:pPr>
      <w:hyperlink w:anchor="_Toc95299489" w:history="1">
        <w:r w:rsidR="0058684F" w:rsidRPr="00E463AC">
          <w:rPr>
            <w:rStyle w:val="Lienhypertexte"/>
            <w:noProof/>
          </w:rPr>
          <w:t>5.1  Montant estimatif de l’accord-cadre</w:t>
        </w:r>
        <w:r w:rsidR="0058684F">
          <w:rPr>
            <w:noProof/>
            <w:webHidden/>
          </w:rPr>
          <w:tab/>
        </w:r>
        <w:r w:rsidR="0058684F">
          <w:rPr>
            <w:noProof/>
            <w:webHidden/>
          </w:rPr>
          <w:fldChar w:fldCharType="begin"/>
        </w:r>
        <w:r w:rsidR="0058684F">
          <w:rPr>
            <w:noProof/>
            <w:webHidden/>
          </w:rPr>
          <w:instrText xml:space="preserve"> PAGEREF _Toc95299489 \h </w:instrText>
        </w:r>
        <w:r w:rsidR="0058684F">
          <w:rPr>
            <w:noProof/>
            <w:webHidden/>
          </w:rPr>
        </w:r>
        <w:r w:rsidR="0058684F">
          <w:rPr>
            <w:noProof/>
            <w:webHidden/>
          </w:rPr>
          <w:fldChar w:fldCharType="separate"/>
        </w:r>
        <w:r>
          <w:rPr>
            <w:noProof/>
            <w:webHidden/>
          </w:rPr>
          <w:t>9</w:t>
        </w:r>
        <w:r w:rsidR="0058684F">
          <w:rPr>
            <w:noProof/>
            <w:webHidden/>
          </w:rPr>
          <w:fldChar w:fldCharType="end"/>
        </w:r>
      </w:hyperlink>
    </w:p>
    <w:p w:rsidR="0058684F" w:rsidRDefault="00EF24C1">
      <w:pPr>
        <w:pStyle w:val="TM3"/>
        <w:rPr>
          <w:rFonts w:eastAsiaTheme="minorEastAsia" w:cstheme="minorBidi"/>
          <w:noProof/>
          <w:sz w:val="22"/>
          <w:szCs w:val="22"/>
        </w:rPr>
      </w:pPr>
      <w:hyperlink w:anchor="_Toc95299490" w:history="1">
        <w:r w:rsidR="0058684F" w:rsidRPr="00E463AC">
          <w:rPr>
            <w:rStyle w:val="Lienhypertexte"/>
            <w:noProof/>
          </w:rPr>
          <w:t>5.2</w:t>
        </w:r>
        <w:r w:rsidR="0058684F">
          <w:rPr>
            <w:rFonts w:eastAsiaTheme="minorEastAsia" w:cstheme="minorBidi"/>
            <w:noProof/>
            <w:sz w:val="22"/>
            <w:szCs w:val="22"/>
          </w:rPr>
          <w:tab/>
        </w:r>
        <w:r w:rsidR="0058684F" w:rsidRPr="00E463AC">
          <w:rPr>
            <w:rStyle w:val="Lienhypertexte"/>
            <w:noProof/>
          </w:rPr>
          <w:t>Désignation de la procédure de passation</w:t>
        </w:r>
        <w:r w:rsidR="0058684F">
          <w:rPr>
            <w:noProof/>
            <w:webHidden/>
          </w:rPr>
          <w:tab/>
        </w:r>
        <w:r w:rsidR="0058684F">
          <w:rPr>
            <w:noProof/>
            <w:webHidden/>
          </w:rPr>
          <w:fldChar w:fldCharType="begin"/>
        </w:r>
        <w:r w:rsidR="0058684F">
          <w:rPr>
            <w:noProof/>
            <w:webHidden/>
          </w:rPr>
          <w:instrText xml:space="preserve"> PAGEREF _Toc95299490 \h </w:instrText>
        </w:r>
        <w:r w:rsidR="0058684F">
          <w:rPr>
            <w:noProof/>
            <w:webHidden/>
          </w:rPr>
        </w:r>
        <w:r w:rsidR="0058684F">
          <w:rPr>
            <w:noProof/>
            <w:webHidden/>
          </w:rPr>
          <w:fldChar w:fldCharType="separate"/>
        </w:r>
        <w:r>
          <w:rPr>
            <w:noProof/>
            <w:webHidden/>
          </w:rPr>
          <w:t>9</w:t>
        </w:r>
        <w:r w:rsidR="0058684F">
          <w:rPr>
            <w:noProof/>
            <w:webHidden/>
          </w:rPr>
          <w:fldChar w:fldCharType="end"/>
        </w:r>
      </w:hyperlink>
    </w:p>
    <w:p w:rsidR="0058684F" w:rsidRDefault="00EF24C1">
      <w:pPr>
        <w:pStyle w:val="TM3"/>
        <w:rPr>
          <w:rFonts w:eastAsiaTheme="minorEastAsia" w:cstheme="minorBidi"/>
          <w:noProof/>
          <w:sz w:val="22"/>
          <w:szCs w:val="22"/>
        </w:rPr>
      </w:pPr>
      <w:hyperlink w:anchor="_Toc95299491" w:history="1">
        <w:r w:rsidR="0058684F" w:rsidRPr="00E463AC">
          <w:rPr>
            <w:rStyle w:val="Lienhypertexte"/>
            <w:noProof/>
          </w:rPr>
          <w:t>5.3</w:t>
        </w:r>
        <w:r w:rsidR="0058684F">
          <w:rPr>
            <w:rFonts w:eastAsiaTheme="minorEastAsia" w:cstheme="minorBidi"/>
            <w:noProof/>
            <w:sz w:val="22"/>
            <w:szCs w:val="22"/>
          </w:rPr>
          <w:tab/>
        </w:r>
        <w:r w:rsidR="0058684F" w:rsidRPr="00E463AC">
          <w:rPr>
            <w:rStyle w:val="Lienhypertexte"/>
            <w:noProof/>
          </w:rPr>
          <w:t>Nomenclature CPV</w:t>
        </w:r>
        <w:r w:rsidR="0058684F">
          <w:rPr>
            <w:noProof/>
            <w:webHidden/>
          </w:rPr>
          <w:tab/>
        </w:r>
        <w:r w:rsidR="0058684F">
          <w:rPr>
            <w:noProof/>
            <w:webHidden/>
          </w:rPr>
          <w:fldChar w:fldCharType="begin"/>
        </w:r>
        <w:r w:rsidR="0058684F">
          <w:rPr>
            <w:noProof/>
            <w:webHidden/>
          </w:rPr>
          <w:instrText xml:space="preserve"> PAGEREF _Toc95299491 \h </w:instrText>
        </w:r>
        <w:r w:rsidR="0058684F">
          <w:rPr>
            <w:noProof/>
            <w:webHidden/>
          </w:rPr>
        </w:r>
        <w:r w:rsidR="0058684F">
          <w:rPr>
            <w:noProof/>
            <w:webHidden/>
          </w:rPr>
          <w:fldChar w:fldCharType="separate"/>
        </w:r>
        <w:r>
          <w:rPr>
            <w:noProof/>
            <w:webHidden/>
          </w:rPr>
          <w:t>9</w:t>
        </w:r>
        <w:r w:rsidR="0058684F">
          <w:rPr>
            <w:noProof/>
            <w:webHidden/>
          </w:rPr>
          <w:fldChar w:fldCharType="end"/>
        </w:r>
      </w:hyperlink>
    </w:p>
    <w:p w:rsidR="0058684F" w:rsidRDefault="00EF24C1">
      <w:pPr>
        <w:pStyle w:val="TM2"/>
        <w:rPr>
          <w:rFonts w:eastAsiaTheme="minorEastAsia" w:cstheme="minorBidi"/>
          <w:b w:val="0"/>
          <w:bCs w:val="0"/>
          <w:sz w:val="22"/>
          <w:szCs w:val="22"/>
        </w:rPr>
      </w:pPr>
      <w:hyperlink w:anchor="_Toc95299492" w:history="1">
        <w:r w:rsidR="0058684F" w:rsidRPr="00E463AC">
          <w:rPr>
            <w:rStyle w:val="Lienhypertexte"/>
          </w:rPr>
          <w:t>Article 6 Forme des candidatures</w:t>
        </w:r>
        <w:r w:rsidR="0058684F">
          <w:rPr>
            <w:webHidden/>
          </w:rPr>
          <w:tab/>
        </w:r>
        <w:r w:rsidR="0058684F">
          <w:rPr>
            <w:webHidden/>
          </w:rPr>
          <w:fldChar w:fldCharType="begin"/>
        </w:r>
        <w:r w:rsidR="0058684F">
          <w:rPr>
            <w:webHidden/>
          </w:rPr>
          <w:instrText xml:space="preserve"> PAGEREF _Toc95299492 \h </w:instrText>
        </w:r>
        <w:r w:rsidR="0058684F">
          <w:rPr>
            <w:webHidden/>
          </w:rPr>
        </w:r>
        <w:r w:rsidR="0058684F">
          <w:rPr>
            <w:webHidden/>
          </w:rPr>
          <w:fldChar w:fldCharType="separate"/>
        </w:r>
        <w:r>
          <w:rPr>
            <w:webHidden/>
          </w:rPr>
          <w:t>10</w:t>
        </w:r>
        <w:r w:rsidR="0058684F">
          <w:rPr>
            <w:webHidden/>
          </w:rPr>
          <w:fldChar w:fldCharType="end"/>
        </w:r>
      </w:hyperlink>
    </w:p>
    <w:p w:rsidR="0058684F" w:rsidRDefault="00EF24C1">
      <w:pPr>
        <w:pStyle w:val="TM3"/>
        <w:rPr>
          <w:rFonts w:eastAsiaTheme="minorEastAsia" w:cstheme="minorBidi"/>
          <w:noProof/>
          <w:sz w:val="22"/>
          <w:szCs w:val="22"/>
        </w:rPr>
      </w:pPr>
      <w:hyperlink w:anchor="_Toc95299493" w:history="1">
        <w:r w:rsidR="0058684F" w:rsidRPr="00E463AC">
          <w:rPr>
            <w:rStyle w:val="Lienhypertexte"/>
            <w:noProof/>
          </w:rPr>
          <w:t>6.1  Liberté de la forme des candidatures</w:t>
        </w:r>
        <w:r w:rsidR="0058684F">
          <w:rPr>
            <w:noProof/>
            <w:webHidden/>
          </w:rPr>
          <w:tab/>
        </w:r>
        <w:r w:rsidR="0058684F">
          <w:rPr>
            <w:noProof/>
            <w:webHidden/>
          </w:rPr>
          <w:fldChar w:fldCharType="begin"/>
        </w:r>
        <w:r w:rsidR="0058684F">
          <w:rPr>
            <w:noProof/>
            <w:webHidden/>
          </w:rPr>
          <w:instrText xml:space="preserve"> PAGEREF _Toc95299493 \h </w:instrText>
        </w:r>
        <w:r w:rsidR="0058684F">
          <w:rPr>
            <w:noProof/>
            <w:webHidden/>
          </w:rPr>
        </w:r>
        <w:r w:rsidR="0058684F">
          <w:rPr>
            <w:noProof/>
            <w:webHidden/>
          </w:rPr>
          <w:fldChar w:fldCharType="separate"/>
        </w:r>
        <w:r>
          <w:rPr>
            <w:noProof/>
            <w:webHidden/>
          </w:rPr>
          <w:t>10</w:t>
        </w:r>
        <w:r w:rsidR="0058684F">
          <w:rPr>
            <w:noProof/>
            <w:webHidden/>
          </w:rPr>
          <w:fldChar w:fldCharType="end"/>
        </w:r>
      </w:hyperlink>
    </w:p>
    <w:p w:rsidR="0058684F" w:rsidRDefault="00EF24C1">
      <w:pPr>
        <w:pStyle w:val="TM3"/>
        <w:rPr>
          <w:rFonts w:eastAsiaTheme="minorEastAsia" w:cstheme="minorBidi"/>
          <w:noProof/>
          <w:sz w:val="22"/>
          <w:szCs w:val="22"/>
        </w:rPr>
      </w:pPr>
      <w:hyperlink w:anchor="_Toc95299494" w:history="1">
        <w:r w:rsidR="0058684F" w:rsidRPr="00E463AC">
          <w:rPr>
            <w:rStyle w:val="Lienhypertexte"/>
            <w:noProof/>
          </w:rPr>
          <w:t>6.2</w:t>
        </w:r>
        <w:r w:rsidR="0058684F">
          <w:rPr>
            <w:rFonts w:eastAsiaTheme="minorEastAsia" w:cstheme="minorBidi"/>
            <w:noProof/>
            <w:sz w:val="22"/>
            <w:szCs w:val="22"/>
          </w:rPr>
          <w:tab/>
        </w:r>
        <w:r w:rsidR="0058684F" w:rsidRPr="00E463AC">
          <w:rPr>
            <w:rStyle w:val="Lienhypertexte"/>
            <w:noProof/>
          </w:rPr>
          <w:t>Liberté de la forme juridique du groupement</w:t>
        </w:r>
        <w:r w:rsidR="0058684F">
          <w:rPr>
            <w:noProof/>
            <w:webHidden/>
          </w:rPr>
          <w:tab/>
        </w:r>
        <w:r w:rsidR="0058684F">
          <w:rPr>
            <w:noProof/>
            <w:webHidden/>
          </w:rPr>
          <w:fldChar w:fldCharType="begin"/>
        </w:r>
        <w:r w:rsidR="0058684F">
          <w:rPr>
            <w:noProof/>
            <w:webHidden/>
          </w:rPr>
          <w:instrText xml:space="preserve"> PAGEREF _Toc95299494 \h </w:instrText>
        </w:r>
        <w:r w:rsidR="0058684F">
          <w:rPr>
            <w:noProof/>
            <w:webHidden/>
          </w:rPr>
        </w:r>
        <w:r w:rsidR="0058684F">
          <w:rPr>
            <w:noProof/>
            <w:webHidden/>
          </w:rPr>
          <w:fldChar w:fldCharType="separate"/>
        </w:r>
        <w:r>
          <w:rPr>
            <w:noProof/>
            <w:webHidden/>
          </w:rPr>
          <w:t>10</w:t>
        </w:r>
        <w:r w:rsidR="0058684F">
          <w:rPr>
            <w:noProof/>
            <w:webHidden/>
          </w:rPr>
          <w:fldChar w:fldCharType="end"/>
        </w:r>
      </w:hyperlink>
    </w:p>
    <w:p w:rsidR="0058684F" w:rsidRDefault="00EF24C1">
      <w:pPr>
        <w:pStyle w:val="TM3"/>
        <w:rPr>
          <w:rFonts w:eastAsiaTheme="minorEastAsia" w:cstheme="minorBidi"/>
          <w:noProof/>
          <w:sz w:val="22"/>
          <w:szCs w:val="22"/>
        </w:rPr>
      </w:pPr>
      <w:hyperlink w:anchor="_Toc95299495" w:history="1">
        <w:r w:rsidR="0058684F" w:rsidRPr="00E463AC">
          <w:rPr>
            <w:rStyle w:val="Lienhypertexte"/>
            <w:noProof/>
          </w:rPr>
          <w:t>6.3</w:t>
        </w:r>
        <w:r w:rsidR="0058684F">
          <w:rPr>
            <w:rFonts w:eastAsiaTheme="minorEastAsia" w:cstheme="minorBidi"/>
            <w:noProof/>
            <w:sz w:val="22"/>
            <w:szCs w:val="22"/>
          </w:rPr>
          <w:tab/>
        </w:r>
        <w:r w:rsidR="0058684F" w:rsidRPr="00E463AC">
          <w:rPr>
            <w:rStyle w:val="Lienhypertexte"/>
            <w:noProof/>
          </w:rPr>
          <w:t>Modification dans la composition du groupement en phase de passation</w:t>
        </w:r>
        <w:r w:rsidR="0058684F">
          <w:rPr>
            <w:noProof/>
            <w:webHidden/>
          </w:rPr>
          <w:tab/>
        </w:r>
        <w:r w:rsidR="0058684F">
          <w:rPr>
            <w:noProof/>
            <w:webHidden/>
          </w:rPr>
          <w:fldChar w:fldCharType="begin"/>
        </w:r>
        <w:r w:rsidR="0058684F">
          <w:rPr>
            <w:noProof/>
            <w:webHidden/>
          </w:rPr>
          <w:instrText xml:space="preserve"> PAGEREF _Toc95299495 \h </w:instrText>
        </w:r>
        <w:r w:rsidR="0058684F">
          <w:rPr>
            <w:noProof/>
            <w:webHidden/>
          </w:rPr>
        </w:r>
        <w:r w:rsidR="0058684F">
          <w:rPr>
            <w:noProof/>
            <w:webHidden/>
          </w:rPr>
          <w:fldChar w:fldCharType="separate"/>
        </w:r>
        <w:r>
          <w:rPr>
            <w:noProof/>
            <w:webHidden/>
          </w:rPr>
          <w:t>10</w:t>
        </w:r>
        <w:r w:rsidR="0058684F">
          <w:rPr>
            <w:noProof/>
            <w:webHidden/>
          </w:rPr>
          <w:fldChar w:fldCharType="end"/>
        </w:r>
      </w:hyperlink>
    </w:p>
    <w:p w:rsidR="0058684F" w:rsidRDefault="00EF24C1">
      <w:pPr>
        <w:pStyle w:val="TM2"/>
        <w:rPr>
          <w:rFonts w:eastAsiaTheme="minorEastAsia" w:cstheme="minorBidi"/>
          <w:b w:val="0"/>
          <w:bCs w:val="0"/>
          <w:sz w:val="22"/>
          <w:szCs w:val="22"/>
        </w:rPr>
      </w:pPr>
      <w:hyperlink w:anchor="_Toc95299496" w:history="1">
        <w:r w:rsidR="0058684F" w:rsidRPr="00E463AC">
          <w:rPr>
            <w:rStyle w:val="Lienhypertexte"/>
          </w:rPr>
          <w:t>Article 7 Présentation des candidatures</w:t>
        </w:r>
        <w:r w:rsidR="0058684F">
          <w:rPr>
            <w:webHidden/>
          </w:rPr>
          <w:tab/>
        </w:r>
        <w:r w:rsidR="0058684F">
          <w:rPr>
            <w:webHidden/>
          </w:rPr>
          <w:fldChar w:fldCharType="begin"/>
        </w:r>
        <w:r w:rsidR="0058684F">
          <w:rPr>
            <w:webHidden/>
          </w:rPr>
          <w:instrText xml:space="preserve"> PAGEREF _Toc95299496 \h </w:instrText>
        </w:r>
        <w:r w:rsidR="0058684F">
          <w:rPr>
            <w:webHidden/>
          </w:rPr>
        </w:r>
        <w:r w:rsidR="0058684F">
          <w:rPr>
            <w:webHidden/>
          </w:rPr>
          <w:fldChar w:fldCharType="separate"/>
        </w:r>
        <w:r>
          <w:rPr>
            <w:webHidden/>
          </w:rPr>
          <w:t>11</w:t>
        </w:r>
        <w:r w:rsidR="0058684F">
          <w:rPr>
            <w:webHidden/>
          </w:rPr>
          <w:fldChar w:fldCharType="end"/>
        </w:r>
      </w:hyperlink>
    </w:p>
    <w:p w:rsidR="0058684F" w:rsidRDefault="00EF24C1">
      <w:pPr>
        <w:pStyle w:val="TM3"/>
        <w:rPr>
          <w:rFonts w:eastAsiaTheme="minorEastAsia" w:cstheme="minorBidi"/>
          <w:noProof/>
          <w:sz w:val="22"/>
          <w:szCs w:val="22"/>
        </w:rPr>
      </w:pPr>
      <w:hyperlink w:anchor="_Toc95299497" w:history="1">
        <w:r w:rsidR="0058684F" w:rsidRPr="00E463AC">
          <w:rPr>
            <w:rStyle w:val="Lienhypertexte"/>
            <w:noProof/>
          </w:rPr>
          <w:t>7.1 Interdictions de soumissionner</w:t>
        </w:r>
        <w:r w:rsidR="0058684F">
          <w:rPr>
            <w:noProof/>
            <w:webHidden/>
          </w:rPr>
          <w:tab/>
        </w:r>
        <w:r w:rsidR="0058684F">
          <w:rPr>
            <w:noProof/>
            <w:webHidden/>
          </w:rPr>
          <w:fldChar w:fldCharType="begin"/>
        </w:r>
        <w:r w:rsidR="0058684F">
          <w:rPr>
            <w:noProof/>
            <w:webHidden/>
          </w:rPr>
          <w:instrText xml:space="preserve"> PAGEREF _Toc95299497 \h </w:instrText>
        </w:r>
        <w:r w:rsidR="0058684F">
          <w:rPr>
            <w:noProof/>
            <w:webHidden/>
          </w:rPr>
        </w:r>
        <w:r w:rsidR="0058684F">
          <w:rPr>
            <w:noProof/>
            <w:webHidden/>
          </w:rPr>
          <w:fldChar w:fldCharType="separate"/>
        </w:r>
        <w:r>
          <w:rPr>
            <w:noProof/>
            <w:webHidden/>
          </w:rPr>
          <w:t>11</w:t>
        </w:r>
        <w:r w:rsidR="0058684F">
          <w:rPr>
            <w:noProof/>
            <w:webHidden/>
          </w:rPr>
          <w:fldChar w:fldCharType="end"/>
        </w:r>
      </w:hyperlink>
    </w:p>
    <w:p w:rsidR="0058684F" w:rsidRDefault="00EF24C1">
      <w:pPr>
        <w:pStyle w:val="TM3"/>
        <w:rPr>
          <w:rFonts w:eastAsiaTheme="minorEastAsia" w:cstheme="minorBidi"/>
          <w:noProof/>
          <w:sz w:val="22"/>
          <w:szCs w:val="22"/>
        </w:rPr>
      </w:pPr>
      <w:hyperlink w:anchor="_Toc95299498" w:history="1">
        <w:r w:rsidR="0058684F" w:rsidRPr="00E463AC">
          <w:rPr>
            <w:rStyle w:val="Lienhypertexte"/>
            <w:noProof/>
          </w:rPr>
          <w:t>7.2</w:t>
        </w:r>
        <w:r w:rsidR="0058684F">
          <w:rPr>
            <w:rFonts w:eastAsiaTheme="minorEastAsia" w:cstheme="minorBidi"/>
            <w:noProof/>
            <w:sz w:val="22"/>
            <w:szCs w:val="22"/>
          </w:rPr>
          <w:tab/>
        </w:r>
        <w:r w:rsidR="0058684F" w:rsidRPr="00E463AC">
          <w:rPr>
            <w:rStyle w:val="Lienhypertexte"/>
            <w:noProof/>
          </w:rPr>
          <w:t>Interdictions de soumissionner en cas de groupement d’opérateurs économiques et de sous-traitance</w:t>
        </w:r>
        <w:r w:rsidR="0058684F">
          <w:rPr>
            <w:noProof/>
            <w:webHidden/>
          </w:rPr>
          <w:tab/>
        </w:r>
        <w:r w:rsidR="0058684F">
          <w:rPr>
            <w:noProof/>
            <w:webHidden/>
          </w:rPr>
          <w:fldChar w:fldCharType="begin"/>
        </w:r>
        <w:r w:rsidR="0058684F">
          <w:rPr>
            <w:noProof/>
            <w:webHidden/>
          </w:rPr>
          <w:instrText xml:space="preserve"> PAGEREF _Toc95299498 \h </w:instrText>
        </w:r>
        <w:r w:rsidR="0058684F">
          <w:rPr>
            <w:noProof/>
            <w:webHidden/>
          </w:rPr>
        </w:r>
        <w:r w:rsidR="0058684F">
          <w:rPr>
            <w:noProof/>
            <w:webHidden/>
          </w:rPr>
          <w:fldChar w:fldCharType="separate"/>
        </w:r>
        <w:r>
          <w:rPr>
            <w:noProof/>
            <w:webHidden/>
          </w:rPr>
          <w:t>11</w:t>
        </w:r>
        <w:r w:rsidR="0058684F">
          <w:rPr>
            <w:noProof/>
            <w:webHidden/>
          </w:rPr>
          <w:fldChar w:fldCharType="end"/>
        </w:r>
      </w:hyperlink>
    </w:p>
    <w:p w:rsidR="0058684F" w:rsidRDefault="00EF24C1">
      <w:pPr>
        <w:pStyle w:val="TM3"/>
        <w:rPr>
          <w:rFonts w:eastAsiaTheme="minorEastAsia" w:cstheme="minorBidi"/>
          <w:noProof/>
          <w:sz w:val="22"/>
          <w:szCs w:val="22"/>
        </w:rPr>
      </w:pPr>
      <w:hyperlink w:anchor="_Toc95299499" w:history="1">
        <w:r w:rsidR="0058684F" w:rsidRPr="00E463AC">
          <w:rPr>
            <w:rStyle w:val="Lienhypertexte"/>
            <w:noProof/>
          </w:rPr>
          <w:t>7.3</w:t>
        </w:r>
        <w:r w:rsidR="0058684F">
          <w:rPr>
            <w:rFonts w:eastAsiaTheme="minorEastAsia" w:cstheme="minorBidi"/>
            <w:noProof/>
            <w:sz w:val="22"/>
            <w:szCs w:val="22"/>
          </w:rPr>
          <w:tab/>
        </w:r>
        <w:r w:rsidR="0058684F" w:rsidRPr="00E463AC">
          <w:rPr>
            <w:rStyle w:val="Lienhypertexte"/>
            <w:noProof/>
          </w:rPr>
          <w:t>Renseignements ou documents à fournir au titre de la candidature</w:t>
        </w:r>
        <w:r w:rsidR="0058684F">
          <w:rPr>
            <w:noProof/>
            <w:webHidden/>
          </w:rPr>
          <w:tab/>
        </w:r>
        <w:r w:rsidR="0058684F">
          <w:rPr>
            <w:noProof/>
            <w:webHidden/>
          </w:rPr>
          <w:fldChar w:fldCharType="begin"/>
        </w:r>
        <w:r w:rsidR="0058684F">
          <w:rPr>
            <w:noProof/>
            <w:webHidden/>
          </w:rPr>
          <w:instrText xml:space="preserve"> PAGEREF _Toc95299499 \h </w:instrText>
        </w:r>
        <w:r w:rsidR="0058684F">
          <w:rPr>
            <w:noProof/>
            <w:webHidden/>
          </w:rPr>
        </w:r>
        <w:r w:rsidR="0058684F">
          <w:rPr>
            <w:noProof/>
            <w:webHidden/>
          </w:rPr>
          <w:fldChar w:fldCharType="separate"/>
        </w:r>
        <w:r>
          <w:rPr>
            <w:noProof/>
            <w:webHidden/>
          </w:rPr>
          <w:t>11</w:t>
        </w:r>
        <w:r w:rsidR="0058684F">
          <w:rPr>
            <w:noProof/>
            <w:webHidden/>
          </w:rPr>
          <w:fldChar w:fldCharType="end"/>
        </w:r>
      </w:hyperlink>
    </w:p>
    <w:p w:rsidR="0058684F" w:rsidRDefault="00EF24C1">
      <w:pPr>
        <w:pStyle w:val="TM2"/>
        <w:rPr>
          <w:rFonts w:eastAsiaTheme="minorEastAsia" w:cstheme="minorBidi"/>
          <w:b w:val="0"/>
          <w:bCs w:val="0"/>
          <w:sz w:val="22"/>
          <w:szCs w:val="22"/>
        </w:rPr>
      </w:pPr>
      <w:hyperlink w:anchor="_Toc95299500" w:history="1">
        <w:r w:rsidR="0058684F" w:rsidRPr="00E463AC">
          <w:rPr>
            <w:rStyle w:val="Lienhypertexte"/>
          </w:rPr>
          <w:t>Article 8 Examen des candidatures</w:t>
        </w:r>
        <w:r w:rsidR="0058684F">
          <w:rPr>
            <w:webHidden/>
          </w:rPr>
          <w:tab/>
        </w:r>
        <w:r w:rsidR="0058684F">
          <w:rPr>
            <w:webHidden/>
          </w:rPr>
          <w:fldChar w:fldCharType="begin"/>
        </w:r>
        <w:r w:rsidR="0058684F">
          <w:rPr>
            <w:webHidden/>
          </w:rPr>
          <w:instrText xml:space="preserve"> PAGEREF _Toc95299500 \h </w:instrText>
        </w:r>
        <w:r w:rsidR="0058684F">
          <w:rPr>
            <w:webHidden/>
          </w:rPr>
        </w:r>
        <w:r w:rsidR="0058684F">
          <w:rPr>
            <w:webHidden/>
          </w:rPr>
          <w:fldChar w:fldCharType="separate"/>
        </w:r>
        <w:r>
          <w:rPr>
            <w:webHidden/>
          </w:rPr>
          <w:t>13</w:t>
        </w:r>
        <w:r w:rsidR="0058684F">
          <w:rPr>
            <w:webHidden/>
          </w:rPr>
          <w:fldChar w:fldCharType="end"/>
        </w:r>
      </w:hyperlink>
    </w:p>
    <w:p w:rsidR="0058684F" w:rsidRDefault="00EF24C1">
      <w:pPr>
        <w:pStyle w:val="TM2"/>
        <w:rPr>
          <w:rFonts w:eastAsiaTheme="minorEastAsia" w:cstheme="minorBidi"/>
          <w:b w:val="0"/>
          <w:bCs w:val="0"/>
          <w:sz w:val="22"/>
          <w:szCs w:val="22"/>
        </w:rPr>
      </w:pPr>
      <w:hyperlink w:anchor="_Toc95299501" w:history="1">
        <w:r w:rsidR="0058684F" w:rsidRPr="00E463AC">
          <w:rPr>
            <w:rStyle w:val="Lienhypertexte"/>
          </w:rPr>
          <w:t>Article 9 Précisions sur la sous-traitance</w:t>
        </w:r>
        <w:r w:rsidR="0058684F">
          <w:rPr>
            <w:webHidden/>
          </w:rPr>
          <w:tab/>
        </w:r>
        <w:r w:rsidR="0058684F">
          <w:rPr>
            <w:webHidden/>
          </w:rPr>
          <w:fldChar w:fldCharType="begin"/>
        </w:r>
        <w:r w:rsidR="0058684F">
          <w:rPr>
            <w:webHidden/>
          </w:rPr>
          <w:instrText xml:space="preserve"> PAGEREF _Toc95299501 \h </w:instrText>
        </w:r>
        <w:r w:rsidR="0058684F">
          <w:rPr>
            <w:webHidden/>
          </w:rPr>
        </w:r>
        <w:r w:rsidR="0058684F">
          <w:rPr>
            <w:webHidden/>
          </w:rPr>
          <w:fldChar w:fldCharType="separate"/>
        </w:r>
        <w:r>
          <w:rPr>
            <w:webHidden/>
          </w:rPr>
          <w:t>13</w:t>
        </w:r>
        <w:r w:rsidR="0058684F">
          <w:rPr>
            <w:webHidden/>
          </w:rPr>
          <w:fldChar w:fldCharType="end"/>
        </w:r>
      </w:hyperlink>
    </w:p>
    <w:p w:rsidR="0058684F" w:rsidRDefault="00EF24C1">
      <w:pPr>
        <w:pStyle w:val="TM3"/>
        <w:rPr>
          <w:rFonts w:eastAsiaTheme="minorEastAsia" w:cstheme="minorBidi"/>
          <w:noProof/>
          <w:sz w:val="22"/>
          <w:szCs w:val="22"/>
        </w:rPr>
      </w:pPr>
      <w:hyperlink w:anchor="_Toc95299502" w:history="1">
        <w:r w:rsidR="0058684F" w:rsidRPr="00E463AC">
          <w:rPr>
            <w:rStyle w:val="Lienhypertexte"/>
            <w:noProof/>
          </w:rPr>
          <w:t>9.1  Candidature sous forme de DUME</w:t>
        </w:r>
        <w:r w:rsidR="0058684F">
          <w:rPr>
            <w:noProof/>
            <w:webHidden/>
          </w:rPr>
          <w:tab/>
        </w:r>
        <w:r w:rsidR="0058684F">
          <w:rPr>
            <w:noProof/>
            <w:webHidden/>
          </w:rPr>
          <w:fldChar w:fldCharType="begin"/>
        </w:r>
        <w:r w:rsidR="0058684F">
          <w:rPr>
            <w:noProof/>
            <w:webHidden/>
          </w:rPr>
          <w:instrText xml:space="preserve"> PAGEREF _Toc95299502 \h </w:instrText>
        </w:r>
        <w:r w:rsidR="0058684F">
          <w:rPr>
            <w:noProof/>
            <w:webHidden/>
          </w:rPr>
        </w:r>
        <w:r w:rsidR="0058684F">
          <w:rPr>
            <w:noProof/>
            <w:webHidden/>
          </w:rPr>
          <w:fldChar w:fldCharType="separate"/>
        </w:r>
        <w:r>
          <w:rPr>
            <w:noProof/>
            <w:webHidden/>
          </w:rPr>
          <w:t>14</w:t>
        </w:r>
        <w:r w:rsidR="0058684F">
          <w:rPr>
            <w:noProof/>
            <w:webHidden/>
          </w:rPr>
          <w:fldChar w:fldCharType="end"/>
        </w:r>
      </w:hyperlink>
    </w:p>
    <w:p w:rsidR="0058684F" w:rsidRDefault="00EF24C1">
      <w:pPr>
        <w:pStyle w:val="TM3"/>
        <w:rPr>
          <w:rFonts w:eastAsiaTheme="minorEastAsia" w:cstheme="minorBidi"/>
          <w:noProof/>
          <w:sz w:val="22"/>
          <w:szCs w:val="22"/>
        </w:rPr>
      </w:pPr>
      <w:hyperlink w:anchor="_Toc95299503" w:history="1">
        <w:r w:rsidR="0058684F" w:rsidRPr="00E463AC">
          <w:rPr>
            <w:rStyle w:val="Lienhypertexte"/>
            <w:noProof/>
          </w:rPr>
          <w:t>9.2  Candidature hors DUME</w:t>
        </w:r>
        <w:r w:rsidR="0058684F">
          <w:rPr>
            <w:noProof/>
            <w:webHidden/>
          </w:rPr>
          <w:tab/>
        </w:r>
        <w:r w:rsidR="0058684F">
          <w:rPr>
            <w:noProof/>
            <w:webHidden/>
          </w:rPr>
          <w:fldChar w:fldCharType="begin"/>
        </w:r>
        <w:r w:rsidR="0058684F">
          <w:rPr>
            <w:noProof/>
            <w:webHidden/>
          </w:rPr>
          <w:instrText xml:space="preserve"> PAGEREF _Toc95299503 \h </w:instrText>
        </w:r>
        <w:r w:rsidR="0058684F">
          <w:rPr>
            <w:noProof/>
            <w:webHidden/>
          </w:rPr>
        </w:r>
        <w:r w:rsidR="0058684F">
          <w:rPr>
            <w:noProof/>
            <w:webHidden/>
          </w:rPr>
          <w:fldChar w:fldCharType="separate"/>
        </w:r>
        <w:r>
          <w:rPr>
            <w:noProof/>
            <w:webHidden/>
          </w:rPr>
          <w:t>14</w:t>
        </w:r>
        <w:r w:rsidR="0058684F">
          <w:rPr>
            <w:noProof/>
            <w:webHidden/>
          </w:rPr>
          <w:fldChar w:fldCharType="end"/>
        </w:r>
      </w:hyperlink>
    </w:p>
    <w:p w:rsidR="0058684F" w:rsidRDefault="00EF24C1">
      <w:pPr>
        <w:pStyle w:val="TM2"/>
        <w:rPr>
          <w:rFonts w:eastAsiaTheme="minorEastAsia" w:cstheme="minorBidi"/>
          <w:b w:val="0"/>
          <w:bCs w:val="0"/>
          <w:sz w:val="22"/>
          <w:szCs w:val="22"/>
        </w:rPr>
      </w:pPr>
      <w:hyperlink w:anchor="_Toc95299504" w:history="1">
        <w:r w:rsidR="0058684F" w:rsidRPr="00E463AC">
          <w:rPr>
            <w:rStyle w:val="Lienhypertexte"/>
          </w:rPr>
          <w:t>Article 10 Présentation des offres</w:t>
        </w:r>
        <w:r w:rsidR="0058684F">
          <w:rPr>
            <w:webHidden/>
          </w:rPr>
          <w:tab/>
        </w:r>
        <w:r w:rsidR="0058684F">
          <w:rPr>
            <w:webHidden/>
          </w:rPr>
          <w:fldChar w:fldCharType="begin"/>
        </w:r>
        <w:r w:rsidR="0058684F">
          <w:rPr>
            <w:webHidden/>
          </w:rPr>
          <w:instrText xml:space="preserve"> PAGEREF _Toc95299504 \h </w:instrText>
        </w:r>
        <w:r w:rsidR="0058684F">
          <w:rPr>
            <w:webHidden/>
          </w:rPr>
        </w:r>
        <w:r w:rsidR="0058684F">
          <w:rPr>
            <w:webHidden/>
          </w:rPr>
          <w:fldChar w:fldCharType="separate"/>
        </w:r>
        <w:r>
          <w:rPr>
            <w:webHidden/>
          </w:rPr>
          <w:t>14</w:t>
        </w:r>
        <w:r w:rsidR="0058684F">
          <w:rPr>
            <w:webHidden/>
          </w:rPr>
          <w:fldChar w:fldCharType="end"/>
        </w:r>
      </w:hyperlink>
    </w:p>
    <w:p w:rsidR="0058684F" w:rsidRDefault="00EF24C1">
      <w:pPr>
        <w:pStyle w:val="TM2"/>
        <w:rPr>
          <w:rFonts w:eastAsiaTheme="minorEastAsia" w:cstheme="minorBidi"/>
          <w:b w:val="0"/>
          <w:bCs w:val="0"/>
          <w:sz w:val="22"/>
          <w:szCs w:val="22"/>
        </w:rPr>
      </w:pPr>
      <w:hyperlink w:anchor="_Toc95299505" w:history="1">
        <w:r w:rsidR="0058684F" w:rsidRPr="00E463AC">
          <w:rPr>
            <w:rStyle w:val="Lienhypertexte"/>
          </w:rPr>
          <w:t>Article 11 Negociation</w:t>
        </w:r>
        <w:r w:rsidR="0058684F">
          <w:rPr>
            <w:webHidden/>
          </w:rPr>
          <w:tab/>
        </w:r>
        <w:r w:rsidR="0058684F">
          <w:rPr>
            <w:webHidden/>
          </w:rPr>
          <w:fldChar w:fldCharType="begin"/>
        </w:r>
        <w:r w:rsidR="0058684F">
          <w:rPr>
            <w:webHidden/>
          </w:rPr>
          <w:instrText xml:space="preserve"> PAGEREF _Toc95299505 \h </w:instrText>
        </w:r>
        <w:r w:rsidR="0058684F">
          <w:rPr>
            <w:webHidden/>
          </w:rPr>
        </w:r>
        <w:r w:rsidR="0058684F">
          <w:rPr>
            <w:webHidden/>
          </w:rPr>
          <w:fldChar w:fldCharType="separate"/>
        </w:r>
        <w:r>
          <w:rPr>
            <w:webHidden/>
          </w:rPr>
          <w:t>15</w:t>
        </w:r>
        <w:r w:rsidR="0058684F">
          <w:rPr>
            <w:webHidden/>
          </w:rPr>
          <w:fldChar w:fldCharType="end"/>
        </w:r>
      </w:hyperlink>
    </w:p>
    <w:p w:rsidR="0058684F" w:rsidRDefault="00EF24C1">
      <w:pPr>
        <w:pStyle w:val="TM2"/>
        <w:rPr>
          <w:rFonts w:eastAsiaTheme="minorEastAsia" w:cstheme="minorBidi"/>
          <w:b w:val="0"/>
          <w:bCs w:val="0"/>
          <w:sz w:val="22"/>
          <w:szCs w:val="22"/>
        </w:rPr>
      </w:pPr>
      <w:hyperlink w:anchor="_Toc95299506" w:history="1">
        <w:r w:rsidR="0058684F" w:rsidRPr="00E463AC">
          <w:rPr>
            <w:rStyle w:val="Lienhypertexte"/>
          </w:rPr>
          <w:t>Article 12 Modalités de transmission des plis</w:t>
        </w:r>
        <w:r w:rsidR="0058684F">
          <w:rPr>
            <w:webHidden/>
          </w:rPr>
          <w:tab/>
        </w:r>
        <w:r w:rsidR="0058684F">
          <w:rPr>
            <w:webHidden/>
          </w:rPr>
          <w:fldChar w:fldCharType="begin"/>
        </w:r>
        <w:r w:rsidR="0058684F">
          <w:rPr>
            <w:webHidden/>
          </w:rPr>
          <w:instrText xml:space="preserve"> PAGEREF _Toc95299506 \h </w:instrText>
        </w:r>
        <w:r w:rsidR="0058684F">
          <w:rPr>
            <w:webHidden/>
          </w:rPr>
        </w:r>
        <w:r w:rsidR="0058684F">
          <w:rPr>
            <w:webHidden/>
          </w:rPr>
          <w:fldChar w:fldCharType="separate"/>
        </w:r>
        <w:r>
          <w:rPr>
            <w:webHidden/>
          </w:rPr>
          <w:t>15</w:t>
        </w:r>
        <w:r w:rsidR="0058684F">
          <w:rPr>
            <w:webHidden/>
          </w:rPr>
          <w:fldChar w:fldCharType="end"/>
        </w:r>
      </w:hyperlink>
    </w:p>
    <w:p w:rsidR="0058684F" w:rsidRDefault="00EF24C1">
      <w:pPr>
        <w:pStyle w:val="TM3"/>
        <w:rPr>
          <w:rFonts w:eastAsiaTheme="minorEastAsia" w:cstheme="minorBidi"/>
          <w:noProof/>
          <w:sz w:val="22"/>
          <w:szCs w:val="22"/>
        </w:rPr>
      </w:pPr>
      <w:hyperlink w:anchor="_Toc95299507" w:history="1">
        <w:r w:rsidR="0058684F" w:rsidRPr="00E463AC">
          <w:rPr>
            <w:rStyle w:val="Lienhypertexte"/>
            <w:noProof/>
          </w:rPr>
          <w:t>12.1  Date et heure limite de réception des plis</w:t>
        </w:r>
        <w:r w:rsidR="0058684F">
          <w:rPr>
            <w:noProof/>
            <w:webHidden/>
          </w:rPr>
          <w:tab/>
        </w:r>
        <w:r w:rsidR="0058684F">
          <w:rPr>
            <w:noProof/>
            <w:webHidden/>
          </w:rPr>
          <w:fldChar w:fldCharType="begin"/>
        </w:r>
        <w:r w:rsidR="0058684F">
          <w:rPr>
            <w:noProof/>
            <w:webHidden/>
          </w:rPr>
          <w:instrText xml:space="preserve"> PAGEREF _Toc95299507 \h </w:instrText>
        </w:r>
        <w:r w:rsidR="0058684F">
          <w:rPr>
            <w:noProof/>
            <w:webHidden/>
          </w:rPr>
        </w:r>
        <w:r w:rsidR="0058684F">
          <w:rPr>
            <w:noProof/>
            <w:webHidden/>
          </w:rPr>
          <w:fldChar w:fldCharType="separate"/>
        </w:r>
        <w:r>
          <w:rPr>
            <w:noProof/>
            <w:webHidden/>
          </w:rPr>
          <w:t>15</w:t>
        </w:r>
        <w:r w:rsidR="0058684F">
          <w:rPr>
            <w:noProof/>
            <w:webHidden/>
          </w:rPr>
          <w:fldChar w:fldCharType="end"/>
        </w:r>
      </w:hyperlink>
    </w:p>
    <w:p w:rsidR="0058684F" w:rsidRDefault="00EF24C1">
      <w:pPr>
        <w:pStyle w:val="TM3"/>
        <w:rPr>
          <w:rFonts w:eastAsiaTheme="minorEastAsia" w:cstheme="minorBidi"/>
          <w:noProof/>
          <w:sz w:val="22"/>
          <w:szCs w:val="22"/>
        </w:rPr>
      </w:pPr>
      <w:hyperlink w:anchor="_Toc95299508" w:history="1">
        <w:r w:rsidR="0058684F" w:rsidRPr="00E463AC">
          <w:rPr>
            <w:rStyle w:val="Lienhypertexte"/>
            <w:noProof/>
          </w:rPr>
          <w:t>12.2   Conditions de transmission des plis</w:t>
        </w:r>
        <w:r w:rsidR="0058684F">
          <w:rPr>
            <w:noProof/>
            <w:webHidden/>
          </w:rPr>
          <w:tab/>
        </w:r>
        <w:r w:rsidR="0058684F">
          <w:rPr>
            <w:noProof/>
            <w:webHidden/>
          </w:rPr>
          <w:fldChar w:fldCharType="begin"/>
        </w:r>
        <w:r w:rsidR="0058684F">
          <w:rPr>
            <w:noProof/>
            <w:webHidden/>
          </w:rPr>
          <w:instrText xml:space="preserve"> PAGEREF _Toc95299508 \h </w:instrText>
        </w:r>
        <w:r w:rsidR="0058684F">
          <w:rPr>
            <w:noProof/>
            <w:webHidden/>
          </w:rPr>
        </w:r>
        <w:r w:rsidR="0058684F">
          <w:rPr>
            <w:noProof/>
            <w:webHidden/>
          </w:rPr>
          <w:fldChar w:fldCharType="separate"/>
        </w:r>
        <w:r>
          <w:rPr>
            <w:noProof/>
            <w:webHidden/>
          </w:rPr>
          <w:t>15</w:t>
        </w:r>
        <w:r w:rsidR="0058684F">
          <w:rPr>
            <w:noProof/>
            <w:webHidden/>
          </w:rPr>
          <w:fldChar w:fldCharType="end"/>
        </w:r>
      </w:hyperlink>
    </w:p>
    <w:p w:rsidR="0058684F" w:rsidRDefault="00EF24C1">
      <w:pPr>
        <w:pStyle w:val="TM3"/>
        <w:rPr>
          <w:rFonts w:eastAsiaTheme="minorEastAsia" w:cstheme="minorBidi"/>
          <w:noProof/>
          <w:sz w:val="22"/>
          <w:szCs w:val="22"/>
        </w:rPr>
      </w:pPr>
      <w:hyperlink w:anchor="_Toc95299509" w:history="1">
        <w:r w:rsidR="0058684F" w:rsidRPr="00E463AC">
          <w:rPr>
            <w:rStyle w:val="Lienhypertexte"/>
            <w:noProof/>
          </w:rPr>
          <w:t>12.3 Copie de sauvegarde – non obligatoire mais recommandée</w:t>
        </w:r>
        <w:r w:rsidR="0058684F">
          <w:rPr>
            <w:noProof/>
            <w:webHidden/>
          </w:rPr>
          <w:tab/>
        </w:r>
        <w:r w:rsidR="0058684F">
          <w:rPr>
            <w:noProof/>
            <w:webHidden/>
          </w:rPr>
          <w:fldChar w:fldCharType="begin"/>
        </w:r>
        <w:r w:rsidR="0058684F">
          <w:rPr>
            <w:noProof/>
            <w:webHidden/>
          </w:rPr>
          <w:instrText xml:space="preserve"> PAGEREF _Toc95299509 \h </w:instrText>
        </w:r>
        <w:r w:rsidR="0058684F">
          <w:rPr>
            <w:noProof/>
            <w:webHidden/>
          </w:rPr>
        </w:r>
        <w:r w:rsidR="0058684F">
          <w:rPr>
            <w:noProof/>
            <w:webHidden/>
          </w:rPr>
          <w:fldChar w:fldCharType="separate"/>
        </w:r>
        <w:r>
          <w:rPr>
            <w:noProof/>
            <w:webHidden/>
          </w:rPr>
          <w:t>16</w:t>
        </w:r>
        <w:r w:rsidR="0058684F">
          <w:rPr>
            <w:noProof/>
            <w:webHidden/>
          </w:rPr>
          <w:fldChar w:fldCharType="end"/>
        </w:r>
      </w:hyperlink>
    </w:p>
    <w:p w:rsidR="0058684F" w:rsidRDefault="00EF24C1">
      <w:pPr>
        <w:pStyle w:val="TM2"/>
        <w:rPr>
          <w:rFonts w:eastAsiaTheme="minorEastAsia" w:cstheme="minorBidi"/>
          <w:b w:val="0"/>
          <w:bCs w:val="0"/>
          <w:sz w:val="22"/>
          <w:szCs w:val="22"/>
        </w:rPr>
      </w:pPr>
      <w:hyperlink w:anchor="_Toc95299510" w:history="1">
        <w:r w:rsidR="0058684F" w:rsidRPr="00E463AC">
          <w:rPr>
            <w:rStyle w:val="Lienhypertexte"/>
          </w:rPr>
          <w:t>Article 13 Modalités d’appréciation des candidatures</w:t>
        </w:r>
        <w:r w:rsidR="0058684F">
          <w:rPr>
            <w:webHidden/>
          </w:rPr>
          <w:tab/>
        </w:r>
        <w:r w:rsidR="0058684F">
          <w:rPr>
            <w:webHidden/>
          </w:rPr>
          <w:fldChar w:fldCharType="begin"/>
        </w:r>
        <w:r w:rsidR="0058684F">
          <w:rPr>
            <w:webHidden/>
          </w:rPr>
          <w:instrText xml:space="preserve"> PAGEREF _Toc95299510 \h </w:instrText>
        </w:r>
        <w:r w:rsidR="0058684F">
          <w:rPr>
            <w:webHidden/>
          </w:rPr>
        </w:r>
        <w:r w:rsidR="0058684F">
          <w:rPr>
            <w:webHidden/>
          </w:rPr>
          <w:fldChar w:fldCharType="separate"/>
        </w:r>
        <w:r>
          <w:rPr>
            <w:webHidden/>
          </w:rPr>
          <w:t>16</w:t>
        </w:r>
        <w:r w:rsidR="0058684F">
          <w:rPr>
            <w:webHidden/>
          </w:rPr>
          <w:fldChar w:fldCharType="end"/>
        </w:r>
      </w:hyperlink>
    </w:p>
    <w:p w:rsidR="0058684F" w:rsidRDefault="00EF24C1">
      <w:pPr>
        <w:pStyle w:val="TM2"/>
        <w:rPr>
          <w:rFonts w:eastAsiaTheme="minorEastAsia" w:cstheme="minorBidi"/>
          <w:b w:val="0"/>
          <w:bCs w:val="0"/>
          <w:sz w:val="22"/>
          <w:szCs w:val="22"/>
        </w:rPr>
      </w:pPr>
      <w:hyperlink w:anchor="_Toc95299511" w:history="1">
        <w:r w:rsidR="0058684F" w:rsidRPr="00E463AC">
          <w:rPr>
            <w:rStyle w:val="Lienhypertexte"/>
          </w:rPr>
          <w:t>aricle 14 Modalités d’appréciation des offres</w:t>
        </w:r>
        <w:r w:rsidR="0058684F">
          <w:rPr>
            <w:webHidden/>
          </w:rPr>
          <w:tab/>
        </w:r>
        <w:r w:rsidR="0058684F">
          <w:rPr>
            <w:webHidden/>
          </w:rPr>
          <w:fldChar w:fldCharType="begin"/>
        </w:r>
        <w:r w:rsidR="0058684F">
          <w:rPr>
            <w:webHidden/>
          </w:rPr>
          <w:instrText xml:space="preserve"> PAGEREF _Toc95299511 \h </w:instrText>
        </w:r>
        <w:r w:rsidR="0058684F">
          <w:rPr>
            <w:webHidden/>
          </w:rPr>
        </w:r>
        <w:r w:rsidR="0058684F">
          <w:rPr>
            <w:webHidden/>
          </w:rPr>
          <w:fldChar w:fldCharType="separate"/>
        </w:r>
        <w:r>
          <w:rPr>
            <w:webHidden/>
          </w:rPr>
          <w:t>18</w:t>
        </w:r>
        <w:r w:rsidR="0058684F">
          <w:rPr>
            <w:webHidden/>
          </w:rPr>
          <w:fldChar w:fldCharType="end"/>
        </w:r>
      </w:hyperlink>
    </w:p>
    <w:p w:rsidR="0058684F" w:rsidRDefault="00EF24C1">
      <w:pPr>
        <w:pStyle w:val="TM3"/>
        <w:rPr>
          <w:rFonts w:eastAsiaTheme="minorEastAsia" w:cstheme="minorBidi"/>
          <w:noProof/>
          <w:sz w:val="22"/>
          <w:szCs w:val="22"/>
        </w:rPr>
      </w:pPr>
      <w:hyperlink w:anchor="_Toc95299512" w:history="1">
        <w:r w:rsidR="0058684F" w:rsidRPr="00E463AC">
          <w:rPr>
            <w:rStyle w:val="Lienhypertexte"/>
            <w:noProof/>
          </w:rPr>
          <w:t>14.1 Critères d’attribution et examen des offres</w:t>
        </w:r>
        <w:r w:rsidR="0058684F">
          <w:rPr>
            <w:noProof/>
            <w:webHidden/>
          </w:rPr>
          <w:tab/>
        </w:r>
        <w:r w:rsidR="0058684F">
          <w:rPr>
            <w:noProof/>
            <w:webHidden/>
          </w:rPr>
          <w:fldChar w:fldCharType="begin"/>
        </w:r>
        <w:r w:rsidR="0058684F">
          <w:rPr>
            <w:noProof/>
            <w:webHidden/>
          </w:rPr>
          <w:instrText xml:space="preserve"> PAGEREF _Toc95299512 \h </w:instrText>
        </w:r>
        <w:r w:rsidR="0058684F">
          <w:rPr>
            <w:noProof/>
            <w:webHidden/>
          </w:rPr>
        </w:r>
        <w:r w:rsidR="0058684F">
          <w:rPr>
            <w:noProof/>
            <w:webHidden/>
          </w:rPr>
          <w:fldChar w:fldCharType="separate"/>
        </w:r>
        <w:r>
          <w:rPr>
            <w:noProof/>
            <w:webHidden/>
          </w:rPr>
          <w:t>18</w:t>
        </w:r>
        <w:r w:rsidR="0058684F">
          <w:rPr>
            <w:noProof/>
            <w:webHidden/>
          </w:rPr>
          <w:fldChar w:fldCharType="end"/>
        </w:r>
      </w:hyperlink>
    </w:p>
    <w:p w:rsidR="0058684F" w:rsidRDefault="00EF24C1">
      <w:pPr>
        <w:pStyle w:val="TM3"/>
        <w:rPr>
          <w:rFonts w:eastAsiaTheme="minorEastAsia" w:cstheme="minorBidi"/>
          <w:noProof/>
          <w:sz w:val="22"/>
          <w:szCs w:val="22"/>
        </w:rPr>
      </w:pPr>
      <w:hyperlink w:anchor="_Toc95299513" w:history="1">
        <w:r w:rsidR="0058684F" w:rsidRPr="00E463AC">
          <w:rPr>
            <w:rStyle w:val="Lienhypertexte"/>
            <w:noProof/>
          </w:rPr>
          <w:t>14.2 Modalités conditionnant l’attribution définitive du marché</w:t>
        </w:r>
        <w:r w:rsidR="0058684F">
          <w:rPr>
            <w:noProof/>
            <w:webHidden/>
          </w:rPr>
          <w:tab/>
        </w:r>
        <w:r w:rsidR="0058684F">
          <w:rPr>
            <w:noProof/>
            <w:webHidden/>
          </w:rPr>
          <w:fldChar w:fldCharType="begin"/>
        </w:r>
        <w:r w:rsidR="0058684F">
          <w:rPr>
            <w:noProof/>
            <w:webHidden/>
          </w:rPr>
          <w:instrText xml:space="preserve"> PAGEREF _Toc95299513 \h </w:instrText>
        </w:r>
        <w:r w:rsidR="0058684F">
          <w:rPr>
            <w:noProof/>
            <w:webHidden/>
          </w:rPr>
        </w:r>
        <w:r w:rsidR="0058684F">
          <w:rPr>
            <w:noProof/>
            <w:webHidden/>
          </w:rPr>
          <w:fldChar w:fldCharType="separate"/>
        </w:r>
        <w:r>
          <w:rPr>
            <w:noProof/>
            <w:webHidden/>
          </w:rPr>
          <w:t>19</w:t>
        </w:r>
        <w:r w:rsidR="0058684F">
          <w:rPr>
            <w:noProof/>
            <w:webHidden/>
          </w:rPr>
          <w:fldChar w:fldCharType="end"/>
        </w:r>
      </w:hyperlink>
    </w:p>
    <w:p w:rsidR="0058684F" w:rsidRDefault="00EF24C1">
      <w:pPr>
        <w:pStyle w:val="TM2"/>
        <w:rPr>
          <w:rFonts w:eastAsiaTheme="minorEastAsia" w:cstheme="minorBidi"/>
          <w:b w:val="0"/>
          <w:bCs w:val="0"/>
          <w:sz w:val="22"/>
          <w:szCs w:val="22"/>
        </w:rPr>
      </w:pPr>
      <w:hyperlink w:anchor="_Toc95299514" w:history="1">
        <w:r w:rsidR="0058684F" w:rsidRPr="00E463AC">
          <w:rPr>
            <w:rStyle w:val="Lienhypertexte"/>
          </w:rPr>
          <w:t>Article 15  Visite des sites</w:t>
        </w:r>
        <w:r w:rsidR="0058684F">
          <w:rPr>
            <w:webHidden/>
          </w:rPr>
          <w:tab/>
        </w:r>
        <w:r w:rsidR="0058684F">
          <w:rPr>
            <w:webHidden/>
          </w:rPr>
          <w:fldChar w:fldCharType="begin"/>
        </w:r>
        <w:r w:rsidR="0058684F">
          <w:rPr>
            <w:webHidden/>
          </w:rPr>
          <w:instrText xml:space="preserve"> PAGEREF _Toc95299514 \h </w:instrText>
        </w:r>
        <w:r w:rsidR="0058684F">
          <w:rPr>
            <w:webHidden/>
          </w:rPr>
        </w:r>
        <w:r w:rsidR="0058684F">
          <w:rPr>
            <w:webHidden/>
          </w:rPr>
          <w:fldChar w:fldCharType="separate"/>
        </w:r>
        <w:r>
          <w:rPr>
            <w:webHidden/>
          </w:rPr>
          <w:t>20</w:t>
        </w:r>
        <w:r w:rsidR="0058684F">
          <w:rPr>
            <w:webHidden/>
          </w:rPr>
          <w:fldChar w:fldCharType="end"/>
        </w:r>
      </w:hyperlink>
    </w:p>
    <w:p w:rsidR="0058684F" w:rsidRDefault="00EF24C1">
      <w:pPr>
        <w:pStyle w:val="TM3"/>
        <w:rPr>
          <w:rFonts w:eastAsiaTheme="minorEastAsia" w:cstheme="minorBidi"/>
          <w:noProof/>
          <w:sz w:val="22"/>
          <w:szCs w:val="22"/>
        </w:rPr>
      </w:pPr>
      <w:hyperlink w:anchor="_Toc95299515" w:history="1">
        <w:r w:rsidR="0058684F" w:rsidRPr="00E463AC">
          <w:rPr>
            <w:rStyle w:val="Lienhypertexte"/>
            <w:noProof/>
          </w:rPr>
          <w:t>15.1 Modalités</w:t>
        </w:r>
        <w:r w:rsidR="0058684F">
          <w:rPr>
            <w:noProof/>
            <w:webHidden/>
          </w:rPr>
          <w:tab/>
        </w:r>
        <w:r w:rsidR="0058684F">
          <w:rPr>
            <w:noProof/>
            <w:webHidden/>
          </w:rPr>
          <w:fldChar w:fldCharType="begin"/>
        </w:r>
        <w:r w:rsidR="0058684F">
          <w:rPr>
            <w:noProof/>
            <w:webHidden/>
          </w:rPr>
          <w:instrText xml:space="preserve"> PAGEREF _Toc95299515 \h </w:instrText>
        </w:r>
        <w:r w:rsidR="0058684F">
          <w:rPr>
            <w:noProof/>
            <w:webHidden/>
          </w:rPr>
        </w:r>
        <w:r w:rsidR="0058684F">
          <w:rPr>
            <w:noProof/>
            <w:webHidden/>
          </w:rPr>
          <w:fldChar w:fldCharType="separate"/>
        </w:r>
        <w:r>
          <w:rPr>
            <w:noProof/>
            <w:webHidden/>
          </w:rPr>
          <w:t>20</w:t>
        </w:r>
        <w:r w:rsidR="0058684F">
          <w:rPr>
            <w:noProof/>
            <w:webHidden/>
          </w:rPr>
          <w:fldChar w:fldCharType="end"/>
        </w:r>
      </w:hyperlink>
    </w:p>
    <w:p w:rsidR="0058684F" w:rsidRDefault="00EF24C1">
      <w:pPr>
        <w:pStyle w:val="TM3"/>
        <w:rPr>
          <w:rFonts w:eastAsiaTheme="minorEastAsia" w:cstheme="minorBidi"/>
          <w:noProof/>
          <w:sz w:val="22"/>
          <w:szCs w:val="22"/>
        </w:rPr>
      </w:pPr>
      <w:hyperlink w:anchor="_Toc95299516" w:history="1">
        <w:r w:rsidR="0058684F" w:rsidRPr="00E463AC">
          <w:rPr>
            <w:rStyle w:val="Lienhypertexte"/>
            <w:noProof/>
          </w:rPr>
          <w:t>15.2 Planning</w:t>
        </w:r>
        <w:r w:rsidR="0058684F">
          <w:rPr>
            <w:noProof/>
            <w:webHidden/>
          </w:rPr>
          <w:tab/>
        </w:r>
        <w:r w:rsidR="0058684F">
          <w:rPr>
            <w:noProof/>
            <w:webHidden/>
          </w:rPr>
          <w:fldChar w:fldCharType="begin"/>
        </w:r>
        <w:r w:rsidR="0058684F">
          <w:rPr>
            <w:noProof/>
            <w:webHidden/>
          </w:rPr>
          <w:instrText xml:space="preserve"> PAGEREF _Toc95299516 \h </w:instrText>
        </w:r>
        <w:r w:rsidR="0058684F">
          <w:rPr>
            <w:noProof/>
            <w:webHidden/>
          </w:rPr>
        </w:r>
        <w:r w:rsidR="0058684F">
          <w:rPr>
            <w:noProof/>
            <w:webHidden/>
          </w:rPr>
          <w:fldChar w:fldCharType="separate"/>
        </w:r>
        <w:r>
          <w:rPr>
            <w:noProof/>
            <w:webHidden/>
          </w:rPr>
          <w:t>21</w:t>
        </w:r>
        <w:r w:rsidR="0058684F">
          <w:rPr>
            <w:noProof/>
            <w:webHidden/>
          </w:rPr>
          <w:fldChar w:fldCharType="end"/>
        </w:r>
      </w:hyperlink>
    </w:p>
    <w:p w:rsidR="0058684F" w:rsidRDefault="00EF24C1">
      <w:pPr>
        <w:pStyle w:val="TM2"/>
        <w:rPr>
          <w:rFonts w:eastAsiaTheme="minorEastAsia" w:cstheme="minorBidi"/>
          <w:b w:val="0"/>
          <w:bCs w:val="0"/>
          <w:sz w:val="22"/>
          <w:szCs w:val="22"/>
        </w:rPr>
      </w:pPr>
      <w:hyperlink w:anchor="_Toc95299517" w:history="1">
        <w:r w:rsidR="0058684F" w:rsidRPr="00E463AC">
          <w:rPr>
            <w:rStyle w:val="Lienhypertexte"/>
          </w:rPr>
          <w:t>Article 16 Renseignements complémentaires</w:t>
        </w:r>
        <w:r w:rsidR="0058684F">
          <w:rPr>
            <w:webHidden/>
          </w:rPr>
          <w:tab/>
        </w:r>
        <w:r w:rsidR="0058684F">
          <w:rPr>
            <w:webHidden/>
          </w:rPr>
          <w:fldChar w:fldCharType="begin"/>
        </w:r>
        <w:r w:rsidR="0058684F">
          <w:rPr>
            <w:webHidden/>
          </w:rPr>
          <w:instrText xml:space="preserve"> PAGEREF _Toc95299517 \h </w:instrText>
        </w:r>
        <w:r w:rsidR="0058684F">
          <w:rPr>
            <w:webHidden/>
          </w:rPr>
        </w:r>
        <w:r w:rsidR="0058684F">
          <w:rPr>
            <w:webHidden/>
          </w:rPr>
          <w:fldChar w:fldCharType="separate"/>
        </w:r>
        <w:r>
          <w:rPr>
            <w:webHidden/>
          </w:rPr>
          <w:t>22</w:t>
        </w:r>
        <w:r w:rsidR="0058684F">
          <w:rPr>
            <w:webHidden/>
          </w:rPr>
          <w:fldChar w:fldCharType="end"/>
        </w:r>
      </w:hyperlink>
    </w:p>
    <w:p w:rsidR="0058684F" w:rsidRDefault="00EF24C1">
      <w:pPr>
        <w:pStyle w:val="TM2"/>
        <w:rPr>
          <w:rFonts w:eastAsiaTheme="minorEastAsia" w:cstheme="minorBidi"/>
          <w:b w:val="0"/>
          <w:bCs w:val="0"/>
          <w:sz w:val="22"/>
          <w:szCs w:val="22"/>
        </w:rPr>
      </w:pPr>
      <w:hyperlink w:anchor="_Toc95299518" w:history="1">
        <w:r w:rsidR="0058684F" w:rsidRPr="00E463AC">
          <w:rPr>
            <w:rStyle w:val="Lienhypertexte"/>
          </w:rPr>
          <w:t>Article 17 Délai de validité des offres</w:t>
        </w:r>
        <w:r w:rsidR="0058684F">
          <w:rPr>
            <w:webHidden/>
          </w:rPr>
          <w:tab/>
        </w:r>
        <w:r w:rsidR="0058684F">
          <w:rPr>
            <w:webHidden/>
          </w:rPr>
          <w:fldChar w:fldCharType="begin"/>
        </w:r>
        <w:r w:rsidR="0058684F">
          <w:rPr>
            <w:webHidden/>
          </w:rPr>
          <w:instrText xml:space="preserve"> PAGEREF _Toc95299518 \h </w:instrText>
        </w:r>
        <w:r w:rsidR="0058684F">
          <w:rPr>
            <w:webHidden/>
          </w:rPr>
        </w:r>
        <w:r w:rsidR="0058684F">
          <w:rPr>
            <w:webHidden/>
          </w:rPr>
          <w:fldChar w:fldCharType="separate"/>
        </w:r>
        <w:r>
          <w:rPr>
            <w:webHidden/>
          </w:rPr>
          <w:t>22</w:t>
        </w:r>
        <w:r w:rsidR="0058684F">
          <w:rPr>
            <w:webHidden/>
          </w:rPr>
          <w:fldChar w:fldCharType="end"/>
        </w:r>
      </w:hyperlink>
    </w:p>
    <w:p w:rsidR="0058684F" w:rsidRDefault="00EF24C1">
      <w:pPr>
        <w:pStyle w:val="TM2"/>
        <w:rPr>
          <w:rFonts w:eastAsiaTheme="minorEastAsia" w:cstheme="minorBidi"/>
          <w:b w:val="0"/>
          <w:bCs w:val="0"/>
          <w:sz w:val="22"/>
          <w:szCs w:val="22"/>
        </w:rPr>
      </w:pPr>
      <w:hyperlink w:anchor="_Toc95299519" w:history="1">
        <w:r w:rsidR="0058684F" w:rsidRPr="00E463AC">
          <w:rPr>
            <w:rStyle w:val="Lienhypertexte"/>
          </w:rPr>
          <w:t>Article 18 Voies de recours</w:t>
        </w:r>
        <w:r w:rsidR="0058684F">
          <w:rPr>
            <w:webHidden/>
          </w:rPr>
          <w:tab/>
        </w:r>
        <w:r w:rsidR="0058684F">
          <w:rPr>
            <w:webHidden/>
          </w:rPr>
          <w:fldChar w:fldCharType="begin"/>
        </w:r>
        <w:r w:rsidR="0058684F">
          <w:rPr>
            <w:webHidden/>
          </w:rPr>
          <w:instrText xml:space="preserve"> PAGEREF _Toc95299519 \h </w:instrText>
        </w:r>
        <w:r w:rsidR="0058684F">
          <w:rPr>
            <w:webHidden/>
          </w:rPr>
        </w:r>
        <w:r w:rsidR="0058684F">
          <w:rPr>
            <w:webHidden/>
          </w:rPr>
          <w:fldChar w:fldCharType="separate"/>
        </w:r>
        <w:r>
          <w:rPr>
            <w:webHidden/>
          </w:rPr>
          <w:t>22</w:t>
        </w:r>
        <w:r w:rsidR="0058684F">
          <w:rPr>
            <w:webHidden/>
          </w:rPr>
          <w:fldChar w:fldCharType="end"/>
        </w:r>
      </w:hyperlink>
    </w:p>
    <w:p w:rsidR="00E2223C" w:rsidRDefault="00002B6E" w:rsidP="00306352">
      <w:pPr>
        <w:pStyle w:val="Corpsdetexte"/>
      </w:pPr>
      <w:r w:rsidRPr="00E3560C">
        <w:fldChar w:fldCharType="end"/>
      </w:r>
    </w:p>
    <w:p w:rsidR="00E2223C" w:rsidRPr="00BD53FD" w:rsidRDefault="00E2223C" w:rsidP="00306352">
      <w:pPr>
        <w:rPr>
          <w:b/>
        </w:rPr>
      </w:pPr>
      <w:r>
        <w:br w:type="page"/>
      </w:r>
    </w:p>
    <w:p w:rsidR="00002B6E" w:rsidRDefault="00002B6E" w:rsidP="00306352">
      <w:pPr>
        <w:pStyle w:val="Corpsdetexte"/>
      </w:pPr>
    </w:p>
    <w:p w:rsidR="007A5A9F" w:rsidRPr="003C40AF" w:rsidRDefault="007A5A9F" w:rsidP="00306352">
      <w:pPr>
        <w:pStyle w:val="Corpsdetexte"/>
        <w:pBdr>
          <w:top w:val="single" w:sz="12" w:space="6" w:color="auto"/>
          <w:left w:val="single" w:sz="12" w:space="6" w:color="auto"/>
          <w:bottom w:val="single" w:sz="12" w:space="6" w:color="auto"/>
          <w:right w:val="single" w:sz="12" w:space="6" w:color="auto"/>
        </w:pBdr>
        <w:rPr>
          <w:rFonts w:asciiTheme="minorHAnsi" w:hAnsiTheme="minorHAnsi" w:cstheme="minorHAnsi"/>
          <w:b/>
          <w:caps/>
        </w:rPr>
      </w:pPr>
      <w:r w:rsidRPr="003C40AF">
        <w:rPr>
          <w:rFonts w:asciiTheme="minorHAnsi" w:hAnsiTheme="minorHAnsi" w:cstheme="minorHAnsi"/>
          <w:b/>
          <w:caps/>
        </w:rPr>
        <w:t>Préambule ayant valeur réglementaire</w:t>
      </w:r>
    </w:p>
    <w:p w:rsidR="007A5A9F" w:rsidRPr="00630505" w:rsidRDefault="007A5A9F" w:rsidP="00306352">
      <w:pPr>
        <w:pStyle w:val="Texte"/>
      </w:pPr>
    </w:p>
    <w:p w:rsidR="00A3240B" w:rsidRPr="00A3240B" w:rsidRDefault="00A3240B" w:rsidP="00306352">
      <w:pPr>
        <w:pStyle w:val="Texte"/>
      </w:pPr>
      <w:r w:rsidRPr="00A3240B">
        <w:t xml:space="preserve">Sous réserve des règles d’ordre public dont il ne fait, parfois, que reprendre les termes, le présent règlement de la consultation a pour objet de définir les règles particulières applicables à la passation du présent marché que doivent respecter les candidats pour présenter leur candidature et leur offre. </w:t>
      </w:r>
    </w:p>
    <w:p w:rsidR="00A3240B" w:rsidRPr="00A3240B" w:rsidRDefault="00A3240B" w:rsidP="00306352">
      <w:pPr>
        <w:pStyle w:val="Texte"/>
      </w:pPr>
    </w:p>
    <w:p w:rsidR="00A3240B" w:rsidRPr="00A3240B" w:rsidRDefault="00A3240B" w:rsidP="00306352">
      <w:pPr>
        <w:pStyle w:val="Texte"/>
      </w:pPr>
      <w:r w:rsidRPr="00A3240B">
        <w:t>Le non-respect des prescriptions obligatoires entraînera selon les cas le rejet de la candidature ou de l’offre.</w:t>
      </w:r>
    </w:p>
    <w:p w:rsidR="00A3240B" w:rsidRPr="00A3240B" w:rsidRDefault="00A3240B" w:rsidP="00306352">
      <w:pPr>
        <w:pStyle w:val="Texte"/>
      </w:pPr>
    </w:p>
    <w:p w:rsidR="00A3240B" w:rsidRPr="00A3240B" w:rsidRDefault="00A3240B" w:rsidP="00306352">
      <w:pPr>
        <w:pStyle w:val="Texte"/>
      </w:pPr>
      <w:r w:rsidRPr="00A3240B">
        <w:t>Le présent règlement de la consultation ne dispense pas les candidats de prendre connaissance des réglementations en vigueur, notamment du code de la commande publique pour établir leur candidature et leur offre.</w:t>
      </w:r>
    </w:p>
    <w:p w:rsidR="00630505" w:rsidRDefault="00630505" w:rsidP="00306352">
      <w:pPr>
        <w:pStyle w:val="Texte"/>
        <w:sectPr w:rsidR="00630505" w:rsidSect="00030F9B">
          <w:headerReference w:type="default" r:id="rId10"/>
          <w:pgSz w:w="11906" w:h="16838" w:code="9"/>
          <w:pgMar w:top="531" w:right="1134" w:bottom="1134" w:left="1134" w:header="572" w:footer="567" w:gutter="0"/>
          <w:cols w:space="708"/>
          <w:docGrid w:linePitch="360"/>
        </w:sectPr>
      </w:pPr>
    </w:p>
    <w:p w:rsidR="00630505" w:rsidRPr="00630505" w:rsidRDefault="00630505" w:rsidP="00306352"/>
    <w:p w:rsidR="000F0CBB" w:rsidRPr="00FE7795" w:rsidRDefault="00CF4752" w:rsidP="00306352">
      <w:pPr>
        <w:pStyle w:val="ARTICLECCAPCCTP"/>
        <w:numPr>
          <w:ilvl w:val="0"/>
          <w:numId w:val="1"/>
        </w:numPr>
      </w:pPr>
      <w:bookmarkStart w:id="0" w:name="_Toc511975010"/>
      <w:bookmarkStart w:id="1" w:name="_Toc95299471"/>
      <w:r>
        <w:t>Objet</w:t>
      </w:r>
      <w:r w:rsidR="000F0CBB" w:rsidRPr="00FE7795">
        <w:t xml:space="preserve"> </w:t>
      </w:r>
      <w:bookmarkEnd w:id="0"/>
      <w:r w:rsidR="00B460DD">
        <w:t>du marché</w:t>
      </w:r>
      <w:bookmarkEnd w:id="1"/>
    </w:p>
    <w:p w:rsidR="00630505" w:rsidRDefault="00630505" w:rsidP="00306352">
      <w:pPr>
        <w:pStyle w:val="Corpsdetexte"/>
      </w:pPr>
    </w:p>
    <w:p w:rsidR="001C2677" w:rsidRPr="001C2677" w:rsidRDefault="008B64D5" w:rsidP="008B64D5">
      <w:pPr>
        <w:pStyle w:val="11"/>
      </w:pPr>
      <w:bookmarkStart w:id="2" w:name="_Toc511975011"/>
      <w:bookmarkStart w:id="3" w:name="_Toc95299472"/>
      <w:r>
        <w:t xml:space="preserve">1.1 </w:t>
      </w:r>
      <w:r w:rsidR="001C2677" w:rsidRPr="008B64D5">
        <w:t>Acheteur</w:t>
      </w:r>
      <w:bookmarkEnd w:id="2"/>
      <w:bookmarkEnd w:id="3"/>
    </w:p>
    <w:p w:rsidR="001C2677" w:rsidRDefault="001C2677" w:rsidP="00306352">
      <w:pPr>
        <w:pStyle w:val="Corpsdetexte"/>
      </w:pPr>
    </w:p>
    <w:p w:rsidR="001C2677" w:rsidRPr="006A6755" w:rsidRDefault="001C2677" w:rsidP="00306352">
      <w:pPr>
        <w:rPr>
          <w:i/>
        </w:rPr>
      </w:pPr>
      <w:r w:rsidRPr="006A6755">
        <w:rPr>
          <w:i/>
        </w:rPr>
        <w:t xml:space="preserve">1.1.1 – Nom et adresse </w:t>
      </w:r>
      <w:r w:rsidR="00996E91" w:rsidRPr="006A6755">
        <w:rPr>
          <w:i/>
        </w:rPr>
        <w:t xml:space="preserve"> de l’</w:t>
      </w:r>
      <w:r w:rsidRPr="006A6755">
        <w:rPr>
          <w:i/>
        </w:rPr>
        <w:t>acheteur</w:t>
      </w:r>
    </w:p>
    <w:p w:rsidR="001C2677" w:rsidRDefault="001C2677" w:rsidP="00306352">
      <w:pPr>
        <w:pStyle w:val="Corpsdetexte"/>
      </w:pPr>
    </w:p>
    <w:tbl>
      <w:tblPr>
        <w:tblW w:w="91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6"/>
        <w:gridCol w:w="6601"/>
      </w:tblGrid>
      <w:tr w:rsidR="001C2677" w:rsidRPr="001C2677" w:rsidTr="00F56D45">
        <w:trPr>
          <w:trHeight w:val="331"/>
        </w:trPr>
        <w:tc>
          <w:tcPr>
            <w:tcW w:w="2516" w:type="dxa"/>
            <w:shd w:val="clear" w:color="auto" w:fill="auto"/>
            <w:vAlign w:val="center"/>
          </w:tcPr>
          <w:p w:rsidR="001C2677" w:rsidRPr="001C2677" w:rsidRDefault="001C2677" w:rsidP="00306352">
            <w:r w:rsidRPr="001C2677">
              <w:t>Organisme</w:t>
            </w:r>
          </w:p>
        </w:tc>
        <w:tc>
          <w:tcPr>
            <w:tcW w:w="6601" w:type="dxa"/>
            <w:vAlign w:val="center"/>
          </w:tcPr>
          <w:p w:rsidR="001C2677" w:rsidRPr="001C2677" w:rsidRDefault="001C2677" w:rsidP="00306352">
            <w:r w:rsidRPr="001C2677">
              <w:t>Caisse primaire d’assurance maladie de la Gironde</w:t>
            </w:r>
          </w:p>
        </w:tc>
      </w:tr>
      <w:tr w:rsidR="001C2677" w:rsidRPr="001C2677" w:rsidTr="00F56D45">
        <w:trPr>
          <w:trHeight w:val="331"/>
        </w:trPr>
        <w:tc>
          <w:tcPr>
            <w:tcW w:w="2516" w:type="dxa"/>
            <w:shd w:val="clear" w:color="auto" w:fill="auto"/>
            <w:vAlign w:val="center"/>
          </w:tcPr>
          <w:p w:rsidR="001C2677" w:rsidRPr="001C2677" w:rsidRDefault="001C2677" w:rsidP="00306352">
            <w:r w:rsidRPr="001C2677">
              <w:t>Pouvoir adjudicateur</w:t>
            </w:r>
          </w:p>
        </w:tc>
        <w:tc>
          <w:tcPr>
            <w:tcW w:w="6601" w:type="dxa"/>
            <w:vAlign w:val="center"/>
          </w:tcPr>
          <w:p w:rsidR="001C2677" w:rsidRPr="001C2677" w:rsidRDefault="001C2677" w:rsidP="00306352">
            <w:r w:rsidRPr="001C2677">
              <w:t>Monsieur Philippe CLAUSSIN</w:t>
            </w:r>
          </w:p>
          <w:p w:rsidR="001C2677" w:rsidRPr="001C2677" w:rsidRDefault="001C2677" w:rsidP="00306352">
            <w:r w:rsidRPr="001C2677">
              <w:t xml:space="preserve">Directeur </w:t>
            </w:r>
          </w:p>
        </w:tc>
      </w:tr>
      <w:tr w:rsidR="001C2677" w:rsidRPr="001C2677" w:rsidTr="00F56D45">
        <w:trPr>
          <w:trHeight w:val="331"/>
        </w:trPr>
        <w:tc>
          <w:tcPr>
            <w:tcW w:w="2516" w:type="dxa"/>
            <w:shd w:val="clear" w:color="auto" w:fill="auto"/>
            <w:vAlign w:val="center"/>
          </w:tcPr>
          <w:p w:rsidR="001C2677" w:rsidRPr="001C2677" w:rsidRDefault="001C2677" w:rsidP="00306352">
            <w:r w:rsidRPr="001C2677">
              <w:t>Adresse</w:t>
            </w:r>
          </w:p>
        </w:tc>
        <w:tc>
          <w:tcPr>
            <w:tcW w:w="6601" w:type="dxa"/>
            <w:vAlign w:val="center"/>
          </w:tcPr>
          <w:p w:rsidR="001C2677" w:rsidRPr="001C2677" w:rsidRDefault="001C2677" w:rsidP="00306352">
            <w:r w:rsidRPr="001C2677">
              <w:t>Place de l’Europe</w:t>
            </w:r>
          </w:p>
        </w:tc>
      </w:tr>
      <w:tr w:rsidR="001C2677" w:rsidRPr="001C2677" w:rsidTr="00F56D45">
        <w:trPr>
          <w:trHeight w:val="331"/>
        </w:trPr>
        <w:tc>
          <w:tcPr>
            <w:tcW w:w="2516" w:type="dxa"/>
            <w:shd w:val="clear" w:color="auto" w:fill="auto"/>
            <w:vAlign w:val="center"/>
          </w:tcPr>
          <w:p w:rsidR="001C2677" w:rsidRPr="001C2677" w:rsidRDefault="001C2677" w:rsidP="00306352">
            <w:r w:rsidRPr="001C2677">
              <w:t>Code postal</w:t>
            </w:r>
          </w:p>
        </w:tc>
        <w:tc>
          <w:tcPr>
            <w:tcW w:w="6601" w:type="dxa"/>
            <w:vAlign w:val="center"/>
          </w:tcPr>
          <w:p w:rsidR="001C2677" w:rsidRPr="001C2677" w:rsidRDefault="001C2677" w:rsidP="00306352">
            <w:r w:rsidRPr="001C2677">
              <w:t>33085</w:t>
            </w:r>
          </w:p>
        </w:tc>
      </w:tr>
      <w:tr w:rsidR="001C2677" w:rsidRPr="001C2677" w:rsidTr="00F56D45">
        <w:trPr>
          <w:trHeight w:val="331"/>
        </w:trPr>
        <w:tc>
          <w:tcPr>
            <w:tcW w:w="2516" w:type="dxa"/>
            <w:shd w:val="clear" w:color="auto" w:fill="auto"/>
            <w:vAlign w:val="center"/>
          </w:tcPr>
          <w:p w:rsidR="001C2677" w:rsidRPr="001C2677" w:rsidRDefault="001C2677" w:rsidP="00306352">
            <w:r w:rsidRPr="001C2677">
              <w:t>Localité</w:t>
            </w:r>
          </w:p>
        </w:tc>
        <w:tc>
          <w:tcPr>
            <w:tcW w:w="6601" w:type="dxa"/>
            <w:vAlign w:val="center"/>
          </w:tcPr>
          <w:p w:rsidR="001C2677" w:rsidRPr="001C2677" w:rsidRDefault="001C2677" w:rsidP="00306352">
            <w:r w:rsidRPr="001C2677">
              <w:t>Bordeaux cedex</w:t>
            </w:r>
          </w:p>
        </w:tc>
      </w:tr>
      <w:tr w:rsidR="001C2677" w:rsidRPr="001C2677" w:rsidTr="00F56D45">
        <w:trPr>
          <w:trHeight w:val="331"/>
        </w:trPr>
        <w:tc>
          <w:tcPr>
            <w:tcW w:w="2516" w:type="dxa"/>
            <w:shd w:val="clear" w:color="auto" w:fill="auto"/>
            <w:vAlign w:val="center"/>
          </w:tcPr>
          <w:p w:rsidR="001C2677" w:rsidRPr="001C2677" w:rsidRDefault="001C2677" w:rsidP="00306352">
            <w:r w:rsidRPr="001C2677">
              <w:t>Pays</w:t>
            </w:r>
          </w:p>
        </w:tc>
        <w:tc>
          <w:tcPr>
            <w:tcW w:w="6601" w:type="dxa"/>
            <w:tcBorders>
              <w:bottom w:val="single" w:sz="4" w:space="0" w:color="auto"/>
            </w:tcBorders>
            <w:vAlign w:val="center"/>
          </w:tcPr>
          <w:p w:rsidR="001C2677" w:rsidRPr="001C2677" w:rsidRDefault="001C2677" w:rsidP="00306352">
            <w:r w:rsidRPr="001C2677">
              <w:t>France</w:t>
            </w:r>
          </w:p>
        </w:tc>
      </w:tr>
      <w:tr w:rsidR="001C2677" w:rsidRPr="001C2677" w:rsidTr="00F56D45">
        <w:trPr>
          <w:trHeight w:val="331"/>
        </w:trPr>
        <w:tc>
          <w:tcPr>
            <w:tcW w:w="2516" w:type="dxa"/>
            <w:shd w:val="clear" w:color="auto" w:fill="auto"/>
            <w:vAlign w:val="center"/>
          </w:tcPr>
          <w:p w:rsidR="001C2677" w:rsidRPr="001C2677" w:rsidRDefault="001C2677" w:rsidP="00306352">
            <w:r w:rsidRPr="001C2677">
              <w:t>Courriel</w:t>
            </w:r>
          </w:p>
        </w:tc>
        <w:tc>
          <w:tcPr>
            <w:tcW w:w="6601" w:type="dxa"/>
            <w:vAlign w:val="center"/>
          </w:tcPr>
          <w:p w:rsidR="001C2677" w:rsidRPr="001C2677" w:rsidRDefault="00EF24C1" w:rsidP="00306352">
            <w:pPr>
              <w:rPr>
                <w:rFonts w:cs="Arial"/>
                <w:color w:val="0000FF"/>
                <w:u w:val="single"/>
              </w:rPr>
            </w:pPr>
            <w:hyperlink r:id="rId11" w:history="1">
              <w:r w:rsidR="00933850" w:rsidRPr="00571EF7">
                <w:rPr>
                  <w:rStyle w:val="Lienhypertexte"/>
                  <w:rFonts w:cs="Arial"/>
                </w:rPr>
                <w:t>achat-marche.cpam-bordeaux@assurance-maladie.fr</w:t>
              </w:r>
            </w:hyperlink>
          </w:p>
        </w:tc>
      </w:tr>
      <w:tr w:rsidR="001C2677" w:rsidRPr="001C2677" w:rsidTr="00F56D45">
        <w:trPr>
          <w:trHeight w:val="331"/>
        </w:trPr>
        <w:tc>
          <w:tcPr>
            <w:tcW w:w="2516" w:type="dxa"/>
            <w:shd w:val="clear" w:color="auto" w:fill="auto"/>
            <w:vAlign w:val="center"/>
          </w:tcPr>
          <w:p w:rsidR="001C2677" w:rsidRPr="00336B11" w:rsidRDefault="001C2677" w:rsidP="00306352">
            <w:r w:rsidRPr="00336B11">
              <w:t>Adresse profil acheteur</w:t>
            </w:r>
          </w:p>
        </w:tc>
        <w:tc>
          <w:tcPr>
            <w:tcW w:w="6601" w:type="dxa"/>
            <w:vAlign w:val="center"/>
          </w:tcPr>
          <w:p w:rsidR="001C2677" w:rsidRPr="00336B11" w:rsidRDefault="001565DD" w:rsidP="00306352">
            <w:pPr>
              <w:rPr>
                <w:rFonts w:cs="Arial"/>
                <w:color w:val="0000FF"/>
                <w:u w:val="single"/>
              </w:rPr>
            </w:pPr>
            <w:r w:rsidRPr="001565DD">
              <w:rPr>
                <w:rFonts w:cs="Arial"/>
                <w:color w:val="0000FF"/>
                <w:u w:val="single"/>
              </w:rPr>
              <w:t>https://www.marches-publics.gouv.fr/entreprise</w:t>
            </w:r>
          </w:p>
        </w:tc>
      </w:tr>
    </w:tbl>
    <w:p w:rsidR="001C2677" w:rsidRDefault="00D77E26" w:rsidP="00306352">
      <w:pPr>
        <w:pStyle w:val="Corpsdetexte"/>
      </w:pPr>
      <w:r>
        <w:tab/>
      </w:r>
    </w:p>
    <w:p w:rsidR="007B628E" w:rsidRPr="006A6755" w:rsidRDefault="007B628E" w:rsidP="00306352">
      <w:pPr>
        <w:rPr>
          <w:i/>
        </w:rPr>
      </w:pPr>
      <w:r w:rsidRPr="006A6755">
        <w:rPr>
          <w:i/>
        </w:rPr>
        <w:t>1</w:t>
      </w:r>
      <w:r w:rsidR="00B2333F" w:rsidRPr="006A6755">
        <w:rPr>
          <w:i/>
        </w:rPr>
        <w:t>.1.2</w:t>
      </w:r>
      <w:r w:rsidRPr="006A6755">
        <w:rPr>
          <w:i/>
        </w:rPr>
        <w:t xml:space="preserve"> – Type d’acheteur </w:t>
      </w:r>
    </w:p>
    <w:p w:rsidR="001C2677" w:rsidRDefault="001C2677" w:rsidP="00306352">
      <w:pPr>
        <w:pStyle w:val="Corpsdetexte"/>
      </w:pPr>
    </w:p>
    <w:p w:rsidR="007B628E" w:rsidRPr="00BB5284" w:rsidRDefault="009A73FE" w:rsidP="00306352">
      <w:pPr>
        <w:pStyle w:val="Texte"/>
      </w:pPr>
      <w:r>
        <w:t>La CPAM est un o</w:t>
      </w:r>
      <w:r w:rsidR="007B628E" w:rsidRPr="007B628E">
        <w:t xml:space="preserve">rganisme privé gérant un service public, </w:t>
      </w:r>
      <w:r>
        <w:t xml:space="preserve">il s’agit d’un </w:t>
      </w:r>
      <w:r w:rsidR="007B628E" w:rsidRPr="007B628E">
        <w:t>organisme de sécurité</w:t>
      </w:r>
      <w:r w:rsidR="00C92DF4">
        <w:t xml:space="preserve"> sociale soumis à l’arrêté du 19</w:t>
      </w:r>
      <w:r w:rsidR="007B628E" w:rsidRPr="007B628E">
        <w:t xml:space="preserve"> </w:t>
      </w:r>
      <w:r w:rsidR="00C92DF4">
        <w:t>juillet 201</w:t>
      </w:r>
      <w:r w:rsidR="007B628E" w:rsidRPr="007B628E">
        <w:t xml:space="preserve">8 portant réglementation des marchés des organismes de Sécurité sociale ainsi </w:t>
      </w:r>
      <w:r w:rsidR="00BB5284">
        <w:t xml:space="preserve">qu’au </w:t>
      </w:r>
      <w:r w:rsidR="007A29E3" w:rsidRPr="007A29E3">
        <w:t>code de la commande publique</w:t>
      </w:r>
      <w:r w:rsidR="00BB5284">
        <w:t>.</w:t>
      </w:r>
    </w:p>
    <w:p w:rsidR="001C2677" w:rsidRDefault="001C2677" w:rsidP="00306352">
      <w:pPr>
        <w:pStyle w:val="Corpsdetexte"/>
      </w:pPr>
    </w:p>
    <w:p w:rsidR="000F0CBB" w:rsidRPr="00CF4752" w:rsidRDefault="008B64D5" w:rsidP="008B64D5">
      <w:pPr>
        <w:pStyle w:val="11"/>
      </w:pPr>
      <w:bookmarkStart w:id="4" w:name="_Toc511975012"/>
      <w:bookmarkStart w:id="5" w:name="_Toc95299473"/>
      <w:r>
        <w:t xml:space="preserve">1.2  </w:t>
      </w:r>
      <w:r w:rsidR="000F0CBB" w:rsidRPr="008B64D5">
        <w:t>Objet</w:t>
      </w:r>
      <w:bookmarkEnd w:id="4"/>
      <w:r w:rsidR="00442345" w:rsidRPr="00CF4752">
        <w:t xml:space="preserve"> du marché</w:t>
      </w:r>
      <w:bookmarkEnd w:id="5"/>
      <w:r w:rsidR="00442345" w:rsidRPr="00CF4752">
        <w:t xml:space="preserve"> </w:t>
      </w:r>
    </w:p>
    <w:p w:rsidR="001853DC" w:rsidRDefault="00BA5364" w:rsidP="001853DC">
      <w:pPr>
        <w:tabs>
          <w:tab w:val="left" w:pos="1361"/>
        </w:tabs>
        <w:spacing w:before="120" w:after="240"/>
        <w:rPr>
          <w:rFonts w:ascii="Calibri" w:hAnsi="Calibri" w:cs="Calibri"/>
        </w:rPr>
      </w:pPr>
      <w:r w:rsidRPr="00BA5364">
        <w:rPr>
          <w:rFonts w:ascii="Calibri" w:hAnsi="Calibri" w:cs="Calibri"/>
        </w:rPr>
        <w:t xml:space="preserve">Le présent marché a pour objet l’entretien, le curage et le débouchage des canalisations des différents sites de la CPAM  de la Gironde </w:t>
      </w:r>
      <w:r>
        <w:rPr>
          <w:rFonts w:ascii="Calibri" w:hAnsi="Calibri" w:cs="Calibri"/>
        </w:rPr>
        <w:t>ai</w:t>
      </w:r>
      <w:r w:rsidRPr="00BA5364">
        <w:rPr>
          <w:rFonts w:ascii="Calibri" w:hAnsi="Calibri" w:cs="Calibri"/>
        </w:rPr>
        <w:t>nsi que l’éli</w:t>
      </w:r>
      <w:r w:rsidR="00B460DD">
        <w:rPr>
          <w:rFonts w:ascii="Calibri" w:hAnsi="Calibri" w:cs="Calibri"/>
        </w:rPr>
        <w:t>mination des déchets de curage.</w:t>
      </w:r>
      <w:bookmarkStart w:id="6" w:name="_Toc478563975"/>
    </w:p>
    <w:p w:rsidR="00996E91" w:rsidRPr="001853DC" w:rsidRDefault="00996E91" w:rsidP="001853DC">
      <w:pPr>
        <w:tabs>
          <w:tab w:val="left" w:pos="1361"/>
        </w:tabs>
        <w:spacing w:before="120" w:after="240"/>
        <w:rPr>
          <w:rFonts w:ascii="Calibri" w:hAnsi="Calibri" w:cs="Calibri"/>
        </w:rPr>
      </w:pPr>
      <w:r w:rsidRPr="00996E91">
        <w:t xml:space="preserve">Les caractéristiques des prestations à réaliser sont définies </w:t>
      </w:r>
      <w:r w:rsidRPr="0055038D">
        <w:t xml:space="preserve">dans le Cahier des clauses </w:t>
      </w:r>
      <w:r w:rsidR="0055038D" w:rsidRPr="0055038D">
        <w:t>particulières</w:t>
      </w:r>
      <w:r w:rsidR="00C70D91">
        <w:t xml:space="preserve"> </w:t>
      </w:r>
      <w:r w:rsidR="0055038D" w:rsidRPr="0055038D">
        <w:t>(CC</w:t>
      </w:r>
      <w:r w:rsidRPr="0055038D">
        <w:t>P</w:t>
      </w:r>
      <w:r w:rsidR="00BD283E">
        <w:t>)</w:t>
      </w:r>
      <w:r w:rsidR="001853DC">
        <w:t>.</w:t>
      </w:r>
    </w:p>
    <w:p w:rsidR="00676D91" w:rsidRPr="000C2991" w:rsidRDefault="008B64D5" w:rsidP="008B64D5">
      <w:pPr>
        <w:pStyle w:val="11"/>
        <w:ind w:left="576"/>
      </w:pPr>
      <w:bookmarkStart w:id="7" w:name="_Toc95299474"/>
      <w:r>
        <w:t xml:space="preserve">1.3  </w:t>
      </w:r>
      <w:r w:rsidR="00676D91" w:rsidRPr="000C2991">
        <w:t>Nature du marché</w:t>
      </w:r>
      <w:bookmarkEnd w:id="6"/>
      <w:bookmarkEnd w:id="7"/>
    </w:p>
    <w:p w:rsidR="00676D91" w:rsidRDefault="00676D91" w:rsidP="00306352"/>
    <w:p w:rsidR="005A1C0A" w:rsidRPr="008B4CEE" w:rsidRDefault="00676D91" w:rsidP="00306352">
      <w:r w:rsidRPr="00C43E06">
        <w:t>Il s’agit d’un marché</w:t>
      </w:r>
      <w:r>
        <w:t xml:space="preserve"> </w:t>
      </w:r>
      <w:r w:rsidRPr="0055038D">
        <w:t xml:space="preserve">public </w:t>
      </w:r>
      <w:r w:rsidR="00A35852" w:rsidRPr="0055038D">
        <w:t xml:space="preserve">de </w:t>
      </w:r>
      <w:r w:rsidR="005A1C0A" w:rsidRPr="0055038D">
        <w:t>service</w:t>
      </w:r>
      <w:r w:rsidR="00DA56B1">
        <w:t>s</w:t>
      </w:r>
      <w:r w:rsidRPr="0055038D">
        <w:t xml:space="preserve"> au</w:t>
      </w:r>
      <w:r w:rsidRPr="00A17E98">
        <w:t xml:space="preserve"> sens de l’article </w:t>
      </w:r>
      <w:r w:rsidR="005A1C0A">
        <w:t>L.</w:t>
      </w:r>
      <w:r w:rsidR="005A1C0A" w:rsidRPr="008B4CEE">
        <w:t>1111-4</w:t>
      </w:r>
      <w:r w:rsidR="008B4CEE" w:rsidRPr="008B4CEE">
        <w:t xml:space="preserve"> du code de la commande publique.</w:t>
      </w:r>
    </w:p>
    <w:p w:rsidR="00BD283E" w:rsidRDefault="00BD283E" w:rsidP="00306352"/>
    <w:p w:rsidR="00BD283E" w:rsidRDefault="008B64D5" w:rsidP="008B64D5">
      <w:pPr>
        <w:pStyle w:val="11"/>
        <w:ind w:left="576"/>
      </w:pPr>
      <w:bookmarkStart w:id="8" w:name="_Toc95299475"/>
      <w:r>
        <w:t xml:space="preserve">1.4  </w:t>
      </w:r>
      <w:r w:rsidR="00BD283E">
        <w:t>Forme du marché</w:t>
      </w:r>
      <w:bookmarkEnd w:id="8"/>
    </w:p>
    <w:p w:rsidR="00BD283E" w:rsidRDefault="00BD283E" w:rsidP="00306352"/>
    <w:p w:rsidR="00E03322" w:rsidRPr="008B4CEE" w:rsidRDefault="00E03322" w:rsidP="00306352">
      <w:r w:rsidRPr="008B4CEE">
        <w:t xml:space="preserve">Le </w:t>
      </w:r>
      <w:r w:rsidR="002570BF">
        <w:t xml:space="preserve">présent accord cadre </w:t>
      </w:r>
      <w:r w:rsidRPr="008B4CEE">
        <w:t>porte sur :</w:t>
      </w:r>
    </w:p>
    <w:p w:rsidR="0055038D" w:rsidRDefault="0055038D" w:rsidP="00306352">
      <w:pPr>
        <w:rPr>
          <w:i/>
        </w:rPr>
      </w:pPr>
    </w:p>
    <w:p w:rsidR="0055038D" w:rsidRPr="0055038D" w:rsidRDefault="0055038D" w:rsidP="0076391A">
      <w:pPr>
        <w:widowControl w:val="0"/>
        <w:numPr>
          <w:ilvl w:val="0"/>
          <w:numId w:val="18"/>
        </w:numPr>
        <w:overflowPunct w:val="0"/>
        <w:adjustRightInd w:val="0"/>
        <w:spacing w:after="120" w:line="276" w:lineRule="auto"/>
        <w:contextualSpacing/>
        <w:rPr>
          <w:rFonts w:ascii="Calibri" w:eastAsia="Calibri" w:hAnsi="Calibri" w:cs="Arial"/>
          <w:lang w:eastAsia="en-US"/>
        </w:rPr>
      </w:pPr>
      <w:r w:rsidRPr="0055038D">
        <w:rPr>
          <w:rFonts w:ascii="Calibri" w:eastAsia="Calibri" w:hAnsi="Calibri" w:cs="Arial"/>
          <w:lang w:eastAsia="en-US"/>
        </w:rPr>
        <w:t xml:space="preserve">Une partie ordinaire à titre préventive composée d’une prestation de maintenance, et d’une </w:t>
      </w:r>
      <w:r w:rsidR="00BA5364">
        <w:rPr>
          <w:rFonts w:cs="Arial"/>
        </w:rPr>
        <w:t xml:space="preserve">prestation </w:t>
      </w:r>
      <w:r w:rsidRPr="0055038D">
        <w:rPr>
          <w:rFonts w:ascii="Calibri" w:eastAsia="Calibri" w:hAnsi="Calibri" w:cs="Arial"/>
          <w:lang w:eastAsia="en-US"/>
        </w:rPr>
        <w:t>d’entretien.</w:t>
      </w:r>
    </w:p>
    <w:p w:rsidR="0055038D" w:rsidRPr="0055038D" w:rsidRDefault="0055038D" w:rsidP="0076391A">
      <w:pPr>
        <w:widowControl w:val="0"/>
        <w:numPr>
          <w:ilvl w:val="0"/>
          <w:numId w:val="18"/>
        </w:numPr>
        <w:overflowPunct w:val="0"/>
        <w:adjustRightInd w:val="0"/>
        <w:spacing w:after="120" w:line="276" w:lineRule="auto"/>
        <w:contextualSpacing/>
        <w:rPr>
          <w:rFonts w:ascii="Calibri" w:eastAsia="Calibri" w:hAnsi="Calibri" w:cs="Arial"/>
          <w:lang w:eastAsia="en-US"/>
        </w:rPr>
      </w:pPr>
      <w:r w:rsidRPr="0055038D">
        <w:rPr>
          <w:rFonts w:ascii="Calibri" w:eastAsia="Calibri" w:hAnsi="Calibri" w:cs="Arial"/>
          <w:lang w:eastAsia="en-US"/>
        </w:rPr>
        <w:t>Une partie exécutée se</w:t>
      </w:r>
      <w:r w:rsidR="00BA5364">
        <w:rPr>
          <w:rFonts w:ascii="Calibri" w:eastAsia="Calibri" w:hAnsi="Calibri" w:cs="Arial"/>
          <w:lang w:eastAsia="en-US"/>
        </w:rPr>
        <w:t xml:space="preserve">lon les besoins à titre curatifs </w:t>
      </w:r>
      <w:r w:rsidRPr="0055038D">
        <w:rPr>
          <w:rFonts w:ascii="Calibri" w:eastAsia="Calibri" w:hAnsi="Calibri" w:cs="Arial"/>
          <w:lang w:eastAsia="en-US"/>
        </w:rPr>
        <w:t>prenant la forme d’un accord-cadre à bons de commande (prestations à la demande) au sens des articles R2162-1 à R2162-5 et selon les articles R2162-13 à 14 du code de la commande publique.</w:t>
      </w:r>
    </w:p>
    <w:p w:rsidR="0055038D" w:rsidRDefault="0055038D" w:rsidP="00306352">
      <w:pPr>
        <w:rPr>
          <w:i/>
        </w:rPr>
      </w:pPr>
    </w:p>
    <w:p w:rsidR="004D5E03" w:rsidRDefault="004D5E03" w:rsidP="00306352">
      <w:pPr>
        <w:rPr>
          <w:i/>
        </w:rPr>
      </w:pPr>
    </w:p>
    <w:p w:rsidR="000F0CBB" w:rsidRPr="001A66B2" w:rsidRDefault="008B64D5" w:rsidP="008B64D5">
      <w:pPr>
        <w:pStyle w:val="11"/>
        <w:ind w:left="576"/>
      </w:pPr>
      <w:bookmarkStart w:id="9" w:name="_Toc95299476"/>
      <w:r>
        <w:t xml:space="preserve">1.5  </w:t>
      </w:r>
      <w:r w:rsidR="005A1C0A" w:rsidRPr="001A66B2">
        <w:t>Décomposition du marché en lots</w:t>
      </w:r>
      <w:bookmarkEnd w:id="9"/>
      <w:r w:rsidR="005A1C0A" w:rsidRPr="001A66B2">
        <w:t xml:space="preserve"> </w:t>
      </w:r>
    </w:p>
    <w:p w:rsidR="000F0CBB" w:rsidRPr="00676D91" w:rsidRDefault="000F0CBB" w:rsidP="00306352">
      <w:pPr>
        <w:pStyle w:val="Texte"/>
      </w:pPr>
    </w:p>
    <w:p w:rsidR="002570BF" w:rsidRDefault="00EF034D" w:rsidP="002570BF">
      <w:pPr>
        <w:pStyle w:val="Texte"/>
      </w:pPr>
      <w:r>
        <w:t>En</w:t>
      </w:r>
      <w:r w:rsidRPr="00EF034D">
        <w:t xml:space="preserve"> ap</w:t>
      </w:r>
      <w:r w:rsidR="00B40B67">
        <w:t>plication de l’article L.2113-10</w:t>
      </w:r>
      <w:r w:rsidRPr="00EF034D">
        <w:t xml:space="preserve"> du code de la commande publique, le présent marché n’est pas alloti.</w:t>
      </w:r>
      <w:bookmarkStart w:id="10" w:name="_Toc511975014"/>
    </w:p>
    <w:p w:rsidR="00DA56B1" w:rsidRDefault="00DA56B1" w:rsidP="002570BF">
      <w:pPr>
        <w:pStyle w:val="Texte"/>
      </w:pPr>
    </w:p>
    <w:p w:rsidR="00886902" w:rsidRDefault="00886902" w:rsidP="002570BF">
      <w:pPr>
        <w:pStyle w:val="Texte"/>
      </w:pPr>
    </w:p>
    <w:p w:rsidR="00AF16ED" w:rsidRPr="00E37B15" w:rsidRDefault="00DA56B1" w:rsidP="00DA56B1">
      <w:pPr>
        <w:pStyle w:val="ARTICLECCAPCCTP"/>
      </w:pPr>
      <w:bookmarkStart w:id="11" w:name="_Toc95299477"/>
      <w:r>
        <w:lastRenderedPageBreak/>
        <w:t xml:space="preserve">Article 2 </w:t>
      </w:r>
      <w:r w:rsidR="00AF16ED">
        <w:t>Dossier de consultation</w:t>
      </w:r>
      <w:bookmarkEnd w:id="11"/>
      <w:r w:rsidR="00AF16ED">
        <w:t xml:space="preserve"> </w:t>
      </w:r>
      <w:bookmarkEnd w:id="10"/>
    </w:p>
    <w:p w:rsidR="00AF16ED" w:rsidRDefault="00AF16ED" w:rsidP="00306352">
      <w:pPr>
        <w:pStyle w:val="Texte"/>
      </w:pPr>
    </w:p>
    <w:p w:rsidR="00AF16ED" w:rsidRPr="00EC7EE0" w:rsidRDefault="00DA56B1" w:rsidP="008B64D5">
      <w:pPr>
        <w:pStyle w:val="11"/>
      </w:pPr>
      <w:bookmarkStart w:id="12" w:name="_Toc511975015"/>
      <w:bookmarkStart w:id="13" w:name="_Toc95299478"/>
      <w:r>
        <w:t xml:space="preserve">2.1 </w:t>
      </w:r>
      <w:r w:rsidR="00C51E97">
        <w:t xml:space="preserve"> </w:t>
      </w:r>
      <w:r w:rsidR="00AF16ED">
        <w:t>Pièces constitutives du dossier de consultation</w:t>
      </w:r>
      <w:bookmarkEnd w:id="12"/>
      <w:bookmarkEnd w:id="13"/>
    </w:p>
    <w:p w:rsidR="00AF16ED" w:rsidRPr="00AF16ED" w:rsidRDefault="00AF16ED" w:rsidP="00306352">
      <w:pPr>
        <w:pStyle w:val="Texte"/>
      </w:pPr>
    </w:p>
    <w:p w:rsidR="00AF16ED" w:rsidRPr="00AF16ED" w:rsidRDefault="00AF16ED" w:rsidP="00306352">
      <w:r w:rsidRPr="00AF16ED">
        <w:t>Les documents de la consultation sont constitués de l’ensemble des documents et informations préparées par le pouvoir adjudicateur pour définir l’objet, les caractéristiques et les conditions d’exécution du marché. Le présent dossier de consultation est composé des pièces suivantes :</w:t>
      </w:r>
    </w:p>
    <w:p w:rsidR="00AF16ED" w:rsidRPr="00AF16ED" w:rsidRDefault="00AF16ED" w:rsidP="00306352">
      <w:pPr>
        <w:pStyle w:val="Texte"/>
      </w:pPr>
    </w:p>
    <w:p w:rsidR="007278CE" w:rsidRDefault="00996E91" w:rsidP="0076391A">
      <w:pPr>
        <w:pStyle w:val="Paragraphedeliste"/>
        <w:numPr>
          <w:ilvl w:val="0"/>
          <w:numId w:val="12"/>
        </w:numPr>
      </w:pPr>
      <w:r w:rsidRPr="00071D8E">
        <w:t>Le présent rè</w:t>
      </w:r>
      <w:r w:rsidR="005D4356">
        <w:t>glement de la Consultation (RC) et son annexe</w:t>
      </w:r>
      <w:r w:rsidR="001853DC">
        <w:t> :</w:t>
      </w:r>
    </w:p>
    <w:p w:rsidR="005D4356" w:rsidRDefault="005D4356" w:rsidP="0076391A">
      <w:pPr>
        <w:pStyle w:val="Paragraphedeliste"/>
        <w:numPr>
          <w:ilvl w:val="1"/>
          <w:numId w:val="12"/>
        </w:numPr>
      </w:pPr>
      <w:r>
        <w:t>L’annexe n°1 du RC</w:t>
      </w:r>
      <w:r w:rsidRPr="0055038D">
        <w:t>: Plan de Dématérialisation des procédures des organismes de Sécurité Sociale (PDOSS) </w:t>
      </w:r>
    </w:p>
    <w:p w:rsidR="005D4356" w:rsidRDefault="005D4356" w:rsidP="005D4356">
      <w:pPr>
        <w:pStyle w:val="Paragraphedeliste"/>
        <w:ind w:left="1440" w:firstLine="0"/>
      </w:pPr>
    </w:p>
    <w:p w:rsidR="005D4356" w:rsidRDefault="003A5B24" w:rsidP="0076391A">
      <w:pPr>
        <w:pStyle w:val="Paragraphedeliste"/>
        <w:numPr>
          <w:ilvl w:val="0"/>
          <w:numId w:val="12"/>
        </w:numPr>
      </w:pPr>
      <w:r>
        <w:t>L’Acte d’Engagement (AE) et son annexe</w:t>
      </w:r>
      <w:r w:rsidR="001853DC">
        <w:t> :</w:t>
      </w:r>
      <w:r w:rsidR="005D4356">
        <w:t xml:space="preserve"> </w:t>
      </w:r>
    </w:p>
    <w:p w:rsidR="005D4356" w:rsidRDefault="005D4356" w:rsidP="0076391A">
      <w:pPr>
        <w:pStyle w:val="Paragraphedeliste"/>
        <w:numPr>
          <w:ilvl w:val="1"/>
          <w:numId w:val="12"/>
        </w:numPr>
      </w:pPr>
      <w:r>
        <w:t>L’ann</w:t>
      </w:r>
      <w:r w:rsidR="00871974">
        <w:t>exe n°1 à l’acte d’engagement :</w:t>
      </w:r>
      <w:r w:rsidR="00871974" w:rsidRPr="0055038D">
        <w:t xml:space="preserve"> </w:t>
      </w:r>
      <w:r w:rsidR="00871974">
        <w:t>Acte contractuel de confidentialité (</w:t>
      </w:r>
      <w:r w:rsidR="00871974" w:rsidRPr="0055038D">
        <w:t>ACC</w:t>
      </w:r>
      <w:r w:rsidR="00871974">
        <w:t>),</w:t>
      </w:r>
    </w:p>
    <w:p w:rsidR="00871974" w:rsidRDefault="00871974" w:rsidP="0076391A">
      <w:pPr>
        <w:pStyle w:val="Paragraphedeliste"/>
        <w:numPr>
          <w:ilvl w:val="1"/>
          <w:numId w:val="12"/>
        </w:numPr>
      </w:pPr>
      <w:r>
        <w:t>L’annexe n°2 à l’acte d’engagement : Annexe financière Décomposition du Prix Global Forfaitaire.</w:t>
      </w:r>
    </w:p>
    <w:p w:rsidR="00102424" w:rsidRDefault="00871974" w:rsidP="0076391A">
      <w:pPr>
        <w:pStyle w:val="Paragraphedeliste"/>
        <w:numPr>
          <w:ilvl w:val="1"/>
          <w:numId w:val="12"/>
        </w:numPr>
      </w:pPr>
      <w:r>
        <w:t xml:space="preserve">L’annexe n°3 </w:t>
      </w:r>
      <w:r w:rsidR="00673E7B">
        <w:t xml:space="preserve">à l’acte d’engagement : </w:t>
      </w:r>
      <w:r w:rsidR="00102424">
        <w:t>Cadre de réponse valant mémoire technique du candidat.</w:t>
      </w:r>
    </w:p>
    <w:p w:rsidR="005D4356" w:rsidRDefault="005D4356" w:rsidP="00102424"/>
    <w:p w:rsidR="00DA56B1" w:rsidRDefault="00DA56B1" w:rsidP="0076391A">
      <w:pPr>
        <w:pStyle w:val="Paragraphedeliste"/>
        <w:numPr>
          <w:ilvl w:val="0"/>
          <w:numId w:val="12"/>
        </w:numPr>
      </w:pPr>
      <w:r>
        <w:t>Le Cahier des Clauses Particulières (CCP)</w:t>
      </w:r>
      <w:r w:rsidR="005D4356">
        <w:t xml:space="preserve"> et ses annexes : </w:t>
      </w:r>
    </w:p>
    <w:p w:rsidR="005D4356" w:rsidRDefault="00DA56B1" w:rsidP="0076391A">
      <w:pPr>
        <w:pStyle w:val="Paragraphedeliste"/>
        <w:numPr>
          <w:ilvl w:val="1"/>
          <w:numId w:val="12"/>
        </w:numPr>
      </w:pPr>
      <w:r>
        <w:t>L’</w:t>
      </w:r>
      <w:r w:rsidR="007278CE">
        <w:t>a</w:t>
      </w:r>
      <w:r w:rsidR="00996E91" w:rsidRPr="0055038D">
        <w:t>nnexe n°1</w:t>
      </w:r>
      <w:r>
        <w:t xml:space="preserve"> au CCP</w:t>
      </w:r>
      <w:r w:rsidR="00871974">
        <w:t> : Attestation de visite</w:t>
      </w:r>
    </w:p>
    <w:p w:rsidR="003C688E" w:rsidRDefault="005D4356" w:rsidP="0076391A">
      <w:pPr>
        <w:pStyle w:val="Paragraphedeliste"/>
        <w:numPr>
          <w:ilvl w:val="1"/>
          <w:numId w:val="12"/>
        </w:numPr>
      </w:pPr>
      <w:r>
        <w:t>L</w:t>
      </w:r>
      <w:r w:rsidR="007278CE">
        <w:t>’a</w:t>
      </w:r>
      <w:r>
        <w:t xml:space="preserve">nnexe n°2 </w:t>
      </w:r>
      <w:r w:rsidR="001853DC">
        <w:t xml:space="preserve">au CCP </w:t>
      </w:r>
      <w:r w:rsidR="003C688E">
        <w:t>: Etat des surfaces</w:t>
      </w:r>
    </w:p>
    <w:p w:rsidR="0069692A" w:rsidRPr="0055038D" w:rsidRDefault="0069692A" w:rsidP="0069692A">
      <w:pPr>
        <w:pStyle w:val="Paragraphedeliste"/>
        <w:ind w:left="1440" w:firstLine="0"/>
      </w:pPr>
    </w:p>
    <w:p w:rsidR="003C688E" w:rsidRPr="0055038D" w:rsidRDefault="004304B2" w:rsidP="0076391A">
      <w:pPr>
        <w:pStyle w:val="Paragraphedeliste"/>
        <w:numPr>
          <w:ilvl w:val="0"/>
          <w:numId w:val="29"/>
        </w:numPr>
      </w:pPr>
      <w:r>
        <w:t>Attestation de visite</w:t>
      </w:r>
    </w:p>
    <w:p w:rsidR="0055038D" w:rsidRDefault="0055038D" w:rsidP="00306352">
      <w:pPr>
        <w:pStyle w:val="Paragraphedeliste"/>
        <w:ind w:firstLine="0"/>
      </w:pPr>
    </w:p>
    <w:p w:rsidR="007B628E" w:rsidRPr="007B628E" w:rsidRDefault="0055038D" w:rsidP="00306352">
      <w:r w:rsidRPr="007B628E">
        <w:t xml:space="preserve"> </w:t>
      </w:r>
      <w:r w:rsidR="007B628E" w:rsidRPr="007B628E">
        <w:t>Les documents de la consultation sont en accès libre, gratuit, direct et complet.</w:t>
      </w:r>
    </w:p>
    <w:p w:rsidR="007B628E" w:rsidRPr="007B628E" w:rsidRDefault="007B628E" w:rsidP="00306352">
      <w:pPr>
        <w:pStyle w:val="Texte"/>
      </w:pPr>
    </w:p>
    <w:p w:rsidR="007B628E" w:rsidRDefault="007B628E" w:rsidP="00306352">
      <w:pPr>
        <w:pStyle w:val="Texte"/>
      </w:pPr>
      <w:r w:rsidRPr="007B628E">
        <w:t>En application de</w:t>
      </w:r>
      <w:r w:rsidR="0008593A">
        <w:t>s</w:t>
      </w:r>
      <w:r w:rsidRPr="007B628E">
        <w:t xml:space="preserve"> article</w:t>
      </w:r>
      <w:r w:rsidR="0008593A">
        <w:t>s R.2132-2 et</w:t>
      </w:r>
      <w:r w:rsidRPr="007B628E">
        <w:t xml:space="preserve"> </w:t>
      </w:r>
      <w:r w:rsidR="00BE2A56">
        <w:t>R.2132-7</w:t>
      </w:r>
      <w:r w:rsidRPr="007B628E">
        <w:t xml:space="preserve"> du </w:t>
      </w:r>
      <w:r w:rsidR="00BE2A56" w:rsidRPr="007A29E3">
        <w:t>code de la commande publique</w:t>
      </w:r>
      <w:r w:rsidRPr="007B628E">
        <w:t xml:space="preserve">, les candidats devront télécharger le Dossier de Consultation des Entreprises (DCE) dans son intégralité sur le site internet suivant : </w:t>
      </w:r>
      <w:hyperlink r:id="rId12" w:history="1">
        <w:r w:rsidR="001209D0" w:rsidRPr="00BF0A07">
          <w:rPr>
            <w:rStyle w:val="Lienhypertexte"/>
          </w:rPr>
          <w:t>https://www.marches-publics.gouv.fr/</w:t>
        </w:r>
      </w:hyperlink>
    </w:p>
    <w:p w:rsidR="007B628E" w:rsidRDefault="007B628E" w:rsidP="00306352">
      <w:pPr>
        <w:pStyle w:val="Texte"/>
      </w:pPr>
    </w:p>
    <w:p w:rsidR="007B628E" w:rsidRPr="007B628E" w:rsidRDefault="007B628E" w:rsidP="00306352">
      <w:pPr>
        <w:pStyle w:val="Texte"/>
      </w:pPr>
      <w:r w:rsidRPr="007B628E">
        <w:t xml:space="preserve">Afin de pouvoir bénéficier de toutes les informations complémentaires diffusées lors du déroulement de la procédure, en particulier les éventuelles précisions ou modifications apportées au Dossier de Consultation des Entreprises, les candidats devront s’inscrire sur la plateforme. Pour cela, ils doivent renseigner leur nom (raison sociale…), une adresse électronique valide ainsi que le nom d’un correspondant. </w:t>
      </w:r>
    </w:p>
    <w:p w:rsidR="007B628E" w:rsidRDefault="007B628E" w:rsidP="00306352">
      <w:pPr>
        <w:pStyle w:val="Texte"/>
      </w:pPr>
    </w:p>
    <w:p w:rsidR="007B628E" w:rsidRPr="007B628E" w:rsidRDefault="007B628E" w:rsidP="00306352">
      <w:pPr>
        <w:pStyle w:val="Texte"/>
      </w:pPr>
      <w:r w:rsidRPr="007B628E">
        <w:t xml:space="preserve">Afin de pouvoir lire les documents mis à disposition par </w:t>
      </w:r>
      <w:r>
        <w:t>la CPAM de la Gironde</w:t>
      </w:r>
      <w:r w:rsidRPr="007B628E">
        <w:t>, les soumissionnaires devront disposer des logiciels permettant de lire les formats suivants :</w:t>
      </w:r>
    </w:p>
    <w:p w:rsidR="007B628E" w:rsidRPr="007B628E" w:rsidRDefault="007B628E" w:rsidP="00306352">
      <w:pPr>
        <w:pStyle w:val="Texte"/>
        <w:numPr>
          <w:ilvl w:val="0"/>
          <w:numId w:val="5"/>
        </w:numPr>
        <w:rPr>
          <w:lang w:val="en-GB"/>
        </w:rPr>
      </w:pPr>
      <w:r w:rsidRPr="007B628E">
        <w:rPr>
          <w:lang w:val="en-GB"/>
        </w:rPr>
        <w:t xml:space="preserve">Adobe </w:t>
      </w:r>
      <w:r w:rsidRPr="007B628E">
        <w:rPr>
          <w:vertAlign w:val="superscript"/>
          <w:lang w:val="en-GB"/>
        </w:rPr>
        <w:t>R</w:t>
      </w:r>
      <w:r w:rsidRPr="007B628E">
        <w:rPr>
          <w:lang w:val="en-GB"/>
        </w:rPr>
        <w:t xml:space="preserve"> Acrobat </w:t>
      </w:r>
      <w:r w:rsidRPr="007B628E">
        <w:rPr>
          <w:vertAlign w:val="superscript"/>
          <w:lang w:val="en-GB"/>
        </w:rPr>
        <w:t>R</w:t>
      </w:r>
      <w:r w:rsidRPr="007B628E">
        <w:rPr>
          <w:lang w:val="en-GB"/>
        </w:rPr>
        <w:t xml:space="preserve"> (.pdf)</w:t>
      </w:r>
    </w:p>
    <w:p w:rsidR="007B628E" w:rsidRPr="007B628E" w:rsidRDefault="007B628E" w:rsidP="00306352">
      <w:pPr>
        <w:pStyle w:val="Texte"/>
        <w:numPr>
          <w:ilvl w:val="0"/>
          <w:numId w:val="5"/>
        </w:numPr>
        <w:rPr>
          <w:lang w:val="en-GB"/>
        </w:rPr>
      </w:pPr>
      <w:r w:rsidRPr="007B628E">
        <w:rPr>
          <w:lang w:val="en-GB"/>
        </w:rPr>
        <w:t>Word ( .doc) ; Excel (.</w:t>
      </w:r>
      <w:proofErr w:type="spellStart"/>
      <w:r w:rsidRPr="007B628E">
        <w:rPr>
          <w:lang w:val="en-GB"/>
        </w:rPr>
        <w:t>xls</w:t>
      </w:r>
      <w:proofErr w:type="spellEnd"/>
      <w:r w:rsidRPr="007B628E">
        <w:rPr>
          <w:lang w:val="en-GB"/>
        </w:rPr>
        <w:t>)</w:t>
      </w:r>
    </w:p>
    <w:p w:rsidR="007B628E" w:rsidRPr="007B628E" w:rsidRDefault="007B628E" w:rsidP="00306352">
      <w:pPr>
        <w:pStyle w:val="Texte"/>
        <w:numPr>
          <w:ilvl w:val="0"/>
          <w:numId w:val="5"/>
        </w:numPr>
        <w:rPr>
          <w:b/>
          <w:i/>
        </w:rPr>
      </w:pPr>
      <w:r w:rsidRPr="007B628E">
        <w:t xml:space="preserve">Fichiers compressés au format Zip (.zip) </w:t>
      </w:r>
    </w:p>
    <w:p w:rsidR="007B628E" w:rsidRPr="007B628E" w:rsidRDefault="007B628E" w:rsidP="00306352">
      <w:pPr>
        <w:pStyle w:val="Texte"/>
      </w:pPr>
    </w:p>
    <w:p w:rsidR="007B628E" w:rsidRDefault="007B628E" w:rsidP="00306352">
      <w:pPr>
        <w:pStyle w:val="Texte"/>
      </w:pPr>
      <w:r w:rsidRPr="007B628E">
        <w:t>Il est précisé que les données nominatives collectées par les différents formulaires sont destinées à</w:t>
      </w:r>
      <w:r>
        <w:t xml:space="preserve"> la CPAM de la Gironde</w:t>
      </w:r>
      <w:r w:rsidRPr="007B628E">
        <w:t>. Le candidat est donc réputé avoir été informé que</w:t>
      </w:r>
      <w:r>
        <w:t xml:space="preserve"> la CPAM de la Gironde</w:t>
      </w:r>
      <w:r w:rsidRPr="007B628E">
        <w:t xml:space="preserve"> est responsable du traitement des données ainsi collectées. Il doit donc exercer son droit d’accès, de modification et de suppression directement auprès des services compétents de </w:t>
      </w:r>
      <w:r>
        <w:t>la CPAM de la Gironde.</w:t>
      </w:r>
    </w:p>
    <w:p w:rsidR="0084621B" w:rsidRDefault="0084621B" w:rsidP="00306352">
      <w:pPr>
        <w:pStyle w:val="Texte"/>
      </w:pPr>
    </w:p>
    <w:p w:rsidR="00BE0CAB" w:rsidRDefault="00BE0CAB" w:rsidP="00306352">
      <w:pPr>
        <w:pStyle w:val="Texte"/>
      </w:pPr>
    </w:p>
    <w:p w:rsidR="007B628E" w:rsidRDefault="00C51E97" w:rsidP="008B64D5">
      <w:pPr>
        <w:pStyle w:val="11"/>
      </w:pPr>
      <w:bookmarkStart w:id="14" w:name="_Toc511975016"/>
      <w:bookmarkStart w:id="15" w:name="_Toc95299479"/>
      <w:r>
        <w:t xml:space="preserve">2.2  </w:t>
      </w:r>
      <w:r w:rsidR="007B628E">
        <w:t>Modification du détail du dossier de consultation par le pouvoir adjudicateur</w:t>
      </w:r>
      <w:bookmarkEnd w:id="14"/>
      <w:bookmarkEnd w:id="15"/>
    </w:p>
    <w:p w:rsidR="007B628E" w:rsidRPr="005E650A" w:rsidRDefault="007B628E" w:rsidP="00306352">
      <w:pPr>
        <w:pStyle w:val="Texte"/>
      </w:pPr>
    </w:p>
    <w:p w:rsidR="007B628E" w:rsidRPr="005E650A" w:rsidRDefault="00E115C6" w:rsidP="00306352">
      <w:pPr>
        <w:pStyle w:val="Texte"/>
      </w:pPr>
      <w:r w:rsidRPr="005E650A">
        <w:t xml:space="preserve">La CPAM </w:t>
      </w:r>
      <w:r w:rsidR="007B628E" w:rsidRPr="005E650A">
        <w:t xml:space="preserve"> se réserve le droit d'apporter, au plus tard </w:t>
      </w:r>
      <w:r w:rsidR="008C45F8" w:rsidRPr="006D4C64">
        <w:t>sept</w:t>
      </w:r>
      <w:r w:rsidR="007278CE" w:rsidRPr="006D4C64">
        <w:t xml:space="preserve"> (</w:t>
      </w:r>
      <w:r w:rsidR="008C45F8" w:rsidRPr="006D4C64">
        <w:t>7</w:t>
      </w:r>
      <w:r w:rsidR="007278CE" w:rsidRPr="006D4C64">
        <w:t>)</w:t>
      </w:r>
      <w:r w:rsidR="007B628E" w:rsidRPr="006D4C64">
        <w:t xml:space="preserve"> jou</w:t>
      </w:r>
      <w:r w:rsidR="007B628E" w:rsidRPr="005E650A">
        <w:t>rs avant la date limite fixée pour la réception des offres, des modifications de détail au dossier de consultation. Les concurrents devront alors répondre sur la base du dossier modifié sans pouvoir n’élever aucune réclamation à ce sujet.</w:t>
      </w:r>
    </w:p>
    <w:p w:rsidR="007B628E" w:rsidRPr="007B628E" w:rsidRDefault="007B628E" w:rsidP="00306352">
      <w:pPr>
        <w:pStyle w:val="Texte"/>
      </w:pPr>
    </w:p>
    <w:p w:rsidR="007B628E" w:rsidRPr="007B628E" w:rsidRDefault="007B628E" w:rsidP="00306352">
      <w:pPr>
        <w:pStyle w:val="Texte"/>
      </w:pPr>
      <w:r w:rsidRPr="007B628E">
        <w:t>Si, pendant l'étude du dossier par les concurrents, la date limite</w:t>
      </w:r>
      <w:r>
        <w:t xml:space="preserve"> de remise des offres</w:t>
      </w:r>
      <w:r w:rsidRPr="007B628E">
        <w:t xml:space="preserve"> est reportée, la disposition précédente est applicable en fonction de cette nouvelle date.</w:t>
      </w:r>
    </w:p>
    <w:p w:rsidR="00E85CAB" w:rsidRDefault="00E85CAB" w:rsidP="00306352">
      <w:pPr>
        <w:pStyle w:val="Texte"/>
      </w:pPr>
    </w:p>
    <w:p w:rsidR="006D4C64" w:rsidRDefault="006D4C64" w:rsidP="00306352">
      <w:pPr>
        <w:pStyle w:val="Texte"/>
      </w:pPr>
    </w:p>
    <w:p w:rsidR="006D4C64" w:rsidRDefault="006D4C64" w:rsidP="00306352">
      <w:pPr>
        <w:pStyle w:val="Texte"/>
      </w:pPr>
    </w:p>
    <w:p w:rsidR="007B628E" w:rsidRDefault="00C51E97" w:rsidP="008B64D5">
      <w:pPr>
        <w:pStyle w:val="11"/>
      </w:pPr>
      <w:bookmarkStart w:id="16" w:name="_Toc511975017"/>
      <w:bookmarkStart w:id="17" w:name="_Toc95299480"/>
      <w:r>
        <w:t xml:space="preserve">2.3  </w:t>
      </w:r>
      <w:r w:rsidR="007B628E">
        <w:t>Présentation des candidatures et des offres</w:t>
      </w:r>
      <w:bookmarkEnd w:id="16"/>
      <w:bookmarkEnd w:id="17"/>
    </w:p>
    <w:p w:rsidR="007B628E" w:rsidRDefault="007B628E" w:rsidP="00306352">
      <w:pPr>
        <w:pStyle w:val="Texte"/>
      </w:pPr>
    </w:p>
    <w:p w:rsidR="007B628E" w:rsidRPr="007B628E" w:rsidRDefault="007B628E" w:rsidP="00306352">
      <w:pPr>
        <w:pStyle w:val="Texte"/>
      </w:pPr>
      <w:bookmarkStart w:id="18" w:name="_Hlk510531302"/>
      <w:r w:rsidRPr="007B628E">
        <w:t xml:space="preserve">Conformément à </w:t>
      </w:r>
      <w:r w:rsidRPr="0008593A">
        <w:t xml:space="preserve">l’article </w:t>
      </w:r>
      <w:r w:rsidR="0008593A" w:rsidRPr="0008593A">
        <w:t>R.2143-16</w:t>
      </w:r>
      <w:r w:rsidRPr="0008593A">
        <w:t xml:space="preserve"> du </w:t>
      </w:r>
      <w:r w:rsidR="0008593A" w:rsidRPr="007A29E3">
        <w:t>code de la commande publique</w:t>
      </w:r>
      <w:r w:rsidRPr="007B628E">
        <w:t>, les pièces accompagnant le dossier de candidature et d’offre</w:t>
      </w:r>
      <w:r w:rsidR="0008593A">
        <w:t xml:space="preserve"> du titulaire</w:t>
      </w:r>
      <w:r w:rsidRPr="007B628E">
        <w:t xml:space="preserve"> rédigées en langue étrangère seront acceptées uniquement si elles sont accompagnées d’une traduction en langue française.</w:t>
      </w:r>
    </w:p>
    <w:p w:rsidR="007B628E" w:rsidRPr="003751B1" w:rsidRDefault="007B628E" w:rsidP="00306352">
      <w:pPr>
        <w:pStyle w:val="Texte"/>
      </w:pPr>
    </w:p>
    <w:p w:rsidR="007B628E" w:rsidRPr="007B628E" w:rsidRDefault="007B628E" w:rsidP="00306352">
      <w:pPr>
        <w:pStyle w:val="Texte"/>
      </w:pPr>
      <w:r w:rsidRPr="007B628E">
        <w:t xml:space="preserve">Cette obligation porte également sur tous les documents de présentation associés et les documents techniques justifiant de la conformité d'un produit à une norme ou d'une marque de qualité non française dont l'équivalence est soumise à l'appréciation </w:t>
      </w:r>
      <w:r w:rsidR="00E115C6">
        <w:t>du pouvoir adjudicateur</w:t>
      </w:r>
      <w:r w:rsidRPr="007B628E">
        <w:t>. L’unité monétaire de compte est l’euro.</w:t>
      </w:r>
    </w:p>
    <w:bookmarkEnd w:id="18"/>
    <w:p w:rsidR="002B35B6" w:rsidRDefault="002B35B6" w:rsidP="00306352">
      <w:pPr>
        <w:pStyle w:val="Texte"/>
      </w:pPr>
    </w:p>
    <w:p w:rsidR="00AF16ED" w:rsidRDefault="00AF16ED" w:rsidP="00306352">
      <w:pPr>
        <w:pStyle w:val="Texte"/>
      </w:pPr>
    </w:p>
    <w:p w:rsidR="00AF16ED" w:rsidRPr="00E37B15" w:rsidRDefault="00B460DD" w:rsidP="00E85CAB">
      <w:pPr>
        <w:pStyle w:val="ARTICLECCAPCCTP"/>
      </w:pPr>
      <w:bookmarkStart w:id="19" w:name="_Toc511975018"/>
      <w:bookmarkStart w:id="20" w:name="_Toc95299481"/>
      <w:r>
        <w:t>Article 3</w:t>
      </w:r>
      <w:r w:rsidR="00AF16ED">
        <w:t xml:space="preserve"> </w:t>
      </w:r>
      <w:bookmarkEnd w:id="19"/>
      <w:r w:rsidR="00030F9B">
        <w:t>Variantes</w:t>
      </w:r>
      <w:r w:rsidR="00A769B8">
        <w:t xml:space="preserve"> et prestations supplementaires eventuelles</w:t>
      </w:r>
      <w:bookmarkEnd w:id="20"/>
    </w:p>
    <w:p w:rsidR="00AF16ED" w:rsidRPr="00E01A27" w:rsidRDefault="00AF16ED" w:rsidP="00306352">
      <w:pPr>
        <w:pStyle w:val="Texte"/>
        <w:rPr>
          <w:highlight w:val="yellow"/>
        </w:rPr>
      </w:pPr>
    </w:p>
    <w:p w:rsidR="00F72139" w:rsidRPr="002C69E4" w:rsidRDefault="00F72139" w:rsidP="008B64D5">
      <w:pPr>
        <w:pStyle w:val="11"/>
        <w:numPr>
          <w:ilvl w:val="1"/>
          <w:numId w:val="23"/>
        </w:numPr>
      </w:pPr>
      <w:bookmarkStart w:id="21" w:name="_Toc511975020"/>
      <w:bookmarkStart w:id="22" w:name="_Toc95299482"/>
      <w:r w:rsidRPr="002C69E4">
        <w:t>Variantes</w:t>
      </w:r>
      <w:bookmarkEnd w:id="21"/>
      <w:bookmarkEnd w:id="22"/>
    </w:p>
    <w:p w:rsidR="00BE19D6" w:rsidRPr="00DD72F6" w:rsidRDefault="00BE19D6" w:rsidP="00306352">
      <w:pPr>
        <w:rPr>
          <w:color w:val="0070C0"/>
          <w:sz w:val="18"/>
        </w:rPr>
      </w:pPr>
      <w:bookmarkStart w:id="23" w:name="_Hlk510530250"/>
    </w:p>
    <w:p w:rsidR="00BE19D6" w:rsidRPr="00BF2433" w:rsidRDefault="00BE19D6" w:rsidP="00306352">
      <w:r w:rsidRPr="00BF2433">
        <w:t xml:space="preserve">Les variantes constituent </w:t>
      </w:r>
      <w:r w:rsidRPr="00BF2433">
        <w:rPr>
          <w:iCs/>
        </w:rPr>
        <w:t>« des modifications, à l’initiative des candidats,</w:t>
      </w:r>
      <w:r w:rsidR="007E2756" w:rsidRPr="00BF2433">
        <w:rPr>
          <w:iCs/>
        </w:rPr>
        <w:t xml:space="preserve"> constituant une solution alternative apportant une plus-value à l’offre de base </w:t>
      </w:r>
      <w:r w:rsidRPr="00BF2433">
        <w:rPr>
          <w:iCs/>
        </w:rPr>
        <w:t xml:space="preserve">» (type solution innovante). </w:t>
      </w:r>
    </w:p>
    <w:p w:rsidR="003D49BD" w:rsidRDefault="003D49BD" w:rsidP="008C1CF9">
      <w:pPr>
        <w:overflowPunct w:val="0"/>
        <w:autoSpaceDE w:val="0"/>
        <w:autoSpaceDN w:val="0"/>
        <w:adjustRightInd w:val="0"/>
      </w:pPr>
    </w:p>
    <w:p w:rsidR="00A62046" w:rsidRDefault="008C1CF9" w:rsidP="008C1CF9">
      <w:pPr>
        <w:overflowPunct w:val="0"/>
        <w:autoSpaceDE w:val="0"/>
        <w:autoSpaceDN w:val="0"/>
        <w:adjustRightInd w:val="0"/>
        <w:rPr>
          <w:bCs/>
        </w:rPr>
      </w:pPr>
      <w:r w:rsidRPr="00A3240B">
        <w:t>Conformément aux articles R.2151-8 et R.2151-9 du code de la commande publique:</w:t>
      </w:r>
      <w:r>
        <w:t xml:space="preserve"> </w:t>
      </w:r>
      <w:r w:rsidRPr="00A3240B">
        <w:rPr>
          <w:bCs/>
        </w:rPr>
        <w:t xml:space="preserve">Les variantes </w:t>
      </w:r>
      <w:r w:rsidR="009F6AD6">
        <w:rPr>
          <w:bCs/>
        </w:rPr>
        <w:t xml:space="preserve">ne </w:t>
      </w:r>
      <w:r w:rsidRPr="00A3240B">
        <w:rPr>
          <w:bCs/>
        </w:rPr>
        <w:t>sont</w:t>
      </w:r>
      <w:r w:rsidR="009F6AD6">
        <w:rPr>
          <w:bCs/>
        </w:rPr>
        <w:t xml:space="preserve"> pas </w:t>
      </w:r>
      <w:r w:rsidRPr="00A3240B">
        <w:rPr>
          <w:bCs/>
        </w:rPr>
        <w:t xml:space="preserve"> autorisées</w:t>
      </w:r>
      <w:r w:rsidR="009F6AD6">
        <w:rPr>
          <w:bCs/>
        </w:rPr>
        <w:t>.</w:t>
      </w:r>
    </w:p>
    <w:p w:rsidR="00487170" w:rsidRDefault="00487170" w:rsidP="00487170">
      <w:pPr>
        <w:pStyle w:val="Texte"/>
      </w:pPr>
    </w:p>
    <w:p w:rsidR="00AF16ED" w:rsidRPr="002C69E4" w:rsidRDefault="00F72139" w:rsidP="008B64D5">
      <w:pPr>
        <w:pStyle w:val="11"/>
        <w:numPr>
          <w:ilvl w:val="1"/>
          <w:numId w:val="23"/>
        </w:numPr>
      </w:pPr>
      <w:bookmarkStart w:id="24" w:name="_Toc511975021"/>
      <w:bookmarkStart w:id="25" w:name="_Toc95299483"/>
      <w:bookmarkEnd w:id="23"/>
      <w:r w:rsidRPr="002C69E4">
        <w:t>P</w:t>
      </w:r>
      <w:r w:rsidR="007D0B35" w:rsidRPr="002C69E4">
        <w:t>restations Supplémentaires Eventuelles</w:t>
      </w:r>
      <w:bookmarkEnd w:id="24"/>
      <w:bookmarkEnd w:id="25"/>
    </w:p>
    <w:p w:rsidR="00AF16ED" w:rsidRPr="00AF16ED" w:rsidRDefault="00AF16ED" w:rsidP="00306352">
      <w:pPr>
        <w:pStyle w:val="Texte"/>
      </w:pPr>
    </w:p>
    <w:p w:rsidR="00A769B8" w:rsidRPr="00BF2433" w:rsidRDefault="003751B1" w:rsidP="00306352">
      <w:r w:rsidRPr="00BF2433">
        <w:t xml:space="preserve">Le présent marché </w:t>
      </w:r>
      <w:r w:rsidR="00A769B8" w:rsidRPr="00BF2433">
        <w:t>ne fait pas l’objet de prestations</w:t>
      </w:r>
      <w:r w:rsidR="00526DB9" w:rsidRPr="00BF2433">
        <w:t xml:space="preserve"> supplémentaires</w:t>
      </w:r>
      <w:r w:rsidR="00A769B8" w:rsidRPr="00BF2433">
        <w:t xml:space="preserve"> </w:t>
      </w:r>
      <w:r w:rsidR="005770A9" w:rsidRPr="00BF2433">
        <w:t>éventuelles</w:t>
      </w:r>
      <w:r w:rsidR="00A769B8" w:rsidRPr="00BF2433">
        <w:t>.</w:t>
      </w:r>
    </w:p>
    <w:p w:rsidR="00862C01" w:rsidRDefault="00862C01" w:rsidP="00306352"/>
    <w:p w:rsidR="004D5E03" w:rsidRDefault="004D5E03" w:rsidP="00306352"/>
    <w:p w:rsidR="00106F16" w:rsidRPr="005F0CC3" w:rsidRDefault="00B460DD" w:rsidP="00E85CAB">
      <w:pPr>
        <w:pStyle w:val="ARTICLECCAPCCTP"/>
      </w:pPr>
      <w:bookmarkStart w:id="26" w:name="_Toc34814901"/>
      <w:bookmarkStart w:id="27" w:name="_Toc95299484"/>
      <w:r>
        <w:t xml:space="preserve">Article 4 </w:t>
      </w:r>
      <w:r w:rsidR="00106F16">
        <w:t>Caractéristiques principales</w:t>
      </w:r>
      <w:r w:rsidR="00106F16" w:rsidRPr="005F0CC3">
        <w:t xml:space="preserve"> du marché</w:t>
      </w:r>
      <w:bookmarkEnd w:id="26"/>
      <w:bookmarkEnd w:id="27"/>
    </w:p>
    <w:p w:rsidR="00E03322" w:rsidRDefault="00E03322" w:rsidP="00306352"/>
    <w:p w:rsidR="00E03322" w:rsidRPr="00BF2433" w:rsidRDefault="00B460DD" w:rsidP="008B64D5">
      <w:pPr>
        <w:pStyle w:val="11"/>
      </w:pPr>
      <w:bookmarkStart w:id="28" w:name="_Toc95299485"/>
      <w:r>
        <w:t xml:space="preserve">4.1 </w:t>
      </w:r>
      <w:r w:rsidR="00572998" w:rsidRPr="00BF2433">
        <w:t xml:space="preserve">Forme </w:t>
      </w:r>
      <w:r w:rsidR="00E03322" w:rsidRPr="00BF2433">
        <w:t>du marché</w:t>
      </w:r>
      <w:bookmarkEnd w:id="28"/>
    </w:p>
    <w:p w:rsidR="00755A2F" w:rsidRPr="00BF2433" w:rsidRDefault="00755A2F" w:rsidP="00306352">
      <w:pPr>
        <w:tabs>
          <w:tab w:val="left" w:pos="1134"/>
          <w:tab w:val="left" w:pos="4820"/>
        </w:tabs>
        <w:rPr>
          <w:rFonts w:ascii="Calibri" w:hAnsi="Calibri" w:cs="Arial"/>
        </w:rPr>
      </w:pPr>
    </w:p>
    <w:p w:rsidR="004D5E03" w:rsidRDefault="00755A2F" w:rsidP="00306352">
      <w:pPr>
        <w:numPr>
          <w:ilvl w:val="1"/>
          <w:numId w:val="0"/>
        </w:numPr>
        <w:tabs>
          <w:tab w:val="left" w:pos="1134"/>
          <w:tab w:val="left" w:pos="4820"/>
        </w:tabs>
        <w:contextualSpacing/>
        <w:rPr>
          <w:rFonts w:ascii="Calibri" w:hAnsi="Calibri" w:cs="Arial"/>
        </w:rPr>
      </w:pPr>
      <w:r w:rsidRPr="00BF2433">
        <w:rPr>
          <w:rFonts w:ascii="Calibri" w:hAnsi="Calibri" w:cs="Arial"/>
        </w:rPr>
        <w:t>Il s’agit d’un</w:t>
      </w:r>
      <w:r w:rsidR="00BD283E">
        <w:rPr>
          <w:rFonts w:ascii="Calibri" w:hAnsi="Calibri" w:cs="Arial"/>
        </w:rPr>
        <w:t xml:space="preserve"> accord cadre sous forme de</w:t>
      </w:r>
      <w:r w:rsidRPr="00BF2433">
        <w:rPr>
          <w:rFonts w:ascii="Calibri" w:hAnsi="Calibri" w:cs="Arial"/>
        </w:rPr>
        <w:t xml:space="preserve"> marché public mixte</w:t>
      </w:r>
      <w:r w:rsidR="004D5E03">
        <w:rPr>
          <w:rFonts w:ascii="Calibri" w:hAnsi="Calibri" w:cs="Arial"/>
        </w:rPr>
        <w:t> :</w:t>
      </w:r>
    </w:p>
    <w:p w:rsidR="003D49BD" w:rsidRPr="003D49BD" w:rsidRDefault="003D49BD" w:rsidP="003D49BD">
      <w:pPr>
        <w:pStyle w:val="Paragraphedeliste"/>
        <w:numPr>
          <w:ilvl w:val="0"/>
          <w:numId w:val="20"/>
        </w:numPr>
        <w:spacing w:after="200" w:line="276" w:lineRule="auto"/>
        <w:rPr>
          <w:rFonts w:cstheme="minorHAnsi"/>
        </w:rPr>
      </w:pPr>
      <w:r w:rsidRPr="003D49BD">
        <w:rPr>
          <w:rFonts w:cstheme="minorHAnsi"/>
        </w:rPr>
        <w:t>Une partie ordinaire à titre préventive composée d’une prestation de maintenance, et d’une prestation d’entretien.</w:t>
      </w:r>
    </w:p>
    <w:p w:rsidR="003D49BD" w:rsidRPr="003D49BD" w:rsidRDefault="003D49BD" w:rsidP="003D49BD">
      <w:pPr>
        <w:pStyle w:val="Paragraphedeliste"/>
        <w:numPr>
          <w:ilvl w:val="0"/>
          <w:numId w:val="20"/>
        </w:numPr>
        <w:tabs>
          <w:tab w:val="left" w:pos="1134"/>
          <w:tab w:val="left" w:pos="4820"/>
        </w:tabs>
        <w:rPr>
          <w:rFonts w:cstheme="minorHAnsi"/>
        </w:rPr>
      </w:pPr>
      <w:r w:rsidRPr="003D49BD">
        <w:rPr>
          <w:rFonts w:cstheme="minorHAnsi"/>
        </w:rPr>
        <w:t xml:space="preserve">Une partie exécutée selon les besoins à titre curatifs prenant la forme d’un accord-cadre à bons de commande (prestations à la demande) </w:t>
      </w:r>
    </w:p>
    <w:p w:rsidR="003D49BD" w:rsidRDefault="003D49BD" w:rsidP="003D49BD">
      <w:pPr>
        <w:tabs>
          <w:tab w:val="left" w:pos="1134"/>
          <w:tab w:val="left" w:pos="4820"/>
        </w:tabs>
        <w:rPr>
          <w:rFonts w:ascii="Calibri" w:hAnsi="Calibri" w:cs="Arial"/>
          <w:b/>
          <w:u w:val="single"/>
        </w:rPr>
      </w:pPr>
    </w:p>
    <w:p w:rsidR="00755A2F" w:rsidRPr="003D49BD" w:rsidRDefault="00E815D3" w:rsidP="003D49BD">
      <w:pPr>
        <w:tabs>
          <w:tab w:val="left" w:pos="1134"/>
          <w:tab w:val="left" w:pos="4820"/>
        </w:tabs>
        <w:rPr>
          <w:rFonts w:ascii="Calibri" w:hAnsi="Calibri" w:cs="Arial"/>
        </w:rPr>
      </w:pPr>
      <w:r w:rsidRPr="003D49BD">
        <w:rPr>
          <w:rFonts w:ascii="Calibri" w:hAnsi="Calibri" w:cs="Arial"/>
          <w:b/>
          <w:u w:val="single"/>
        </w:rPr>
        <w:t xml:space="preserve">Dans le cadre d’un prix global et forfaitaire </w:t>
      </w:r>
      <w:r w:rsidR="003D49BD">
        <w:rPr>
          <w:rFonts w:ascii="Calibri" w:hAnsi="Calibri" w:cs="Arial"/>
          <w:b/>
          <w:u w:val="single"/>
        </w:rPr>
        <w:t xml:space="preserve">par semestre et </w:t>
      </w:r>
      <w:r w:rsidRPr="003D49BD">
        <w:rPr>
          <w:rFonts w:ascii="Calibri" w:hAnsi="Calibri" w:cs="Arial"/>
          <w:b/>
          <w:u w:val="single"/>
        </w:rPr>
        <w:t xml:space="preserve">annuel figurant dans l’AE et détaillé dans </w:t>
      </w:r>
      <w:r w:rsidR="00B73646" w:rsidRPr="003D49BD">
        <w:rPr>
          <w:rFonts w:ascii="Calibri" w:hAnsi="Calibri" w:cs="Arial"/>
          <w:b/>
          <w:u w:val="single"/>
        </w:rPr>
        <w:t>l’annexe financière</w:t>
      </w:r>
      <w:r w:rsidRPr="003D49BD">
        <w:rPr>
          <w:rFonts w:ascii="Calibri" w:hAnsi="Calibri" w:cs="Arial"/>
          <w:b/>
        </w:rPr>
        <w:t>,</w:t>
      </w:r>
      <w:r w:rsidRPr="003D49BD">
        <w:rPr>
          <w:rFonts w:ascii="Calibri" w:hAnsi="Calibri" w:cs="Arial"/>
        </w:rPr>
        <w:t xml:space="preserve"> </w:t>
      </w:r>
      <w:r w:rsidR="00755A2F" w:rsidRPr="003D49BD">
        <w:rPr>
          <w:rFonts w:ascii="Calibri" w:hAnsi="Calibri" w:cs="Arial"/>
        </w:rPr>
        <w:t xml:space="preserve"> il est prévu notamment (liste non exhaustive) :</w:t>
      </w:r>
    </w:p>
    <w:p w:rsidR="003643FD" w:rsidRPr="00755A2F" w:rsidRDefault="003643FD" w:rsidP="00306352">
      <w:pPr>
        <w:numPr>
          <w:ilvl w:val="1"/>
          <w:numId w:val="0"/>
        </w:numPr>
        <w:tabs>
          <w:tab w:val="left" w:pos="1134"/>
          <w:tab w:val="left" w:pos="4820"/>
        </w:tabs>
        <w:contextualSpacing/>
        <w:rPr>
          <w:rFonts w:ascii="Calibri" w:hAnsi="Calibri" w:cs="Arial"/>
        </w:rPr>
      </w:pPr>
    </w:p>
    <w:p w:rsidR="007C3B4F" w:rsidRDefault="00E86472" w:rsidP="0076391A">
      <w:pPr>
        <w:pStyle w:val="Paragraphedeliste"/>
        <w:numPr>
          <w:ilvl w:val="0"/>
          <w:numId w:val="16"/>
        </w:numPr>
        <w:tabs>
          <w:tab w:val="left" w:pos="964"/>
        </w:tabs>
        <w:spacing w:before="120"/>
        <w:ind w:left="426" w:hanging="426"/>
      </w:pPr>
      <w:r w:rsidRPr="00E86472">
        <w:rPr>
          <w:rFonts w:ascii="Calibri" w:hAnsi="Calibri" w:cs="Arial"/>
          <w:b/>
        </w:rPr>
        <w:t>Interventions préventives</w:t>
      </w:r>
      <w:r w:rsidR="003D49BD">
        <w:rPr>
          <w:rFonts w:ascii="Calibri" w:hAnsi="Calibri" w:cs="Arial"/>
        </w:rPr>
        <w:t xml:space="preserve"> au rythme de deux fois par an</w:t>
      </w:r>
      <w:r w:rsidR="00BF2433" w:rsidRPr="004B3C8A">
        <w:rPr>
          <w:rFonts w:ascii="Calibri" w:hAnsi="Calibri" w:cs="Arial"/>
        </w:rPr>
        <w:t xml:space="preserve"> </w:t>
      </w:r>
      <w:r w:rsidR="00496077" w:rsidRPr="00CC4062">
        <w:t>comprenant</w:t>
      </w:r>
      <w:r w:rsidR="00BF2433" w:rsidRPr="00CC4062">
        <w:t> </w:t>
      </w:r>
      <w:r w:rsidR="00BF2433" w:rsidRPr="00EA55AA">
        <w:t xml:space="preserve">: </w:t>
      </w:r>
    </w:p>
    <w:p w:rsidR="00102424" w:rsidRPr="00FB2101" w:rsidRDefault="00FB2101" w:rsidP="0076391A">
      <w:pPr>
        <w:pStyle w:val="Paragraphedeliste"/>
        <w:numPr>
          <w:ilvl w:val="0"/>
          <w:numId w:val="18"/>
        </w:numPr>
        <w:autoSpaceDE w:val="0"/>
        <w:autoSpaceDN w:val="0"/>
        <w:spacing w:after="200" w:line="276" w:lineRule="auto"/>
        <w:rPr>
          <w:rFonts w:cstheme="minorHAnsi"/>
          <w:szCs w:val="20"/>
        </w:rPr>
      </w:pPr>
      <w:r>
        <w:rPr>
          <w:rFonts w:cstheme="minorHAnsi"/>
          <w:szCs w:val="20"/>
        </w:rPr>
        <w:t xml:space="preserve">Les </w:t>
      </w:r>
      <w:r w:rsidRPr="00EA55AA">
        <w:rPr>
          <w:rFonts w:cstheme="minorHAnsi"/>
          <w:szCs w:val="20"/>
        </w:rPr>
        <w:t xml:space="preserve"> démarches administratives nécessaires à la réalisation des travaux, amenée et repli du matériel, mise en sécurité de la zone de travail, ouverture et fermeture des tampons,</w:t>
      </w:r>
      <w:r>
        <w:rPr>
          <w:rFonts w:cstheme="minorHAnsi"/>
          <w:szCs w:val="20"/>
        </w:rPr>
        <w:t xml:space="preserve"> </w:t>
      </w:r>
      <w:r w:rsidR="00102424" w:rsidRPr="00FB2101">
        <w:t>Mise en place de la signalisation temporaire réglementaire et accès aux ouvrages,</w:t>
      </w:r>
      <w:r w:rsidRPr="00FB2101">
        <w:rPr>
          <w:rFonts w:cstheme="minorHAnsi"/>
          <w:szCs w:val="20"/>
        </w:rPr>
        <w:t xml:space="preserve"> </w:t>
      </w:r>
    </w:p>
    <w:p w:rsidR="00FB2101" w:rsidRDefault="007C3B4F" w:rsidP="0076391A">
      <w:pPr>
        <w:pStyle w:val="Paragraphedeliste"/>
        <w:numPr>
          <w:ilvl w:val="0"/>
          <w:numId w:val="18"/>
        </w:numPr>
        <w:autoSpaceDE w:val="0"/>
        <w:autoSpaceDN w:val="0"/>
        <w:spacing w:after="200" w:line="276" w:lineRule="auto"/>
        <w:rPr>
          <w:rFonts w:cstheme="minorHAnsi"/>
          <w:szCs w:val="20"/>
        </w:rPr>
      </w:pPr>
      <w:r w:rsidRPr="00EA55AA">
        <w:rPr>
          <w:rFonts w:cstheme="minorHAnsi"/>
          <w:szCs w:val="20"/>
        </w:rPr>
        <w:t xml:space="preserve">curage haute pression par utilisation des buses appropriées, pompage des boues, liquides et matières en suspension, évacuation vers un centre de vidange ou de traitement approprié, </w:t>
      </w:r>
    </w:p>
    <w:p w:rsidR="00FB2101" w:rsidRDefault="007C3B4F" w:rsidP="0076391A">
      <w:pPr>
        <w:pStyle w:val="Paragraphedeliste"/>
        <w:numPr>
          <w:ilvl w:val="0"/>
          <w:numId w:val="18"/>
        </w:numPr>
        <w:autoSpaceDE w:val="0"/>
        <w:autoSpaceDN w:val="0"/>
        <w:spacing w:after="200" w:line="276" w:lineRule="auto"/>
        <w:rPr>
          <w:rFonts w:cstheme="minorHAnsi"/>
          <w:szCs w:val="20"/>
        </w:rPr>
      </w:pPr>
      <w:r w:rsidRPr="00EA55AA">
        <w:rPr>
          <w:rFonts w:cstheme="minorHAnsi"/>
          <w:szCs w:val="20"/>
        </w:rPr>
        <w:t>nettoyage des regards, fourniture des ballons obturateurs de diamètre approprié,</w:t>
      </w:r>
    </w:p>
    <w:p w:rsidR="00FB2101" w:rsidRDefault="007C3B4F" w:rsidP="0076391A">
      <w:pPr>
        <w:pStyle w:val="Paragraphedeliste"/>
        <w:numPr>
          <w:ilvl w:val="0"/>
          <w:numId w:val="18"/>
        </w:numPr>
        <w:autoSpaceDE w:val="0"/>
        <w:autoSpaceDN w:val="0"/>
        <w:spacing w:after="200" w:line="276" w:lineRule="auto"/>
        <w:rPr>
          <w:rFonts w:cstheme="minorHAnsi"/>
          <w:szCs w:val="20"/>
        </w:rPr>
      </w:pPr>
      <w:r w:rsidRPr="00EA55AA">
        <w:rPr>
          <w:rFonts w:cstheme="minorHAnsi"/>
          <w:szCs w:val="20"/>
        </w:rPr>
        <w:t xml:space="preserve"> élaboration du rapport d’intervention,</w:t>
      </w:r>
    </w:p>
    <w:p w:rsidR="00102424" w:rsidRPr="00C92D9E" w:rsidRDefault="00C92D9E" w:rsidP="0076391A">
      <w:pPr>
        <w:pStyle w:val="Paragraphedeliste"/>
        <w:numPr>
          <w:ilvl w:val="0"/>
          <w:numId w:val="18"/>
        </w:numPr>
        <w:autoSpaceDE w:val="0"/>
        <w:autoSpaceDN w:val="0"/>
        <w:spacing w:after="200" w:line="276" w:lineRule="auto"/>
        <w:rPr>
          <w:rFonts w:cstheme="minorHAnsi"/>
          <w:szCs w:val="20"/>
        </w:rPr>
      </w:pPr>
      <w:r w:rsidRPr="00FB2101">
        <w:rPr>
          <w:kern w:val="28"/>
        </w:rPr>
        <w:t>Désinfection</w:t>
      </w:r>
      <w:r w:rsidR="00102424" w:rsidRPr="00FB2101">
        <w:rPr>
          <w:kern w:val="28"/>
        </w:rPr>
        <w:t xml:space="preserve"> et désodorisation et retrait de la signalisation temporaire réglementaire et toutes sujétions</w:t>
      </w:r>
    </w:p>
    <w:p w:rsidR="00C92D9E" w:rsidRPr="008C1CF9" w:rsidRDefault="00C92D9E" w:rsidP="0076391A">
      <w:pPr>
        <w:pStyle w:val="Paragraphedeliste"/>
        <w:numPr>
          <w:ilvl w:val="0"/>
          <w:numId w:val="18"/>
        </w:numPr>
        <w:autoSpaceDE w:val="0"/>
        <w:autoSpaceDN w:val="0"/>
        <w:spacing w:after="200" w:line="276" w:lineRule="auto"/>
        <w:rPr>
          <w:rFonts w:cstheme="minorHAnsi"/>
          <w:szCs w:val="20"/>
        </w:rPr>
      </w:pPr>
      <w:r>
        <w:rPr>
          <w:kern w:val="28"/>
        </w:rPr>
        <w:t>L’hydro curage des réseaux d’eaux usées</w:t>
      </w:r>
    </w:p>
    <w:p w:rsidR="00D13775" w:rsidRPr="00C92D9E" w:rsidRDefault="00D13775" w:rsidP="00D13775">
      <w:pPr>
        <w:pStyle w:val="Paragraphedeliste"/>
        <w:numPr>
          <w:ilvl w:val="0"/>
          <w:numId w:val="18"/>
        </w:numPr>
        <w:autoSpaceDE w:val="0"/>
        <w:autoSpaceDN w:val="0"/>
        <w:spacing w:after="200" w:line="276" w:lineRule="auto"/>
        <w:rPr>
          <w:rFonts w:cstheme="minorHAnsi"/>
          <w:szCs w:val="20"/>
        </w:rPr>
      </w:pPr>
      <w:r w:rsidRPr="00C92D9E">
        <w:rPr>
          <w:kern w:val="28"/>
        </w:rPr>
        <w:t>Les entretiens électromécaniques des pompes de relevage, poste de relevage</w:t>
      </w:r>
      <w:r w:rsidR="00C92D9E" w:rsidRPr="00C92D9E">
        <w:rPr>
          <w:kern w:val="28"/>
        </w:rPr>
        <w:t xml:space="preserve"> (pompes, cuve, flotteurs, coffret électrique</w:t>
      </w:r>
      <w:r w:rsidRPr="00C92D9E">
        <w:rPr>
          <w:kern w:val="28"/>
        </w:rPr>
        <w:t xml:space="preserve"> et le Nettoyage, vidange, Pompage des bacs à </w:t>
      </w:r>
      <w:r w:rsidR="00C92D9E" w:rsidRPr="00C92D9E">
        <w:rPr>
          <w:kern w:val="28"/>
        </w:rPr>
        <w:t>graisse concernent deux</w:t>
      </w:r>
      <w:r w:rsidRPr="00C92D9E">
        <w:rPr>
          <w:kern w:val="28"/>
        </w:rPr>
        <w:t xml:space="preserve"> sites.</w:t>
      </w:r>
    </w:p>
    <w:p w:rsidR="00D13775" w:rsidRPr="00C92D9E" w:rsidRDefault="00D13775" w:rsidP="00D13775">
      <w:pPr>
        <w:pStyle w:val="Paragraphedeliste"/>
        <w:autoSpaceDE w:val="0"/>
        <w:autoSpaceDN w:val="0"/>
        <w:ind w:firstLine="0"/>
        <w:rPr>
          <w:rFonts w:cstheme="minorHAnsi"/>
          <w:szCs w:val="20"/>
        </w:rPr>
      </w:pPr>
      <w:r w:rsidRPr="00C92D9E">
        <w:rPr>
          <w:rFonts w:cstheme="minorHAnsi"/>
          <w:szCs w:val="20"/>
        </w:rPr>
        <w:lastRenderedPageBreak/>
        <w:t xml:space="preserve">En </w:t>
      </w:r>
      <w:r w:rsidR="00C92D9E" w:rsidRPr="00C92D9E">
        <w:rPr>
          <w:rFonts w:cstheme="minorHAnsi"/>
          <w:szCs w:val="20"/>
        </w:rPr>
        <w:t>effet, l’entretien</w:t>
      </w:r>
      <w:r w:rsidRPr="00C92D9E">
        <w:rPr>
          <w:rFonts w:cstheme="minorHAnsi"/>
          <w:szCs w:val="20"/>
        </w:rPr>
        <w:t xml:space="preserve"> des bacs à graisse </w:t>
      </w:r>
      <w:r w:rsidR="00C92D9E" w:rsidRPr="00C92D9E">
        <w:rPr>
          <w:rFonts w:cstheme="minorHAnsi"/>
          <w:szCs w:val="20"/>
          <w:u w:val="single"/>
        </w:rPr>
        <w:t>ne concerne que le site du Château des lauriers</w:t>
      </w:r>
      <w:r w:rsidRPr="00C92D9E">
        <w:rPr>
          <w:rFonts w:cstheme="minorHAnsi"/>
          <w:szCs w:val="20"/>
        </w:rPr>
        <w:t xml:space="preserve"> et l’entretien des postes de relevage et le séparateur hydrocarbure que </w:t>
      </w:r>
      <w:r w:rsidRPr="00C92D9E">
        <w:rPr>
          <w:rFonts w:cstheme="minorHAnsi"/>
          <w:szCs w:val="20"/>
          <w:u w:val="single"/>
        </w:rPr>
        <w:t>le site du CES de Bègles</w:t>
      </w:r>
      <w:r w:rsidRPr="00C92D9E">
        <w:rPr>
          <w:rFonts w:cstheme="minorHAnsi"/>
          <w:szCs w:val="20"/>
        </w:rPr>
        <w:t xml:space="preserve">. </w:t>
      </w:r>
    </w:p>
    <w:p w:rsidR="008C1CF9" w:rsidRPr="008C1CF9" w:rsidRDefault="008C1CF9" w:rsidP="008C1CF9">
      <w:pPr>
        <w:pStyle w:val="Paragraphedeliste"/>
        <w:autoSpaceDE w:val="0"/>
        <w:autoSpaceDN w:val="0"/>
        <w:spacing w:after="200" w:line="276" w:lineRule="auto"/>
        <w:ind w:firstLine="0"/>
        <w:rPr>
          <w:rFonts w:cstheme="minorHAnsi"/>
          <w:szCs w:val="20"/>
        </w:rPr>
      </w:pPr>
    </w:p>
    <w:p w:rsidR="00BF2433" w:rsidRPr="00496077" w:rsidRDefault="00496077" w:rsidP="0076391A">
      <w:pPr>
        <w:pStyle w:val="Paragraphedeliste"/>
        <w:numPr>
          <w:ilvl w:val="0"/>
          <w:numId w:val="16"/>
        </w:numPr>
        <w:tabs>
          <w:tab w:val="left" w:pos="964"/>
        </w:tabs>
        <w:spacing w:before="120"/>
        <w:ind w:left="426" w:hanging="426"/>
        <w:rPr>
          <w:rFonts w:ascii="Calibri" w:hAnsi="Calibri" w:cs="Arial"/>
        </w:rPr>
      </w:pPr>
      <w:r w:rsidRPr="00CC4062">
        <w:rPr>
          <w:rFonts w:ascii="Calibri" w:hAnsi="Calibri" w:cs="Arial"/>
        </w:rPr>
        <w:t xml:space="preserve">Vérifications au rythme </w:t>
      </w:r>
      <w:r w:rsidR="0070484F">
        <w:rPr>
          <w:rFonts w:ascii="Calibri" w:hAnsi="Calibri" w:cs="Arial"/>
        </w:rPr>
        <w:t xml:space="preserve">d’une </w:t>
      </w:r>
      <w:r w:rsidR="00BF2433" w:rsidRPr="00CC4062">
        <w:rPr>
          <w:rFonts w:ascii="Calibri" w:hAnsi="Calibri" w:cs="Arial"/>
        </w:rPr>
        <w:t xml:space="preserve">fois </w:t>
      </w:r>
      <w:r w:rsidR="00BF2433" w:rsidRPr="00496077">
        <w:rPr>
          <w:rFonts w:ascii="Calibri" w:hAnsi="Calibri" w:cs="Arial"/>
        </w:rPr>
        <w:t>par an :</w:t>
      </w:r>
    </w:p>
    <w:p w:rsidR="00BF2433" w:rsidRPr="00BF2433" w:rsidRDefault="00BF2433" w:rsidP="0076391A">
      <w:pPr>
        <w:widowControl w:val="0"/>
        <w:numPr>
          <w:ilvl w:val="0"/>
          <w:numId w:val="19"/>
        </w:numPr>
        <w:tabs>
          <w:tab w:val="left" w:pos="709"/>
        </w:tabs>
        <w:overflowPunct w:val="0"/>
        <w:adjustRightInd w:val="0"/>
        <w:spacing w:before="60"/>
        <w:ind w:left="709"/>
        <w:contextualSpacing/>
        <w:rPr>
          <w:rFonts w:ascii="Calibri" w:eastAsia="Calibri" w:hAnsi="Calibri" w:cs="Calibri"/>
          <w:lang w:eastAsia="en-US"/>
        </w:rPr>
      </w:pPr>
      <w:r w:rsidRPr="00BF2433">
        <w:rPr>
          <w:rFonts w:ascii="Calibri" w:eastAsia="Calibri" w:hAnsi="Calibri" w:cs="Calibri"/>
          <w:lang w:eastAsia="en-US"/>
        </w:rPr>
        <w:t>Vérification de l’écoulement des eaux usées.</w:t>
      </w:r>
    </w:p>
    <w:p w:rsidR="00BF2433" w:rsidRPr="00BF2433" w:rsidRDefault="00BF2433" w:rsidP="0076391A">
      <w:pPr>
        <w:widowControl w:val="0"/>
        <w:numPr>
          <w:ilvl w:val="0"/>
          <w:numId w:val="19"/>
        </w:numPr>
        <w:tabs>
          <w:tab w:val="left" w:pos="709"/>
        </w:tabs>
        <w:overflowPunct w:val="0"/>
        <w:adjustRightInd w:val="0"/>
        <w:spacing w:before="60"/>
        <w:ind w:left="709"/>
        <w:contextualSpacing/>
        <w:rPr>
          <w:rFonts w:ascii="Calibri" w:eastAsia="Calibri" w:hAnsi="Calibri" w:cs="Calibri"/>
          <w:lang w:eastAsia="en-US"/>
        </w:rPr>
      </w:pPr>
      <w:r w:rsidRPr="00BF2433">
        <w:rPr>
          <w:rFonts w:ascii="Calibri" w:eastAsia="Calibri" w:hAnsi="Calibri" w:cs="Calibri"/>
          <w:lang w:eastAsia="en-US"/>
        </w:rPr>
        <w:t>Recommandations et préconisations sur les éventuelles anomalies.</w:t>
      </w:r>
    </w:p>
    <w:p w:rsidR="00BF2433" w:rsidRPr="00BF2433" w:rsidRDefault="00FB2101" w:rsidP="0076391A">
      <w:pPr>
        <w:widowControl w:val="0"/>
        <w:numPr>
          <w:ilvl w:val="0"/>
          <w:numId w:val="19"/>
        </w:numPr>
        <w:tabs>
          <w:tab w:val="left" w:pos="709"/>
        </w:tabs>
        <w:overflowPunct w:val="0"/>
        <w:adjustRightInd w:val="0"/>
        <w:spacing w:after="120"/>
        <w:ind w:left="709"/>
        <w:contextualSpacing/>
        <w:rPr>
          <w:rFonts w:ascii="Calibri" w:eastAsia="Calibri" w:hAnsi="Calibri" w:cs="Calibri"/>
          <w:lang w:eastAsia="en-US"/>
        </w:rPr>
      </w:pPr>
      <w:r>
        <w:rPr>
          <w:rFonts w:ascii="Calibri" w:eastAsia="Calibri" w:hAnsi="Calibri" w:cs="Calibri"/>
          <w:lang w:eastAsia="en-US"/>
        </w:rPr>
        <w:t xml:space="preserve">Vérification, fonctionnement </w:t>
      </w:r>
      <w:r w:rsidR="00BF2433" w:rsidRPr="00BF2433">
        <w:rPr>
          <w:rFonts w:ascii="Calibri" w:eastAsia="Calibri" w:hAnsi="Calibri" w:cs="Calibri"/>
          <w:lang w:eastAsia="en-US"/>
        </w:rPr>
        <w:t>de l’ensemble du réseau.</w:t>
      </w:r>
    </w:p>
    <w:p w:rsidR="00274786" w:rsidRDefault="00274786" w:rsidP="00306352">
      <w:pPr>
        <w:pStyle w:val="Paragraphedeliste"/>
        <w:ind w:left="2138" w:firstLine="0"/>
      </w:pPr>
    </w:p>
    <w:p w:rsidR="00755A2F" w:rsidRDefault="00755A2F" w:rsidP="00306352">
      <w:pPr>
        <w:numPr>
          <w:ilvl w:val="1"/>
          <w:numId w:val="0"/>
        </w:numPr>
        <w:tabs>
          <w:tab w:val="left" w:pos="1134"/>
          <w:tab w:val="left" w:pos="4820"/>
        </w:tabs>
        <w:contextualSpacing/>
        <w:rPr>
          <w:rFonts w:ascii="Calibri" w:hAnsi="Calibri" w:cs="Arial"/>
        </w:rPr>
      </w:pPr>
      <w:r w:rsidRPr="00B63369">
        <w:rPr>
          <w:rFonts w:ascii="Calibri" w:hAnsi="Calibri" w:cs="Arial"/>
          <w:b/>
          <w:u w:val="single"/>
        </w:rPr>
        <w:t>Dans le cadre des prestations à commande</w:t>
      </w:r>
      <w:r w:rsidR="00354174">
        <w:rPr>
          <w:rFonts w:ascii="Calibri" w:hAnsi="Calibri" w:cs="Arial"/>
          <w:b/>
          <w:u w:val="single"/>
        </w:rPr>
        <w:t xml:space="preserve"> figurant dans</w:t>
      </w:r>
      <w:r w:rsidR="00213C82">
        <w:rPr>
          <w:rFonts w:ascii="Calibri" w:hAnsi="Calibri" w:cs="Arial"/>
          <w:b/>
          <w:u w:val="single"/>
        </w:rPr>
        <w:t xml:space="preserve"> </w:t>
      </w:r>
      <w:r w:rsidR="00B73646">
        <w:rPr>
          <w:rFonts w:ascii="Calibri" w:hAnsi="Calibri" w:cs="Arial"/>
          <w:b/>
          <w:u w:val="single"/>
        </w:rPr>
        <w:t xml:space="preserve">l’annexe financière, </w:t>
      </w:r>
      <w:r w:rsidRPr="00755A2F">
        <w:rPr>
          <w:rFonts w:ascii="Calibri" w:hAnsi="Calibri" w:cs="Arial"/>
        </w:rPr>
        <w:t xml:space="preserve"> il sera prévu notamment à la demande (liste non exhaustive) :</w:t>
      </w:r>
    </w:p>
    <w:p w:rsidR="004B3C8A" w:rsidRPr="00755A2F" w:rsidRDefault="004B3C8A" w:rsidP="00306352">
      <w:pPr>
        <w:numPr>
          <w:ilvl w:val="1"/>
          <w:numId w:val="0"/>
        </w:numPr>
        <w:tabs>
          <w:tab w:val="left" w:pos="1134"/>
          <w:tab w:val="left" w:pos="4820"/>
        </w:tabs>
        <w:contextualSpacing/>
        <w:rPr>
          <w:rFonts w:ascii="Calibri" w:hAnsi="Calibri" w:cs="Arial"/>
        </w:rPr>
      </w:pPr>
    </w:p>
    <w:p w:rsidR="004A2AE0" w:rsidRDefault="00BF2433" w:rsidP="00306352">
      <w:r w:rsidRPr="00C92D9E">
        <w:rPr>
          <w:b/>
        </w:rPr>
        <w:t>L’intervention curative</w:t>
      </w:r>
      <w:r w:rsidRPr="00515CA5">
        <w:t xml:space="preserve"> u</w:t>
      </w:r>
      <w:r w:rsidR="005C64F9">
        <w:t>rgente</w:t>
      </w:r>
      <w:r w:rsidR="00B73646">
        <w:t xml:space="preserve"> </w:t>
      </w:r>
      <w:r w:rsidR="005C64F9">
        <w:t>aura pour objet :</w:t>
      </w:r>
    </w:p>
    <w:p w:rsidR="00FB2101" w:rsidRDefault="00FB2101" w:rsidP="00306352"/>
    <w:p w:rsidR="005C64F9" w:rsidRDefault="00C92D9E" w:rsidP="0076391A">
      <w:pPr>
        <w:pStyle w:val="Paragraphedeliste"/>
        <w:numPr>
          <w:ilvl w:val="0"/>
          <w:numId w:val="18"/>
        </w:numPr>
        <w:spacing w:line="276" w:lineRule="auto"/>
        <w:rPr>
          <w:rFonts w:ascii="Calibri" w:eastAsia="Calibri" w:hAnsi="Calibri"/>
        </w:rPr>
      </w:pPr>
      <w:proofErr w:type="gramStart"/>
      <w:r>
        <w:rPr>
          <w:rFonts w:ascii="Calibri" w:eastAsia="Calibri" w:hAnsi="Calibri"/>
        </w:rPr>
        <w:t>le</w:t>
      </w:r>
      <w:proofErr w:type="gramEnd"/>
      <w:r>
        <w:rPr>
          <w:rFonts w:ascii="Calibri" w:eastAsia="Calibri" w:hAnsi="Calibri"/>
        </w:rPr>
        <w:t xml:space="preserve"> curage d’un puit</w:t>
      </w:r>
      <w:r w:rsidR="005C64F9" w:rsidRPr="005C64F9">
        <w:rPr>
          <w:rFonts w:ascii="Calibri" w:eastAsia="Calibri" w:hAnsi="Calibri"/>
        </w:rPr>
        <w:t xml:space="preserve"> perdu, d’une fosse et/ou le débouchage d’une conduite d’eau usée bouchée.</w:t>
      </w:r>
    </w:p>
    <w:p w:rsidR="00C81011" w:rsidRDefault="00C92D9E" w:rsidP="0076391A">
      <w:pPr>
        <w:pStyle w:val="Paragraphedeliste"/>
        <w:numPr>
          <w:ilvl w:val="0"/>
          <w:numId w:val="18"/>
        </w:numPr>
        <w:spacing w:line="276" w:lineRule="auto"/>
        <w:rPr>
          <w:rFonts w:ascii="Calibri" w:eastAsia="Calibri" w:hAnsi="Calibri"/>
        </w:rPr>
      </w:pPr>
      <w:r>
        <w:rPr>
          <w:rFonts w:ascii="Calibri" w:eastAsia="Calibri" w:hAnsi="Calibri"/>
        </w:rPr>
        <w:t>Le débouchage des canalisations eaux usées, intérieur et extérieur des bâtiments</w:t>
      </w:r>
      <w:r w:rsidR="00C81011">
        <w:rPr>
          <w:rFonts w:ascii="Calibri" w:eastAsia="Calibri" w:hAnsi="Calibri"/>
        </w:rPr>
        <w:t xml:space="preserve">. </w:t>
      </w:r>
    </w:p>
    <w:p w:rsidR="00C92D9E" w:rsidRDefault="00C81011" w:rsidP="0076391A">
      <w:pPr>
        <w:pStyle w:val="Paragraphedeliste"/>
        <w:numPr>
          <w:ilvl w:val="0"/>
          <w:numId w:val="18"/>
        </w:numPr>
        <w:spacing w:line="276" w:lineRule="auto"/>
        <w:rPr>
          <w:rFonts w:ascii="Calibri" w:eastAsia="Calibri" w:hAnsi="Calibri"/>
        </w:rPr>
      </w:pPr>
      <w:r>
        <w:rPr>
          <w:rFonts w:ascii="Calibri" w:eastAsia="Calibri" w:hAnsi="Calibri"/>
        </w:rPr>
        <w:t>Intervention électromécanique des pompes de relevage sur le poste CES de Bègles</w:t>
      </w:r>
      <w:r w:rsidR="00C92D9E">
        <w:rPr>
          <w:rFonts w:ascii="Calibri" w:eastAsia="Calibri" w:hAnsi="Calibri"/>
        </w:rPr>
        <w:t xml:space="preserve"> </w:t>
      </w:r>
    </w:p>
    <w:p w:rsidR="00102424" w:rsidRDefault="005C64F9" w:rsidP="0076391A">
      <w:pPr>
        <w:pStyle w:val="Paragraphedeliste"/>
        <w:numPr>
          <w:ilvl w:val="0"/>
          <w:numId w:val="18"/>
        </w:numPr>
        <w:spacing w:line="276" w:lineRule="auto"/>
        <w:rPr>
          <w:rFonts w:ascii="Calibri" w:eastAsia="Calibri" w:hAnsi="Calibri"/>
        </w:rPr>
      </w:pPr>
      <w:r w:rsidRPr="005C64F9">
        <w:rPr>
          <w:rFonts w:ascii="Calibri" w:hAnsi="Calibri"/>
        </w:rPr>
        <w:t xml:space="preserve"> </w:t>
      </w:r>
      <w:proofErr w:type="gramStart"/>
      <w:r w:rsidRPr="005C64F9">
        <w:rPr>
          <w:rFonts w:ascii="Calibri" w:hAnsi="Calibri"/>
        </w:rPr>
        <w:t>le</w:t>
      </w:r>
      <w:proofErr w:type="gramEnd"/>
      <w:r w:rsidRPr="005C64F9">
        <w:rPr>
          <w:rFonts w:ascii="Calibri" w:hAnsi="Calibri"/>
        </w:rPr>
        <w:t xml:space="preserve"> Pompage et débouchage de réseaux, de regards, de bacs à graisse, de fosses</w:t>
      </w:r>
      <w:r w:rsidRPr="005C64F9">
        <w:rPr>
          <w:rFonts w:ascii="Calibri" w:eastAsia="Calibri" w:hAnsi="Calibri"/>
        </w:rPr>
        <w:t xml:space="preserve"> permettant de retirer un bouchon formé à l’intérieur du système d’évacuation des eaux usées grâce à un système de furet spécifique permettant de retirer les résidus, saletés et autres détritus ; pompe et nettoyage des regards hydro-curage du réseau ; jet à haute pression. </w:t>
      </w:r>
    </w:p>
    <w:p w:rsidR="00102424" w:rsidRPr="00102424" w:rsidRDefault="005C64F9" w:rsidP="0076391A">
      <w:pPr>
        <w:pStyle w:val="Paragraphedeliste"/>
        <w:numPr>
          <w:ilvl w:val="0"/>
          <w:numId w:val="18"/>
        </w:numPr>
        <w:spacing w:line="276" w:lineRule="auto"/>
        <w:rPr>
          <w:rFonts w:ascii="Calibri" w:eastAsia="Calibri" w:hAnsi="Calibri"/>
        </w:rPr>
      </w:pPr>
      <w:r w:rsidRPr="00102424">
        <w:rPr>
          <w:rFonts w:ascii="Calibri" w:hAnsi="Calibri"/>
        </w:rPr>
        <w:t>Les démarches administratives nécessaires à la réalisation des travaux, amenée sur place du matériel et personnel nécessaires,</w:t>
      </w:r>
    </w:p>
    <w:p w:rsidR="00102424" w:rsidRPr="00102424" w:rsidRDefault="005C64F9" w:rsidP="0076391A">
      <w:pPr>
        <w:pStyle w:val="Paragraphedeliste"/>
        <w:numPr>
          <w:ilvl w:val="0"/>
          <w:numId w:val="18"/>
        </w:numPr>
        <w:spacing w:line="276" w:lineRule="auto"/>
        <w:rPr>
          <w:rFonts w:ascii="Calibri" w:eastAsia="Calibri" w:hAnsi="Calibri"/>
        </w:rPr>
      </w:pPr>
      <w:r w:rsidRPr="00102424">
        <w:t xml:space="preserve"> Mise en place de la signalisation temporaire réglementaire, ouverture des tampons de visite et accès aux ouvrages, </w:t>
      </w:r>
    </w:p>
    <w:p w:rsidR="005C64F9" w:rsidRDefault="005C64F9" w:rsidP="0076391A">
      <w:pPr>
        <w:widowControl w:val="0"/>
        <w:numPr>
          <w:ilvl w:val="0"/>
          <w:numId w:val="18"/>
        </w:numPr>
        <w:overflowPunct w:val="0"/>
        <w:autoSpaceDE w:val="0"/>
        <w:autoSpaceDN w:val="0"/>
        <w:adjustRightInd w:val="0"/>
        <w:spacing w:line="276" w:lineRule="auto"/>
        <w:contextualSpacing/>
        <w:jc w:val="left"/>
        <w:rPr>
          <w:rFonts w:eastAsiaTheme="minorHAnsi"/>
          <w:szCs w:val="22"/>
          <w:lang w:eastAsia="en-US"/>
        </w:rPr>
      </w:pPr>
      <w:r w:rsidRPr="005C64F9">
        <w:rPr>
          <w:rFonts w:eastAsiaTheme="minorHAnsi"/>
          <w:szCs w:val="22"/>
          <w:lang w:eastAsia="en-US"/>
        </w:rPr>
        <w:t>curage hydrodynamique des collecteurs, branchements et regards, mise en place des ballons obturateurs de diamètres appropriés autant que nécessaires, pompage, évacuation des produits de curage,</w:t>
      </w:r>
    </w:p>
    <w:p w:rsidR="00102424" w:rsidRPr="00102424" w:rsidRDefault="005C64F9" w:rsidP="0076391A">
      <w:pPr>
        <w:widowControl w:val="0"/>
        <w:numPr>
          <w:ilvl w:val="0"/>
          <w:numId w:val="18"/>
        </w:numPr>
        <w:overflowPunct w:val="0"/>
        <w:autoSpaceDE w:val="0"/>
        <w:autoSpaceDN w:val="0"/>
        <w:adjustRightInd w:val="0"/>
        <w:spacing w:line="276" w:lineRule="auto"/>
        <w:contextualSpacing/>
        <w:jc w:val="left"/>
        <w:rPr>
          <w:rFonts w:eastAsiaTheme="minorHAnsi"/>
          <w:szCs w:val="22"/>
          <w:lang w:eastAsia="en-US"/>
        </w:rPr>
      </w:pPr>
      <w:r w:rsidRPr="005C64F9">
        <w:rPr>
          <w:rFonts w:eastAsiaTheme="minorHAnsi"/>
          <w:kern w:val="28"/>
        </w:rPr>
        <w:t xml:space="preserve">Les frais de transport et traitement de ces produits, </w:t>
      </w:r>
    </w:p>
    <w:p w:rsidR="00102424" w:rsidRPr="004B364A" w:rsidRDefault="005C64F9" w:rsidP="004B364A">
      <w:pPr>
        <w:widowControl w:val="0"/>
        <w:numPr>
          <w:ilvl w:val="0"/>
          <w:numId w:val="18"/>
        </w:numPr>
        <w:overflowPunct w:val="0"/>
        <w:autoSpaceDE w:val="0"/>
        <w:autoSpaceDN w:val="0"/>
        <w:adjustRightInd w:val="0"/>
        <w:spacing w:line="276" w:lineRule="auto"/>
        <w:contextualSpacing/>
        <w:jc w:val="left"/>
        <w:rPr>
          <w:rFonts w:eastAsiaTheme="minorHAnsi"/>
          <w:szCs w:val="22"/>
          <w:lang w:eastAsia="en-US"/>
        </w:rPr>
      </w:pPr>
      <w:proofErr w:type="gramStart"/>
      <w:r w:rsidRPr="005C64F9">
        <w:rPr>
          <w:rFonts w:eastAsiaTheme="minorHAnsi"/>
          <w:kern w:val="28"/>
        </w:rPr>
        <w:t>vidange</w:t>
      </w:r>
      <w:proofErr w:type="gramEnd"/>
      <w:r w:rsidRPr="005C64F9">
        <w:rPr>
          <w:rFonts w:eastAsiaTheme="minorHAnsi"/>
          <w:kern w:val="28"/>
        </w:rPr>
        <w:t xml:space="preserve"> des eaux usées pompées, </w:t>
      </w:r>
      <w:r w:rsidRPr="004B364A">
        <w:rPr>
          <w:rFonts w:eastAsiaTheme="minorHAnsi"/>
          <w:kern w:val="28"/>
        </w:rPr>
        <w:t xml:space="preserve">fourniture d'eau nécessaire, nettoyage du chantier y compris décroutage suite aux débordements sur la chaussée, </w:t>
      </w:r>
    </w:p>
    <w:p w:rsidR="00BF2433" w:rsidRPr="005C64F9" w:rsidRDefault="005C64F9" w:rsidP="0076391A">
      <w:pPr>
        <w:widowControl w:val="0"/>
        <w:numPr>
          <w:ilvl w:val="0"/>
          <w:numId w:val="18"/>
        </w:numPr>
        <w:overflowPunct w:val="0"/>
        <w:autoSpaceDE w:val="0"/>
        <w:autoSpaceDN w:val="0"/>
        <w:adjustRightInd w:val="0"/>
        <w:spacing w:line="276" w:lineRule="auto"/>
        <w:contextualSpacing/>
        <w:jc w:val="left"/>
        <w:rPr>
          <w:rFonts w:eastAsiaTheme="minorHAnsi"/>
          <w:szCs w:val="22"/>
          <w:lang w:eastAsia="en-US"/>
        </w:rPr>
      </w:pPr>
      <w:proofErr w:type="gramStart"/>
      <w:r w:rsidRPr="005C64F9">
        <w:rPr>
          <w:rFonts w:eastAsiaTheme="minorHAnsi"/>
          <w:kern w:val="28"/>
        </w:rPr>
        <w:t>désinfection</w:t>
      </w:r>
      <w:proofErr w:type="gramEnd"/>
      <w:r w:rsidRPr="005C64F9">
        <w:rPr>
          <w:rFonts w:eastAsiaTheme="minorHAnsi"/>
          <w:kern w:val="28"/>
        </w:rPr>
        <w:t xml:space="preserve"> et désodorisation et retrait de la signalisation temporaire réglementaire et toutes sujétions</w:t>
      </w:r>
    </w:p>
    <w:p w:rsidR="0070484F" w:rsidRDefault="0070484F" w:rsidP="0070484F">
      <w:pPr>
        <w:ind w:left="360"/>
      </w:pPr>
    </w:p>
    <w:p w:rsidR="0070484F" w:rsidRDefault="0070484F" w:rsidP="0070484F">
      <w:pPr>
        <w:ind w:left="360"/>
      </w:pPr>
    </w:p>
    <w:p w:rsidR="0070484F" w:rsidRDefault="0070484F" w:rsidP="0070484F">
      <w:pPr>
        <w:ind w:left="360"/>
      </w:pPr>
      <w:r w:rsidRPr="00F844A8">
        <w:t xml:space="preserve">Si une canalisation semble bouchée et que l’on n’arrive pas à détecter d’où vient le problème d’écoulement. Engorgement, fissure, racines, </w:t>
      </w:r>
      <w:r w:rsidRPr="0070484F">
        <w:rPr>
          <w:b/>
        </w:rPr>
        <w:t>une caméra d’inspection</w:t>
      </w:r>
      <w:r w:rsidRPr="00F844A8">
        <w:t xml:space="preserve"> peut être nécessaire pour obtenir une réponse rapide des problèmes d’écoulement. De plus, cela permet d’accéder à des conduits difficiles et dégager ce qui est obstrué.</w:t>
      </w:r>
    </w:p>
    <w:p w:rsidR="00E815D3" w:rsidRPr="00E815D3" w:rsidRDefault="00E815D3" w:rsidP="00306352">
      <w:pPr>
        <w:rPr>
          <w:szCs w:val="22"/>
        </w:rPr>
      </w:pPr>
    </w:p>
    <w:p w:rsidR="00735E4A" w:rsidRPr="00E815D3" w:rsidRDefault="00E815D3" w:rsidP="00306352">
      <w:pPr>
        <w:rPr>
          <w:szCs w:val="22"/>
          <w:highlight w:val="yellow"/>
        </w:rPr>
      </w:pPr>
      <w:r w:rsidRPr="00E815D3">
        <w:rPr>
          <w:szCs w:val="22"/>
        </w:rPr>
        <w:t>Ces prestations s’exécutent au fur et à mesure de l’émission de bons de commande, dans les conditions fixées aux articles L.2125-1, R.2162-1 à R.2162-6 et R.2162-13 à R.2162-14 du Code de la commande publique. Elles sont régies par les règles des accords-cadres exécutés à bons de commandes, mono-attributaire</w:t>
      </w:r>
      <w:r>
        <w:rPr>
          <w:szCs w:val="22"/>
        </w:rPr>
        <w:t>.</w:t>
      </w:r>
    </w:p>
    <w:p w:rsidR="00E03322" w:rsidRPr="006A6755" w:rsidRDefault="00E03322" w:rsidP="00306352">
      <w:pPr>
        <w:rPr>
          <w:b/>
          <w:u w:val="single"/>
        </w:rPr>
      </w:pPr>
      <w:r w:rsidRPr="006A6755">
        <w:rPr>
          <w:b/>
        </w:rPr>
        <w:t>Chaque marché</w:t>
      </w:r>
      <w:r w:rsidR="006A6755">
        <w:rPr>
          <w:b/>
        </w:rPr>
        <w:t xml:space="preserve"> </w:t>
      </w:r>
      <w:r w:rsidRPr="006A6755">
        <w:rPr>
          <w:b/>
        </w:rPr>
        <w:t xml:space="preserve">est conclu </w:t>
      </w:r>
      <w:r w:rsidRPr="00745F1F">
        <w:rPr>
          <w:b/>
        </w:rPr>
        <w:t>à obligation de résultat.</w:t>
      </w:r>
      <w:r w:rsidRPr="006A6755">
        <w:rPr>
          <w:b/>
          <w:bCs/>
        </w:rPr>
        <w:t xml:space="preserve"> </w:t>
      </w:r>
      <w:r w:rsidRPr="006A6755">
        <w:rPr>
          <w:b/>
        </w:rPr>
        <w:t xml:space="preserve">Les prestations prévues devront être réalisées régulièrement et intégralement selon les termes définis au contrat. </w:t>
      </w:r>
      <w:r w:rsidRPr="00DB45FE">
        <w:rPr>
          <w:b/>
          <w:u w:val="single"/>
        </w:rPr>
        <w:t>Si les moyens proposés s’avèrent insuffisants, ils devront être augmentés sans aucune incidence financière sur le marché.</w:t>
      </w:r>
    </w:p>
    <w:p w:rsidR="005C64F9" w:rsidRDefault="005C64F9" w:rsidP="005C64F9"/>
    <w:p w:rsidR="005C64F9" w:rsidRDefault="005C64F9" w:rsidP="005C64F9">
      <w:r>
        <w:t xml:space="preserve">Après chaque visite d’entretien préventif ou d’intervention curative, le prestataire remettra un rapport d’intervention complet mentionnant impérativement les points suivants : </w:t>
      </w:r>
    </w:p>
    <w:p w:rsidR="005C64F9" w:rsidRDefault="005C64F9" w:rsidP="0076391A">
      <w:pPr>
        <w:pStyle w:val="Paragraphedeliste"/>
        <w:numPr>
          <w:ilvl w:val="0"/>
          <w:numId w:val="21"/>
        </w:numPr>
        <w:ind w:left="1134"/>
      </w:pPr>
      <w:r>
        <w:t xml:space="preserve">Date et durée d’intervention </w:t>
      </w:r>
    </w:p>
    <w:p w:rsidR="005C64F9" w:rsidRDefault="005C64F9" w:rsidP="0076391A">
      <w:pPr>
        <w:pStyle w:val="Paragraphedeliste"/>
        <w:numPr>
          <w:ilvl w:val="0"/>
          <w:numId w:val="21"/>
        </w:numPr>
        <w:ind w:left="1134"/>
      </w:pPr>
      <w:r>
        <w:t xml:space="preserve">Localisation précise : site et bâtiment </w:t>
      </w:r>
    </w:p>
    <w:p w:rsidR="005C64F9" w:rsidRDefault="005C64F9" w:rsidP="0076391A">
      <w:pPr>
        <w:pStyle w:val="Paragraphedeliste"/>
        <w:numPr>
          <w:ilvl w:val="0"/>
          <w:numId w:val="21"/>
        </w:numPr>
        <w:ind w:left="1134"/>
      </w:pPr>
      <w:r>
        <w:t>Installations traitées (puisards, puits perdus etc.)</w:t>
      </w:r>
    </w:p>
    <w:p w:rsidR="005C64F9" w:rsidRDefault="005C64F9" w:rsidP="0076391A">
      <w:pPr>
        <w:pStyle w:val="Paragraphedeliste"/>
        <w:numPr>
          <w:ilvl w:val="0"/>
          <w:numId w:val="21"/>
        </w:numPr>
        <w:ind w:left="1134"/>
      </w:pPr>
      <w:r>
        <w:t>Les remarques sur l’intervention : volume de boues traitées, dommages, corrosion, encrassements, présences de racines …</w:t>
      </w:r>
    </w:p>
    <w:p w:rsidR="005C64F9" w:rsidRDefault="005C64F9" w:rsidP="005C64F9">
      <w:pPr>
        <w:pStyle w:val="Paragraphedeliste"/>
        <w:ind w:left="2138" w:firstLine="0"/>
      </w:pPr>
    </w:p>
    <w:p w:rsidR="005C64F9" w:rsidRDefault="005C64F9" w:rsidP="005C64F9">
      <w:r>
        <w:t>Le rapport d’intervention devra faire l’objet d’une validation par les Services Techniques de la CPAM pour permettre la facturation.</w:t>
      </w:r>
    </w:p>
    <w:p w:rsidR="00106F16" w:rsidRDefault="00106F16" w:rsidP="00306352"/>
    <w:p w:rsidR="0030559B" w:rsidRPr="000869BC" w:rsidRDefault="0030559B" w:rsidP="008B64D5">
      <w:pPr>
        <w:pStyle w:val="11"/>
        <w:numPr>
          <w:ilvl w:val="1"/>
          <w:numId w:val="31"/>
        </w:numPr>
      </w:pPr>
      <w:bookmarkStart w:id="29" w:name="_Toc14166106"/>
      <w:bookmarkStart w:id="30" w:name="_Toc95299486"/>
      <w:r w:rsidRPr="000869BC">
        <w:lastRenderedPageBreak/>
        <w:t>Durée du marché et délai d’exécution</w:t>
      </w:r>
      <w:bookmarkEnd w:id="29"/>
      <w:bookmarkEnd w:id="30"/>
    </w:p>
    <w:p w:rsidR="0030559B" w:rsidRDefault="0030559B" w:rsidP="00306352"/>
    <w:p w:rsidR="00E94C86" w:rsidRDefault="0030559B" w:rsidP="00306352">
      <w:r w:rsidRPr="00604BCF">
        <w:t>Le marché est passé pour une période ferme d’un (1) an</w:t>
      </w:r>
      <w:r w:rsidR="001A66B2" w:rsidRPr="00604BCF">
        <w:t xml:space="preserve"> à compt</w:t>
      </w:r>
      <w:r w:rsidR="00E94C86">
        <w:t>er de la date de notification.</w:t>
      </w:r>
      <w:r w:rsidR="001A66B2" w:rsidRPr="00604BCF">
        <w:t xml:space="preserve"> Il </w:t>
      </w:r>
      <w:r w:rsidR="00B55E50" w:rsidRPr="00604BCF">
        <w:t xml:space="preserve"> peut être reconduit </w:t>
      </w:r>
      <w:r w:rsidR="006D6010" w:rsidRPr="00604BCF">
        <w:t>deux (2</w:t>
      </w:r>
      <w:r w:rsidRPr="00604BCF">
        <w:t xml:space="preserve">) fois par reconduction tacite pour une durée de </w:t>
      </w:r>
      <w:r w:rsidR="00E94C86">
        <w:t>douze</w:t>
      </w:r>
      <w:r w:rsidRPr="00604BCF">
        <w:t xml:space="preserve"> (</w:t>
      </w:r>
      <w:r w:rsidR="00E94C86">
        <w:t>12</w:t>
      </w:r>
      <w:r w:rsidRPr="00604BCF">
        <w:t xml:space="preserve">) </w:t>
      </w:r>
      <w:r w:rsidR="00E94C86">
        <w:t>mois</w:t>
      </w:r>
      <w:r w:rsidRPr="00604BCF">
        <w:t xml:space="preserve"> à chaque fois. </w:t>
      </w:r>
    </w:p>
    <w:p w:rsidR="0030559B" w:rsidRPr="00A33117" w:rsidRDefault="0030559B" w:rsidP="00306352">
      <w:r w:rsidRPr="00604BCF">
        <w:t xml:space="preserve">La durée totale du marché ne peut excéder </w:t>
      </w:r>
      <w:r w:rsidR="006D6010" w:rsidRPr="00604BCF">
        <w:t>trois (3</w:t>
      </w:r>
      <w:r w:rsidRPr="00604BCF">
        <w:t>) ans.</w:t>
      </w:r>
    </w:p>
    <w:p w:rsidR="0030559B" w:rsidRPr="00A33117" w:rsidRDefault="0030559B" w:rsidP="00306352"/>
    <w:p w:rsidR="0030559B" w:rsidRPr="00A33117" w:rsidRDefault="0030559B" w:rsidP="00306352">
      <w:r w:rsidRPr="00A33117">
        <w:t>En cas de non-reconduction du marché, les deux parties demeurent liées jusqu'à l’achèvement des obligations contractées pendant la période de validité du marché.</w:t>
      </w:r>
    </w:p>
    <w:p w:rsidR="0030559B" w:rsidRPr="00A33117" w:rsidRDefault="0030559B" w:rsidP="00306352"/>
    <w:p w:rsidR="0030559B" w:rsidRPr="00A33117" w:rsidRDefault="001A66B2" w:rsidP="00306352">
      <w:r>
        <w:t xml:space="preserve">En cas de non- </w:t>
      </w:r>
      <w:r w:rsidR="0030559B" w:rsidRPr="00A33117">
        <w:t xml:space="preserve">reconduction, la </w:t>
      </w:r>
      <w:r w:rsidR="0030559B" w:rsidRPr="00101FB1">
        <w:t>décision sera notifiée par le pouvoir adjudicateur au Titulaire par lettre recommandée électronique avec accusé de réception, deux (2) mois</w:t>
      </w:r>
      <w:r w:rsidR="0030559B" w:rsidRPr="00A33117">
        <w:t xml:space="preserve"> avant l’expiration de la période considérée.</w:t>
      </w:r>
    </w:p>
    <w:p w:rsidR="0030559B" w:rsidRPr="00A33117" w:rsidRDefault="0030559B" w:rsidP="00306352"/>
    <w:p w:rsidR="0030559B" w:rsidRPr="00A33117" w:rsidRDefault="0030559B" w:rsidP="00306352">
      <w:r w:rsidRPr="00A33117">
        <w:t xml:space="preserve">Il pourra être résilié dans les </w:t>
      </w:r>
      <w:r w:rsidRPr="00101FB1">
        <w:t xml:space="preserve">conditions mentionnées à l’article </w:t>
      </w:r>
      <w:r w:rsidR="00E94C86">
        <w:t>23</w:t>
      </w:r>
      <w:r w:rsidR="00610833">
        <w:t xml:space="preserve"> </w:t>
      </w:r>
      <w:r w:rsidR="00101FB1" w:rsidRPr="00101FB1">
        <w:t>du présent C.C.P</w:t>
      </w:r>
    </w:p>
    <w:p w:rsidR="0030559B" w:rsidRPr="00A33117" w:rsidRDefault="0030559B" w:rsidP="00306352"/>
    <w:p w:rsidR="0030559B" w:rsidRPr="004A2AE0" w:rsidRDefault="0030559B" w:rsidP="008B64D5">
      <w:pPr>
        <w:pStyle w:val="11"/>
        <w:numPr>
          <w:ilvl w:val="1"/>
          <w:numId w:val="31"/>
        </w:numPr>
      </w:pPr>
      <w:bookmarkStart w:id="31" w:name="_Toc14166107"/>
      <w:bookmarkStart w:id="32" w:name="_Toc95299487"/>
      <w:r w:rsidRPr="004A2AE0">
        <w:t>Lieux d’exécution</w:t>
      </w:r>
      <w:bookmarkEnd w:id="31"/>
      <w:bookmarkEnd w:id="32"/>
    </w:p>
    <w:p w:rsidR="0030559B" w:rsidRPr="004A2AE0" w:rsidRDefault="0030559B" w:rsidP="00306352"/>
    <w:p w:rsidR="0030559B" w:rsidRPr="004A2AE0" w:rsidRDefault="0030559B" w:rsidP="00306352">
      <w:r w:rsidRPr="004A2AE0">
        <w:t>Les prestations, objet du présent marché, seront exécutées dans les locaux des différents sites de l’organisme.</w:t>
      </w:r>
    </w:p>
    <w:p w:rsidR="0030559B" w:rsidRPr="004A2AE0" w:rsidRDefault="0030559B" w:rsidP="00306352"/>
    <w:p w:rsidR="00D34372" w:rsidRPr="004A2AE0" w:rsidRDefault="00722766" w:rsidP="00306352">
      <w:r>
        <w:t>L’annexe n°2</w:t>
      </w:r>
      <w:r w:rsidR="00222D61" w:rsidRPr="004A2AE0">
        <w:t xml:space="preserve"> « Etat des surfaces » au</w:t>
      </w:r>
      <w:r w:rsidR="00101FB1" w:rsidRPr="004A2AE0">
        <w:t xml:space="preserve"> C.C.P</w:t>
      </w:r>
      <w:r w:rsidR="0030559B" w:rsidRPr="004A2AE0">
        <w:t xml:space="preserve"> définit la list</w:t>
      </w:r>
      <w:r w:rsidR="00A21C8E" w:rsidRPr="004A2AE0">
        <w:t>e détaillée des sites concerné</w:t>
      </w:r>
      <w:r w:rsidR="007F565E" w:rsidRPr="004A2AE0">
        <w:t>s</w:t>
      </w:r>
      <w:r w:rsidR="00A21C8E" w:rsidRPr="004A2AE0">
        <w:t>.</w:t>
      </w:r>
    </w:p>
    <w:p w:rsidR="006316F4" w:rsidRDefault="006316F4" w:rsidP="00035145"/>
    <w:p w:rsidR="00B77B7B" w:rsidRDefault="00B77B7B" w:rsidP="00306352">
      <w:pPr>
        <w:pStyle w:val="Texte"/>
      </w:pPr>
    </w:p>
    <w:p w:rsidR="00B77B7B" w:rsidRPr="00E37B15" w:rsidRDefault="00B460DD" w:rsidP="005E650A">
      <w:pPr>
        <w:pStyle w:val="ARTICLECCAPCCTP"/>
        <w:pBdr>
          <w:bottom w:val="single" w:sz="12" w:space="6" w:color="auto"/>
        </w:pBdr>
      </w:pPr>
      <w:bookmarkStart w:id="33" w:name="_Toc511975023"/>
      <w:bookmarkStart w:id="34" w:name="_Toc95299488"/>
      <w:r>
        <w:t xml:space="preserve">Article 5 </w:t>
      </w:r>
      <w:bookmarkEnd w:id="33"/>
      <w:r w:rsidR="005E650A">
        <w:t>Consultation</w:t>
      </w:r>
      <w:bookmarkEnd w:id="34"/>
      <w:r w:rsidR="005E650A">
        <w:t xml:space="preserve"> </w:t>
      </w:r>
    </w:p>
    <w:p w:rsidR="00B77B7B" w:rsidRDefault="00B77B7B" w:rsidP="00306352">
      <w:pPr>
        <w:pStyle w:val="Texte"/>
      </w:pPr>
    </w:p>
    <w:p w:rsidR="00106F16" w:rsidRDefault="00B460DD" w:rsidP="008B64D5">
      <w:pPr>
        <w:pStyle w:val="11"/>
      </w:pPr>
      <w:bookmarkStart w:id="35" w:name="_Toc95299489"/>
      <w:r>
        <w:t xml:space="preserve">5.1 </w:t>
      </w:r>
      <w:r w:rsidR="00C563D7">
        <w:t xml:space="preserve"> </w:t>
      </w:r>
      <w:r w:rsidR="00106F16">
        <w:t>Montant estimatif de l’accord-cadre</w:t>
      </w:r>
      <w:bookmarkEnd w:id="35"/>
    </w:p>
    <w:p w:rsidR="00106F16" w:rsidRDefault="00106F16" w:rsidP="00306352">
      <w:pPr>
        <w:pStyle w:val="Texte"/>
      </w:pPr>
    </w:p>
    <w:p w:rsidR="00106F16" w:rsidRDefault="00106F16" w:rsidP="00306352">
      <w:pPr>
        <w:pStyle w:val="Texte"/>
      </w:pPr>
      <w:r>
        <w:t>Le montant estimatif de l’accord-cadre es</w:t>
      </w:r>
      <w:r w:rsidRPr="004A2AE0">
        <w:t xml:space="preserve">t </w:t>
      </w:r>
      <w:r w:rsidR="00F41BF2">
        <w:t xml:space="preserve">de </w:t>
      </w:r>
      <w:r w:rsidR="004B2FD6">
        <w:t>40</w:t>
      </w:r>
      <w:r w:rsidR="00F41BF2">
        <w:t xml:space="preserve"> </w:t>
      </w:r>
      <w:r w:rsidRPr="004A2AE0">
        <w:t xml:space="preserve">000 € </w:t>
      </w:r>
      <w:r w:rsidR="00035145">
        <w:t>HT</w:t>
      </w:r>
      <w:r w:rsidRPr="004A2AE0">
        <w:t xml:space="preserve"> </w:t>
      </w:r>
      <w:r w:rsidR="00F41BF2">
        <w:t xml:space="preserve"> sur la durée totale du marché.</w:t>
      </w:r>
    </w:p>
    <w:p w:rsidR="00106F16" w:rsidRDefault="00106F16" w:rsidP="00306352">
      <w:pPr>
        <w:pStyle w:val="Texte"/>
      </w:pPr>
    </w:p>
    <w:p w:rsidR="00106F16" w:rsidRDefault="00106F16" w:rsidP="00306352">
      <w:pPr>
        <w:pStyle w:val="Texte"/>
      </w:pPr>
    </w:p>
    <w:p w:rsidR="00B77B7B" w:rsidRPr="00B77B7B" w:rsidRDefault="00B77B7B" w:rsidP="008B64D5">
      <w:pPr>
        <w:pStyle w:val="11"/>
        <w:numPr>
          <w:ilvl w:val="1"/>
          <w:numId w:val="26"/>
        </w:numPr>
      </w:pPr>
      <w:bookmarkStart w:id="36" w:name="_Toc511975024"/>
      <w:bookmarkStart w:id="37" w:name="_Toc95299490"/>
      <w:r>
        <w:t>Désignation de la procédure de passation</w:t>
      </w:r>
      <w:bookmarkEnd w:id="36"/>
      <w:bookmarkEnd w:id="37"/>
    </w:p>
    <w:p w:rsidR="00BE597D" w:rsidRDefault="00BE597D" w:rsidP="00306352">
      <w:pPr>
        <w:pStyle w:val="Texte"/>
      </w:pPr>
    </w:p>
    <w:p w:rsidR="009A5E7A" w:rsidRDefault="009A5E7A" w:rsidP="00306352">
      <w:pPr>
        <w:pStyle w:val="Texte"/>
      </w:pPr>
      <w:r w:rsidRPr="009A5E7A">
        <w:t xml:space="preserve">La présente consultation est passée selon </w:t>
      </w:r>
      <w:r w:rsidR="00101FB1">
        <w:t xml:space="preserve">une procédure adaptée </w:t>
      </w:r>
      <w:r w:rsidRPr="009A5E7A">
        <w:t xml:space="preserve">en application des articles </w:t>
      </w:r>
      <w:r w:rsidR="00E37EC3">
        <w:t>R.2123</w:t>
      </w:r>
      <w:r w:rsidR="009747FA">
        <w:t>-1</w:t>
      </w:r>
      <w:r w:rsidR="00B63369">
        <w:t>,</w:t>
      </w:r>
      <w:r w:rsidRPr="009A5E7A">
        <w:t xml:space="preserve"> </w:t>
      </w:r>
      <w:r w:rsidR="00E37EC3">
        <w:t>R.2123</w:t>
      </w:r>
      <w:r w:rsidR="0012059D">
        <w:t>-</w:t>
      </w:r>
      <w:r w:rsidR="009747FA">
        <w:t>2</w:t>
      </w:r>
      <w:r w:rsidR="00E37EC3">
        <w:t xml:space="preserve">, </w:t>
      </w:r>
      <w:r w:rsidR="00B63369">
        <w:t xml:space="preserve">et R2123-4 à </w:t>
      </w:r>
      <w:r w:rsidR="00E37EC3">
        <w:t xml:space="preserve"> R2123-7 </w:t>
      </w:r>
      <w:r w:rsidRPr="009A5E7A">
        <w:t xml:space="preserve">du </w:t>
      </w:r>
      <w:r w:rsidR="009747FA" w:rsidRPr="009747FA">
        <w:t>code de la commande publique</w:t>
      </w:r>
      <w:r w:rsidR="00101FB1">
        <w:t>, et de l’a</w:t>
      </w:r>
      <w:r w:rsidRPr="009A5E7A">
        <w:t xml:space="preserve">rticle </w:t>
      </w:r>
      <w:r w:rsidR="00101FB1">
        <w:t>L.2123</w:t>
      </w:r>
      <w:r w:rsidR="009747FA">
        <w:t>-1</w:t>
      </w:r>
      <w:r w:rsidR="00101FB1">
        <w:t xml:space="preserve"> </w:t>
      </w:r>
      <w:r w:rsidRPr="009A5E7A">
        <w:t xml:space="preserve"> </w:t>
      </w:r>
      <w:r w:rsidR="009747FA" w:rsidRPr="009747FA">
        <w:t>du code de la commande publique</w:t>
      </w:r>
      <w:r w:rsidR="009747FA">
        <w:t>,</w:t>
      </w:r>
      <w:r w:rsidRPr="009A5E7A">
        <w:t xml:space="preserve"> et de l’arrêté du 1</w:t>
      </w:r>
      <w:r w:rsidR="003751B1">
        <w:t>9</w:t>
      </w:r>
      <w:r w:rsidRPr="009A5E7A">
        <w:t xml:space="preserve"> </w:t>
      </w:r>
      <w:r w:rsidR="003751B1">
        <w:t>juillet 201</w:t>
      </w:r>
      <w:r w:rsidRPr="009A5E7A">
        <w:t>8 portant règlement sur les marchés passés par les Organismes de Sécurité sociale.</w:t>
      </w:r>
    </w:p>
    <w:p w:rsidR="00BE597D" w:rsidRDefault="00BE597D" w:rsidP="00306352">
      <w:pPr>
        <w:pStyle w:val="Texte"/>
      </w:pPr>
    </w:p>
    <w:p w:rsidR="002F2DBD" w:rsidRDefault="002F2DBD" w:rsidP="00306352">
      <w:pPr>
        <w:pStyle w:val="Texte"/>
      </w:pPr>
    </w:p>
    <w:p w:rsidR="00081D8D" w:rsidRDefault="003460CC" w:rsidP="008B64D5">
      <w:pPr>
        <w:pStyle w:val="11"/>
        <w:numPr>
          <w:ilvl w:val="1"/>
          <w:numId w:val="26"/>
        </w:numPr>
      </w:pPr>
      <w:bookmarkStart w:id="38" w:name="_Toc511975026"/>
      <w:bookmarkStart w:id="39" w:name="_Toc95299491"/>
      <w:r>
        <w:t>Nomenclature CPV</w:t>
      </w:r>
      <w:bookmarkEnd w:id="38"/>
      <w:bookmarkEnd w:id="39"/>
    </w:p>
    <w:p w:rsidR="003460CC" w:rsidRDefault="003460CC" w:rsidP="00306352">
      <w:pPr>
        <w:pStyle w:val="Texte"/>
      </w:pPr>
    </w:p>
    <w:p w:rsidR="003460CC" w:rsidRPr="003460CC" w:rsidRDefault="003460CC" w:rsidP="00306352">
      <w:r w:rsidRPr="003460CC">
        <w:t xml:space="preserve">Les classifications principales et complémentaires conformes au vocabulaire commun des marchés européens (CPV) sont : </w:t>
      </w:r>
    </w:p>
    <w:p w:rsidR="00015AE3" w:rsidRDefault="00015AE3" w:rsidP="00306352"/>
    <w:tbl>
      <w:tblPr>
        <w:tblStyle w:val="Grilledutableau22"/>
        <w:tblW w:w="0" w:type="auto"/>
        <w:tblInd w:w="108" w:type="dxa"/>
        <w:tblLook w:val="04A0" w:firstRow="1" w:lastRow="0" w:firstColumn="1" w:lastColumn="0" w:noHBand="0" w:noVBand="1"/>
      </w:tblPr>
      <w:tblGrid>
        <w:gridCol w:w="2625"/>
        <w:gridCol w:w="1519"/>
        <w:gridCol w:w="5279"/>
      </w:tblGrid>
      <w:tr w:rsidR="00D34372" w:rsidRPr="00674A61" w:rsidTr="00AB5E48">
        <w:trPr>
          <w:trHeight w:val="255"/>
        </w:trPr>
        <w:tc>
          <w:tcPr>
            <w:tcW w:w="2625" w:type="dxa"/>
            <w:tcBorders>
              <w:top w:val="nil"/>
              <w:left w:val="nil"/>
            </w:tcBorders>
            <w:vAlign w:val="center"/>
          </w:tcPr>
          <w:p w:rsidR="00D34372" w:rsidRPr="00300CBB" w:rsidRDefault="00D34372" w:rsidP="00306352">
            <w:pPr>
              <w:jc w:val="both"/>
              <w:rPr>
                <w:rFonts w:asciiTheme="minorHAnsi" w:hAnsiTheme="minorHAnsi"/>
              </w:rPr>
            </w:pPr>
          </w:p>
        </w:tc>
        <w:tc>
          <w:tcPr>
            <w:tcW w:w="1519" w:type="dxa"/>
            <w:vAlign w:val="center"/>
          </w:tcPr>
          <w:p w:rsidR="00D34372" w:rsidRPr="00300CBB" w:rsidRDefault="00D34372" w:rsidP="00306352">
            <w:pPr>
              <w:jc w:val="both"/>
              <w:rPr>
                <w:rFonts w:asciiTheme="minorHAnsi" w:hAnsiTheme="minorHAnsi"/>
              </w:rPr>
            </w:pPr>
            <w:r w:rsidRPr="00300CBB">
              <w:rPr>
                <w:rFonts w:asciiTheme="minorHAnsi" w:hAnsiTheme="minorHAnsi"/>
              </w:rPr>
              <w:t xml:space="preserve">Catégorie </w:t>
            </w:r>
          </w:p>
        </w:tc>
        <w:tc>
          <w:tcPr>
            <w:tcW w:w="5279" w:type="dxa"/>
            <w:vAlign w:val="center"/>
          </w:tcPr>
          <w:p w:rsidR="00D34372" w:rsidRPr="00300CBB" w:rsidRDefault="00D34372" w:rsidP="00306352">
            <w:pPr>
              <w:jc w:val="both"/>
              <w:rPr>
                <w:rFonts w:asciiTheme="minorHAnsi" w:hAnsiTheme="minorHAnsi"/>
              </w:rPr>
            </w:pPr>
            <w:r w:rsidRPr="00300CBB">
              <w:rPr>
                <w:rFonts w:asciiTheme="minorHAnsi" w:hAnsiTheme="minorHAnsi"/>
              </w:rPr>
              <w:t xml:space="preserve">Désignation </w:t>
            </w:r>
          </w:p>
        </w:tc>
      </w:tr>
      <w:tr w:rsidR="00D34372" w:rsidRPr="00674A61" w:rsidTr="00AB5E48">
        <w:trPr>
          <w:trHeight w:val="393"/>
        </w:trPr>
        <w:tc>
          <w:tcPr>
            <w:tcW w:w="2625" w:type="dxa"/>
            <w:vAlign w:val="center"/>
          </w:tcPr>
          <w:p w:rsidR="00D34372" w:rsidRPr="00E815D3" w:rsidRDefault="00D34372" w:rsidP="00306352">
            <w:pPr>
              <w:jc w:val="both"/>
              <w:rPr>
                <w:rFonts w:asciiTheme="minorHAnsi" w:hAnsiTheme="minorHAnsi"/>
              </w:rPr>
            </w:pPr>
            <w:r w:rsidRPr="00E815D3">
              <w:rPr>
                <w:rFonts w:asciiTheme="minorHAnsi" w:hAnsiTheme="minorHAnsi"/>
              </w:rPr>
              <w:t>Objet principal</w:t>
            </w:r>
          </w:p>
        </w:tc>
        <w:tc>
          <w:tcPr>
            <w:tcW w:w="1519" w:type="dxa"/>
            <w:vAlign w:val="center"/>
          </w:tcPr>
          <w:p w:rsidR="00D34372" w:rsidRPr="0035405F" w:rsidRDefault="001A66B2" w:rsidP="00306352">
            <w:pPr>
              <w:jc w:val="both"/>
              <w:rPr>
                <w:rFonts w:asciiTheme="minorHAnsi" w:hAnsiTheme="minorHAnsi"/>
              </w:rPr>
            </w:pPr>
            <w:r w:rsidRPr="0035405F">
              <w:rPr>
                <w:rFonts w:asciiTheme="minorHAnsi" w:hAnsiTheme="minorHAnsi"/>
              </w:rPr>
              <w:t>90480000-5</w:t>
            </w:r>
          </w:p>
        </w:tc>
        <w:tc>
          <w:tcPr>
            <w:tcW w:w="5279" w:type="dxa"/>
            <w:vAlign w:val="center"/>
          </w:tcPr>
          <w:p w:rsidR="00D34372" w:rsidRPr="0035405F" w:rsidRDefault="001A66B2" w:rsidP="00306352">
            <w:pPr>
              <w:jc w:val="both"/>
              <w:rPr>
                <w:rFonts w:asciiTheme="minorHAnsi" w:hAnsiTheme="minorHAnsi"/>
              </w:rPr>
            </w:pPr>
            <w:r w:rsidRPr="0035405F">
              <w:rPr>
                <w:rFonts w:asciiTheme="minorHAnsi" w:hAnsiTheme="minorHAnsi"/>
              </w:rPr>
              <w:t xml:space="preserve">Service de gestion du réseau d’assainissement. </w:t>
            </w:r>
          </w:p>
        </w:tc>
      </w:tr>
      <w:tr w:rsidR="00E815D3" w:rsidRPr="00674A61" w:rsidTr="00AB5E48">
        <w:trPr>
          <w:trHeight w:val="393"/>
        </w:trPr>
        <w:tc>
          <w:tcPr>
            <w:tcW w:w="2625" w:type="dxa"/>
            <w:vAlign w:val="center"/>
          </w:tcPr>
          <w:p w:rsidR="00E815D3" w:rsidRPr="00722766" w:rsidRDefault="00722766" w:rsidP="00306352">
            <w:pPr>
              <w:jc w:val="both"/>
              <w:rPr>
                <w:rFonts w:asciiTheme="minorHAnsi" w:hAnsiTheme="minorHAnsi"/>
              </w:rPr>
            </w:pPr>
            <w:r w:rsidRPr="00722766">
              <w:rPr>
                <w:rFonts w:asciiTheme="minorHAnsi" w:hAnsiTheme="minorHAnsi"/>
              </w:rPr>
              <w:t>Objet supplémentaire</w:t>
            </w:r>
          </w:p>
        </w:tc>
        <w:tc>
          <w:tcPr>
            <w:tcW w:w="1519" w:type="dxa"/>
            <w:vAlign w:val="center"/>
          </w:tcPr>
          <w:p w:rsidR="00E815D3" w:rsidRPr="0035405F" w:rsidRDefault="00E815D3" w:rsidP="00306352">
            <w:pPr>
              <w:jc w:val="both"/>
              <w:rPr>
                <w:rFonts w:asciiTheme="minorHAnsi" w:hAnsiTheme="minorHAnsi"/>
              </w:rPr>
            </w:pPr>
            <w:r w:rsidRPr="0035405F">
              <w:rPr>
                <w:rFonts w:asciiTheme="minorHAnsi" w:hAnsiTheme="minorHAnsi"/>
              </w:rPr>
              <w:t>90470000-2</w:t>
            </w:r>
          </w:p>
        </w:tc>
        <w:tc>
          <w:tcPr>
            <w:tcW w:w="5279" w:type="dxa"/>
            <w:vAlign w:val="center"/>
          </w:tcPr>
          <w:p w:rsidR="00E815D3" w:rsidRPr="0035405F" w:rsidRDefault="00210E62" w:rsidP="00306352">
            <w:pPr>
              <w:jc w:val="both"/>
              <w:rPr>
                <w:rFonts w:asciiTheme="minorHAnsi" w:hAnsiTheme="minorHAnsi"/>
              </w:rPr>
            </w:pPr>
            <w:r>
              <w:rPr>
                <w:rFonts w:asciiTheme="minorHAnsi" w:hAnsiTheme="minorHAnsi"/>
              </w:rPr>
              <w:t xml:space="preserve">Services </w:t>
            </w:r>
            <w:r w:rsidR="00E815D3" w:rsidRPr="0035405F">
              <w:rPr>
                <w:rFonts w:asciiTheme="minorHAnsi" w:hAnsiTheme="minorHAnsi"/>
              </w:rPr>
              <w:t>de curage des égouts.</w:t>
            </w:r>
          </w:p>
        </w:tc>
      </w:tr>
      <w:tr w:rsidR="00E815D3" w:rsidRPr="00674A61" w:rsidTr="00AB5E48">
        <w:trPr>
          <w:trHeight w:val="393"/>
        </w:trPr>
        <w:tc>
          <w:tcPr>
            <w:tcW w:w="2625" w:type="dxa"/>
            <w:vAlign w:val="center"/>
          </w:tcPr>
          <w:p w:rsidR="00E815D3" w:rsidRPr="00722766" w:rsidRDefault="00722766" w:rsidP="00306352">
            <w:pPr>
              <w:jc w:val="both"/>
              <w:rPr>
                <w:rFonts w:asciiTheme="minorHAnsi" w:hAnsiTheme="minorHAnsi"/>
              </w:rPr>
            </w:pPr>
            <w:r w:rsidRPr="00722766">
              <w:rPr>
                <w:rFonts w:asciiTheme="minorHAnsi" w:hAnsiTheme="minorHAnsi"/>
              </w:rPr>
              <w:t xml:space="preserve">Objet supplémentaire </w:t>
            </w:r>
          </w:p>
        </w:tc>
        <w:tc>
          <w:tcPr>
            <w:tcW w:w="1519" w:type="dxa"/>
            <w:vAlign w:val="center"/>
          </w:tcPr>
          <w:p w:rsidR="00E815D3" w:rsidRPr="0035405F" w:rsidRDefault="00E815D3" w:rsidP="00306352">
            <w:pPr>
              <w:jc w:val="both"/>
              <w:rPr>
                <w:rFonts w:asciiTheme="minorHAnsi" w:hAnsiTheme="minorHAnsi"/>
              </w:rPr>
            </w:pPr>
            <w:r w:rsidRPr="0035405F">
              <w:rPr>
                <w:rFonts w:asciiTheme="minorHAnsi" w:hAnsiTheme="minorHAnsi"/>
              </w:rPr>
              <w:t>90460000-9</w:t>
            </w:r>
          </w:p>
        </w:tc>
        <w:tc>
          <w:tcPr>
            <w:tcW w:w="5279" w:type="dxa"/>
            <w:vAlign w:val="center"/>
          </w:tcPr>
          <w:p w:rsidR="00E815D3" w:rsidRPr="0035405F" w:rsidRDefault="00E815D3" w:rsidP="00306352">
            <w:pPr>
              <w:jc w:val="both"/>
              <w:rPr>
                <w:rFonts w:asciiTheme="minorHAnsi" w:hAnsiTheme="minorHAnsi"/>
              </w:rPr>
            </w:pPr>
            <w:r w:rsidRPr="0035405F">
              <w:rPr>
                <w:rFonts w:asciiTheme="minorHAnsi" w:hAnsiTheme="minorHAnsi"/>
              </w:rPr>
              <w:t>Services de vidange de puisards ou de fosse septiques</w:t>
            </w:r>
          </w:p>
        </w:tc>
      </w:tr>
      <w:tr w:rsidR="000D6F4D" w:rsidRPr="00674A61" w:rsidTr="00AB5E48">
        <w:trPr>
          <w:trHeight w:val="393"/>
        </w:trPr>
        <w:tc>
          <w:tcPr>
            <w:tcW w:w="2625" w:type="dxa"/>
            <w:vAlign w:val="center"/>
          </w:tcPr>
          <w:p w:rsidR="000D6F4D" w:rsidRPr="00722766" w:rsidRDefault="00722766" w:rsidP="00306352">
            <w:pPr>
              <w:jc w:val="both"/>
              <w:rPr>
                <w:rFonts w:asciiTheme="minorHAnsi" w:hAnsiTheme="minorHAnsi"/>
              </w:rPr>
            </w:pPr>
            <w:r w:rsidRPr="00722766">
              <w:rPr>
                <w:rFonts w:asciiTheme="minorHAnsi" w:hAnsiTheme="minorHAnsi"/>
              </w:rPr>
              <w:t>Objet supplémentaire</w:t>
            </w:r>
          </w:p>
        </w:tc>
        <w:tc>
          <w:tcPr>
            <w:tcW w:w="1519" w:type="dxa"/>
            <w:vAlign w:val="center"/>
          </w:tcPr>
          <w:p w:rsidR="000D6F4D" w:rsidRPr="0035405F" w:rsidRDefault="000D6F4D" w:rsidP="00306352">
            <w:pPr>
              <w:jc w:val="both"/>
              <w:rPr>
                <w:rFonts w:asciiTheme="minorHAnsi" w:hAnsiTheme="minorHAnsi"/>
              </w:rPr>
            </w:pPr>
            <w:r w:rsidRPr="0035405F">
              <w:rPr>
                <w:rFonts w:asciiTheme="minorHAnsi" w:hAnsiTheme="minorHAnsi"/>
              </w:rPr>
              <w:t>90000000-7</w:t>
            </w:r>
          </w:p>
        </w:tc>
        <w:tc>
          <w:tcPr>
            <w:tcW w:w="5279" w:type="dxa"/>
            <w:vAlign w:val="center"/>
          </w:tcPr>
          <w:p w:rsidR="000D6F4D" w:rsidRPr="0035405F" w:rsidRDefault="000D6F4D" w:rsidP="00306352">
            <w:pPr>
              <w:jc w:val="both"/>
              <w:rPr>
                <w:rFonts w:asciiTheme="minorHAnsi" w:hAnsiTheme="minorHAnsi"/>
              </w:rPr>
            </w:pPr>
            <w:r w:rsidRPr="0035405F">
              <w:rPr>
                <w:rFonts w:asciiTheme="minorHAnsi" w:hAnsiTheme="minorHAnsi"/>
              </w:rPr>
              <w:t>Services d’évacuation des eaux usées et d’élimination des déchets, service d’</w:t>
            </w:r>
            <w:proofErr w:type="spellStart"/>
            <w:r w:rsidRPr="0035405F">
              <w:rPr>
                <w:rFonts w:asciiTheme="minorHAnsi" w:hAnsiTheme="minorHAnsi"/>
              </w:rPr>
              <w:t>hygiénisation</w:t>
            </w:r>
            <w:proofErr w:type="spellEnd"/>
            <w:r w:rsidRPr="0035405F">
              <w:rPr>
                <w:rFonts w:asciiTheme="minorHAnsi" w:hAnsiTheme="minorHAnsi"/>
              </w:rPr>
              <w:t xml:space="preserve"> et services relatifs à l’environnement</w:t>
            </w:r>
          </w:p>
        </w:tc>
      </w:tr>
      <w:tr w:rsidR="000D6F4D" w:rsidRPr="00674A61" w:rsidTr="00673E7B">
        <w:trPr>
          <w:trHeight w:val="524"/>
        </w:trPr>
        <w:tc>
          <w:tcPr>
            <w:tcW w:w="2625" w:type="dxa"/>
            <w:vAlign w:val="center"/>
          </w:tcPr>
          <w:p w:rsidR="000D6F4D" w:rsidRPr="00673E7B" w:rsidRDefault="00722766" w:rsidP="00306352">
            <w:pPr>
              <w:jc w:val="both"/>
              <w:rPr>
                <w:rFonts w:asciiTheme="minorHAnsi" w:hAnsiTheme="minorHAnsi"/>
              </w:rPr>
            </w:pPr>
            <w:r w:rsidRPr="00673E7B">
              <w:rPr>
                <w:rFonts w:asciiTheme="minorHAnsi" w:hAnsiTheme="minorHAnsi"/>
              </w:rPr>
              <w:t xml:space="preserve">Objet supplémentaire </w:t>
            </w:r>
          </w:p>
        </w:tc>
        <w:tc>
          <w:tcPr>
            <w:tcW w:w="1519" w:type="dxa"/>
            <w:vAlign w:val="center"/>
          </w:tcPr>
          <w:p w:rsidR="000D6F4D" w:rsidRPr="00673E7B" w:rsidRDefault="000D6F4D" w:rsidP="00306352">
            <w:pPr>
              <w:jc w:val="both"/>
              <w:rPr>
                <w:rFonts w:asciiTheme="minorHAnsi" w:hAnsiTheme="minorHAnsi"/>
              </w:rPr>
            </w:pPr>
            <w:r w:rsidRPr="00673E7B">
              <w:rPr>
                <w:rFonts w:asciiTheme="minorHAnsi" w:hAnsiTheme="minorHAnsi"/>
              </w:rPr>
              <w:t>90491000-5</w:t>
            </w:r>
          </w:p>
        </w:tc>
        <w:tc>
          <w:tcPr>
            <w:tcW w:w="5279" w:type="dxa"/>
            <w:vAlign w:val="center"/>
          </w:tcPr>
          <w:p w:rsidR="000D6F4D" w:rsidRPr="00673E7B" w:rsidRDefault="000D6F4D" w:rsidP="00306352">
            <w:pPr>
              <w:jc w:val="both"/>
              <w:rPr>
                <w:rFonts w:asciiTheme="minorHAnsi" w:hAnsiTheme="minorHAnsi"/>
              </w:rPr>
            </w:pPr>
            <w:r w:rsidRPr="00673E7B">
              <w:rPr>
                <w:rFonts w:asciiTheme="minorHAnsi" w:hAnsiTheme="minorHAnsi"/>
              </w:rPr>
              <w:t>Services d'inspection des égouts.</w:t>
            </w:r>
          </w:p>
        </w:tc>
      </w:tr>
    </w:tbl>
    <w:p w:rsidR="007203D0" w:rsidRDefault="007203D0" w:rsidP="00306352"/>
    <w:p w:rsidR="00081D8D" w:rsidRDefault="00081D8D" w:rsidP="00306352">
      <w:pPr>
        <w:pStyle w:val="Texte"/>
      </w:pPr>
    </w:p>
    <w:p w:rsidR="00081D8D" w:rsidRPr="005F0CC3" w:rsidRDefault="00B460DD" w:rsidP="00E85CAB">
      <w:pPr>
        <w:pStyle w:val="ARTICLECCAPCCTP"/>
      </w:pPr>
      <w:bookmarkStart w:id="40" w:name="_Toc511975027"/>
      <w:bookmarkStart w:id="41" w:name="_Toc95299492"/>
      <w:r>
        <w:lastRenderedPageBreak/>
        <w:t xml:space="preserve">Article 6 </w:t>
      </w:r>
      <w:r w:rsidR="00030F9B" w:rsidRPr="005F0CC3">
        <w:t>Forme</w:t>
      </w:r>
      <w:r w:rsidR="00754610" w:rsidRPr="005F0CC3">
        <w:t xml:space="preserve"> des candidatures</w:t>
      </w:r>
      <w:bookmarkEnd w:id="40"/>
      <w:bookmarkEnd w:id="41"/>
      <w:r w:rsidR="006C6A13" w:rsidRPr="005F0CC3">
        <w:t xml:space="preserve"> </w:t>
      </w:r>
    </w:p>
    <w:p w:rsidR="00081D8D" w:rsidRDefault="00081D8D" w:rsidP="00306352">
      <w:pPr>
        <w:pStyle w:val="Texte"/>
      </w:pPr>
    </w:p>
    <w:p w:rsidR="00081D8D" w:rsidRPr="00B77B7B" w:rsidRDefault="00B460DD" w:rsidP="008B64D5">
      <w:pPr>
        <w:pStyle w:val="11"/>
      </w:pPr>
      <w:bookmarkStart w:id="42" w:name="_Toc511975028"/>
      <w:bookmarkStart w:id="43" w:name="_Toc95299493"/>
      <w:r>
        <w:t xml:space="preserve">6.1 </w:t>
      </w:r>
      <w:r w:rsidR="00C563D7">
        <w:t xml:space="preserve"> </w:t>
      </w:r>
      <w:r w:rsidR="00754610">
        <w:t>Liberté de la forme des candidatures</w:t>
      </w:r>
      <w:bookmarkEnd w:id="42"/>
      <w:bookmarkEnd w:id="43"/>
    </w:p>
    <w:p w:rsidR="00081D8D" w:rsidRDefault="00081D8D" w:rsidP="00306352">
      <w:pPr>
        <w:pStyle w:val="Texte"/>
      </w:pPr>
    </w:p>
    <w:p w:rsidR="00754610" w:rsidRPr="00754610" w:rsidRDefault="00754610" w:rsidP="00306352">
      <w:pPr>
        <w:pStyle w:val="Texte"/>
      </w:pPr>
      <w:r w:rsidRPr="00754610">
        <w:t xml:space="preserve">Les opérateurs économiques peuvent librement candidater au présent marché sous la forme de leur choix pourvu que, sous cette forme, ils ne soient pas frappés d’un vice rédhibitoire leur interdisant de soumissionner, qu’ils puissent présenter les documents ayant un caractère obligatoire et qu’ils remplissent les conditions de recevabilité en terme de capacités professionnelles, techniques et financières requises par le présent marché. </w:t>
      </w:r>
    </w:p>
    <w:p w:rsidR="00754610" w:rsidRDefault="00754610" w:rsidP="00306352">
      <w:pPr>
        <w:pStyle w:val="Texte"/>
      </w:pPr>
    </w:p>
    <w:p w:rsidR="00754610" w:rsidRDefault="00754610" w:rsidP="00306352">
      <w:pPr>
        <w:pStyle w:val="Texte"/>
      </w:pPr>
      <w:r w:rsidRPr="00754610">
        <w:t>Ainsi, sous cette réserve, sont admises également les candidatures individuelles, de personne</w:t>
      </w:r>
      <w:r w:rsidR="001548B1">
        <w:t>s</w:t>
      </w:r>
      <w:r w:rsidRPr="00754610">
        <w:t xml:space="preserve"> physique</w:t>
      </w:r>
      <w:r w:rsidR="001548B1">
        <w:t>s</w:t>
      </w:r>
      <w:r w:rsidRPr="00754610">
        <w:t xml:space="preserve"> ou morales, et les candidatures groupées au sens de</w:t>
      </w:r>
      <w:r>
        <w:t xml:space="preserve"> l’article</w:t>
      </w:r>
      <w:r w:rsidRPr="00754610">
        <w:t xml:space="preserve"> </w:t>
      </w:r>
      <w:r w:rsidR="006F3B03" w:rsidRPr="006F3B03">
        <w:t>R. 2142-19</w:t>
      </w:r>
      <w:r w:rsidRPr="00754610">
        <w:t xml:space="preserve"> du </w:t>
      </w:r>
      <w:r w:rsidR="00C46043" w:rsidRPr="009747FA">
        <w:t>code de la commande publique</w:t>
      </w:r>
      <w:r w:rsidR="00C46043" w:rsidRPr="00754610">
        <w:t xml:space="preserve"> </w:t>
      </w:r>
      <w:r w:rsidRPr="00754610">
        <w:t>que ce groupement soit composé de personnes physiques, de personnes morales ou des deux catégories qui précèdent.</w:t>
      </w:r>
    </w:p>
    <w:p w:rsidR="00F72E3F" w:rsidRDefault="00F72E3F" w:rsidP="00306352">
      <w:pPr>
        <w:pStyle w:val="Texte"/>
      </w:pPr>
    </w:p>
    <w:p w:rsidR="00625834" w:rsidRPr="00625834" w:rsidRDefault="00625834" w:rsidP="00306352">
      <w:pPr>
        <w:pStyle w:val="Texte"/>
      </w:pPr>
      <w:r w:rsidRPr="00625834">
        <w:t>Toutefois, un même opérateur économique, quel que soit son statut, ne pourra</w:t>
      </w:r>
      <w:r w:rsidR="00A85E98">
        <w:t xml:space="preserve"> candidater pour un même </w:t>
      </w:r>
      <w:r w:rsidRPr="00625834">
        <w:t>marché à la fois en tant que candidat individuel et dans le cadre d’un groupement dont il serait membre.</w:t>
      </w:r>
    </w:p>
    <w:p w:rsidR="00625834" w:rsidRPr="00625834" w:rsidRDefault="00625834" w:rsidP="00306352">
      <w:pPr>
        <w:pStyle w:val="Texte"/>
      </w:pPr>
    </w:p>
    <w:p w:rsidR="00625834" w:rsidRPr="00625834" w:rsidRDefault="00625834" w:rsidP="00306352">
      <w:pPr>
        <w:pStyle w:val="Texte"/>
      </w:pPr>
      <w:r w:rsidRPr="00625834">
        <w:t>Le non-respect de ces prescriptions entraînera le rejet de la totalité des candidatures concernées par cette situation.</w:t>
      </w:r>
    </w:p>
    <w:p w:rsidR="00315789" w:rsidRDefault="00315789" w:rsidP="00306352">
      <w:pPr>
        <w:pStyle w:val="Texte"/>
      </w:pPr>
    </w:p>
    <w:p w:rsidR="00211C51" w:rsidRDefault="00211C51" w:rsidP="008B64D5">
      <w:pPr>
        <w:pStyle w:val="11"/>
        <w:numPr>
          <w:ilvl w:val="1"/>
          <w:numId w:val="27"/>
        </w:numPr>
      </w:pPr>
      <w:bookmarkStart w:id="44" w:name="_Toc511975029"/>
      <w:bookmarkStart w:id="45" w:name="_Toc95299494"/>
      <w:r>
        <w:t>Liberté de la forme juridique du groupement</w:t>
      </w:r>
      <w:bookmarkEnd w:id="44"/>
      <w:bookmarkEnd w:id="45"/>
    </w:p>
    <w:p w:rsidR="00211C51" w:rsidRDefault="00211C51" w:rsidP="00306352">
      <w:pPr>
        <w:pStyle w:val="Texte"/>
      </w:pPr>
    </w:p>
    <w:p w:rsidR="00415C20" w:rsidRPr="00415C20" w:rsidRDefault="00415C20" w:rsidP="00306352">
      <w:pPr>
        <w:pStyle w:val="Texte"/>
      </w:pPr>
      <w:r w:rsidRPr="00415C20">
        <w:t>En cas de groupement, sa forme juridique est au libre choix du groupement :</w:t>
      </w:r>
    </w:p>
    <w:p w:rsidR="00315789" w:rsidRPr="00315789" w:rsidRDefault="00315789" w:rsidP="00306352">
      <w:pPr>
        <w:pStyle w:val="Texte"/>
        <w:numPr>
          <w:ilvl w:val="0"/>
          <w:numId w:val="2"/>
        </w:numPr>
      </w:pPr>
      <w:r w:rsidRPr="00315789">
        <w:t>soit conjoint (lorsque chaque membre du groupement s’engage à exécuter la (ou les) prestation(s) susceptible(s) de lui être confiée(s) dans le marché) ;</w:t>
      </w:r>
    </w:p>
    <w:p w:rsidR="00315789" w:rsidRPr="00315789" w:rsidRDefault="00315789" w:rsidP="00306352">
      <w:pPr>
        <w:pStyle w:val="Texte"/>
        <w:numPr>
          <w:ilvl w:val="0"/>
          <w:numId w:val="2"/>
        </w:numPr>
      </w:pPr>
      <w:r w:rsidRPr="00315789">
        <w:t>soit solidaire (lorsque chaque membre du groupement est engagé pour la totalité du marché).</w:t>
      </w:r>
    </w:p>
    <w:p w:rsidR="00315789" w:rsidRDefault="00315789" w:rsidP="00306352">
      <w:pPr>
        <w:pStyle w:val="Texte"/>
      </w:pPr>
    </w:p>
    <w:p w:rsidR="00315789" w:rsidRDefault="00315789" w:rsidP="00306352">
      <w:pPr>
        <w:pStyle w:val="Texte"/>
      </w:pPr>
      <w:r w:rsidRPr="00315789">
        <w:t xml:space="preserve">Cependant, conformément à l’article </w:t>
      </w:r>
      <w:r w:rsidR="0098220A" w:rsidRPr="0098220A">
        <w:t xml:space="preserve">R. 2142-24 </w:t>
      </w:r>
      <w:r w:rsidRPr="00315789">
        <w:t xml:space="preserve">du </w:t>
      </w:r>
      <w:r w:rsidR="0098220A" w:rsidRPr="0098220A">
        <w:t>code de la commande publique</w:t>
      </w:r>
      <w:r w:rsidRPr="00315789">
        <w:t>, le pouvoir adjudicateur impose qu’</w:t>
      </w:r>
      <w:r w:rsidRPr="00315789">
        <w:rPr>
          <w:b/>
        </w:rPr>
        <w:t xml:space="preserve">en cas de </w:t>
      </w:r>
      <w:r w:rsidRPr="00315789">
        <w:rPr>
          <w:b/>
          <w:bCs/>
        </w:rPr>
        <w:t>groupement conjoint, le mandataire soit solidaire pour l’exécution du marché de chacun des membres du groupement.</w:t>
      </w:r>
      <w:r w:rsidRPr="00315789">
        <w:t xml:space="preserve"> </w:t>
      </w:r>
    </w:p>
    <w:p w:rsidR="00315789" w:rsidRPr="00315789" w:rsidRDefault="00315789" w:rsidP="00306352">
      <w:pPr>
        <w:pStyle w:val="Texte"/>
      </w:pPr>
    </w:p>
    <w:p w:rsidR="00315789" w:rsidRPr="00315789" w:rsidRDefault="00415C20" w:rsidP="00306352">
      <w:pPr>
        <w:pStyle w:val="Texte"/>
      </w:pPr>
      <w:r>
        <w:t xml:space="preserve">Conformément à l’article </w:t>
      </w:r>
      <w:r w:rsidR="00157AA2" w:rsidRPr="00157AA2">
        <w:t xml:space="preserve">R. 2142-21 </w:t>
      </w:r>
      <w:r>
        <w:t xml:space="preserve">du </w:t>
      </w:r>
      <w:r w:rsidR="000C1968">
        <w:t>code de la commande publique</w:t>
      </w:r>
      <w:r>
        <w:t>, i</w:t>
      </w:r>
      <w:r w:rsidR="00315789" w:rsidRPr="00315789">
        <w:t>l est interdit aux soumissionnaires de présenter plusieurs offres en agissant à la fois :</w:t>
      </w:r>
    </w:p>
    <w:p w:rsidR="00315789" w:rsidRPr="00315789" w:rsidRDefault="00315789" w:rsidP="00306352">
      <w:pPr>
        <w:pStyle w:val="Texte"/>
        <w:numPr>
          <w:ilvl w:val="0"/>
          <w:numId w:val="2"/>
        </w:numPr>
      </w:pPr>
      <w:r w:rsidRPr="00315789">
        <w:t xml:space="preserve">En qualité de candidats individuels et de membres d’un ou plusieurs groupements ; </w:t>
      </w:r>
    </w:p>
    <w:p w:rsidR="00315789" w:rsidRPr="00315789" w:rsidRDefault="00315789" w:rsidP="00306352">
      <w:pPr>
        <w:pStyle w:val="Texte"/>
        <w:numPr>
          <w:ilvl w:val="0"/>
          <w:numId w:val="2"/>
        </w:numPr>
      </w:pPr>
      <w:r w:rsidRPr="00315789">
        <w:t xml:space="preserve">En qualité de membres de plusieurs groupements. </w:t>
      </w:r>
    </w:p>
    <w:p w:rsidR="00315789" w:rsidRDefault="00315789" w:rsidP="00306352">
      <w:pPr>
        <w:pStyle w:val="Texte"/>
      </w:pPr>
    </w:p>
    <w:p w:rsidR="00315789" w:rsidRDefault="00315789" w:rsidP="00306352">
      <w:pPr>
        <w:pStyle w:val="Texte"/>
      </w:pPr>
      <w:r>
        <w:t xml:space="preserve">De plus, conformément à l’article </w:t>
      </w:r>
      <w:r w:rsidR="00157AA2" w:rsidRPr="00157AA2">
        <w:t>R. 2142-23</w:t>
      </w:r>
      <w:r w:rsidR="00157AA2">
        <w:t xml:space="preserve"> </w:t>
      </w:r>
      <w:r>
        <w:t xml:space="preserve">du </w:t>
      </w:r>
      <w:r w:rsidR="000C1968">
        <w:t>code de la commande publique</w:t>
      </w:r>
      <w:r>
        <w:t xml:space="preserve">, </w:t>
      </w:r>
      <w:r w:rsidRPr="00315789">
        <w:t>un même opérateur économique ne peut être mandataire de plus d’un groupement pour un même marché.</w:t>
      </w:r>
    </w:p>
    <w:p w:rsidR="00211C51" w:rsidRDefault="00211C51" w:rsidP="00306352">
      <w:pPr>
        <w:pStyle w:val="Texte"/>
      </w:pPr>
    </w:p>
    <w:p w:rsidR="00415C20" w:rsidRPr="00625834" w:rsidRDefault="00745D05" w:rsidP="00306352">
      <w:pPr>
        <w:pStyle w:val="Texte"/>
      </w:pPr>
      <w:r>
        <w:t>C</w:t>
      </w:r>
      <w:r w:rsidR="00415C20" w:rsidRPr="00625834">
        <w:t>haque membre</w:t>
      </w:r>
      <w:r>
        <w:t xml:space="preserve"> du groupement</w:t>
      </w:r>
      <w:r w:rsidR="00415C20" w:rsidRPr="00625834">
        <w:t xml:space="preserve"> doit fournir les d</w:t>
      </w:r>
      <w:r w:rsidR="009D1E42">
        <w:t>ocu</w:t>
      </w:r>
      <w:r w:rsidR="00C51396">
        <w:t xml:space="preserve">ments administratifs exigés </w:t>
      </w:r>
      <w:r w:rsidR="00C51396" w:rsidRPr="00B460DD">
        <w:rPr>
          <w:b/>
        </w:rPr>
        <w:t xml:space="preserve">aux </w:t>
      </w:r>
      <w:r w:rsidR="00415C20" w:rsidRPr="00625834">
        <w:t xml:space="preserve"> présent Règlement de consultation sous peine de l’élimination de l’ensemble du groupement.</w:t>
      </w:r>
    </w:p>
    <w:p w:rsidR="00415C20" w:rsidRDefault="00415C20" w:rsidP="00306352">
      <w:pPr>
        <w:pStyle w:val="Texte"/>
      </w:pPr>
    </w:p>
    <w:p w:rsidR="00937569" w:rsidRDefault="00937569" w:rsidP="00306352">
      <w:pPr>
        <w:pStyle w:val="Texte"/>
      </w:pPr>
    </w:p>
    <w:p w:rsidR="00211C51" w:rsidRPr="00B77B7B" w:rsidRDefault="00211C51" w:rsidP="008B64D5">
      <w:pPr>
        <w:pStyle w:val="11"/>
        <w:numPr>
          <w:ilvl w:val="1"/>
          <w:numId w:val="27"/>
        </w:numPr>
      </w:pPr>
      <w:bookmarkStart w:id="46" w:name="_Toc511975030"/>
      <w:bookmarkStart w:id="47" w:name="_Toc95299495"/>
      <w:r>
        <w:t>Modification dans la composition du groupement en phase de passation</w:t>
      </w:r>
      <w:bookmarkEnd w:id="46"/>
      <w:bookmarkEnd w:id="47"/>
    </w:p>
    <w:p w:rsidR="00315789" w:rsidRDefault="00315789" w:rsidP="00306352">
      <w:pPr>
        <w:pStyle w:val="Texte"/>
      </w:pPr>
    </w:p>
    <w:p w:rsidR="00F127F9" w:rsidRDefault="00211C51" w:rsidP="00306352">
      <w:pPr>
        <w:pStyle w:val="Texte"/>
      </w:pPr>
      <w:r>
        <w:t>Enfin</w:t>
      </w:r>
      <w:r w:rsidR="00315789" w:rsidRPr="00315789">
        <w:t xml:space="preserve">, il est précisé que sans préjudice de l'article </w:t>
      </w:r>
      <w:r w:rsidR="002663B5" w:rsidRPr="002663B5">
        <w:t>L. 2141-13</w:t>
      </w:r>
      <w:r w:rsidR="002663B5">
        <w:t xml:space="preserve"> </w:t>
      </w:r>
      <w:r w:rsidR="002663B5" w:rsidRPr="002663B5">
        <w:t>du code de la commande publique</w:t>
      </w:r>
      <w:r w:rsidR="00315789" w:rsidRPr="00315789">
        <w:t xml:space="preserve">, la composition du groupement ne peut être modifiée entre la date de remise des offres et la date de signature du marché public. </w:t>
      </w:r>
    </w:p>
    <w:p w:rsidR="00F127F9" w:rsidRDefault="00F127F9" w:rsidP="00306352">
      <w:pPr>
        <w:pStyle w:val="Texte"/>
      </w:pPr>
    </w:p>
    <w:p w:rsidR="00F127F9" w:rsidRDefault="00F127F9" w:rsidP="00306352">
      <w:pPr>
        <w:pStyle w:val="Texte"/>
      </w:pPr>
    </w:p>
    <w:p w:rsidR="00315789" w:rsidRDefault="00315789" w:rsidP="00306352">
      <w:pPr>
        <w:pStyle w:val="Texte"/>
      </w:pPr>
      <w:r w:rsidRPr="00315789">
        <w:t>Toutefois, en cas d’opération de restructuration de société, notamment de rachat, de fusion ou d’acquisition ou, si le groupement apporte la preuve qu’un de ses membres se trouve dans l’impossibilité d’accomplir sa tâche pour des raisons qui ne sont pas de son fait, il peut demander à l’acheteur l’autorisation de continuer à participer à la procédure de passation en proposant, le cas échéant, à l’acceptation de l’acheteur, un ou plusieurs nouveaux membres du groupement, sous-traitants ou entreprises liées. L’acheteur se prononce sur cette demande après examen de la capacité de l’ensemble des membres du groupement ainsi transformé et, le cas échéant, des sous-traitants ou entreprises liées présentés à son acceptation, au regard des conditions de participation du présent règlement de la consultation.</w:t>
      </w:r>
    </w:p>
    <w:p w:rsidR="009A5E7A" w:rsidRDefault="009A5E7A" w:rsidP="00306352">
      <w:pPr>
        <w:pStyle w:val="Texte"/>
      </w:pPr>
    </w:p>
    <w:p w:rsidR="00D77005" w:rsidRDefault="00D77005" w:rsidP="00306352">
      <w:pPr>
        <w:pStyle w:val="Texte"/>
      </w:pPr>
    </w:p>
    <w:p w:rsidR="009A5E7A" w:rsidRPr="009A5E7A" w:rsidRDefault="00B460DD" w:rsidP="00E85CAB">
      <w:pPr>
        <w:pStyle w:val="ARTICLECCAPCCTP"/>
      </w:pPr>
      <w:bookmarkStart w:id="48" w:name="_Toc511975031"/>
      <w:bookmarkStart w:id="49" w:name="_Toc95299496"/>
      <w:r>
        <w:lastRenderedPageBreak/>
        <w:t xml:space="preserve">Article 7 </w:t>
      </w:r>
      <w:r w:rsidR="009A5E7A" w:rsidRPr="009A5E7A">
        <w:t>Présentation des candidatures</w:t>
      </w:r>
      <w:bookmarkEnd w:id="48"/>
      <w:bookmarkEnd w:id="49"/>
    </w:p>
    <w:p w:rsidR="009A5E7A" w:rsidRDefault="009A5E7A" w:rsidP="00306352">
      <w:pPr>
        <w:pStyle w:val="Texte"/>
      </w:pPr>
    </w:p>
    <w:p w:rsidR="00D77005" w:rsidRPr="00D77005" w:rsidRDefault="00D77005" w:rsidP="00306352">
      <w:pPr>
        <w:overflowPunct w:val="0"/>
        <w:autoSpaceDE w:val="0"/>
        <w:autoSpaceDN w:val="0"/>
        <w:adjustRightInd w:val="0"/>
        <w:rPr>
          <w:bCs/>
        </w:rPr>
      </w:pPr>
      <w:r w:rsidRPr="00D77005">
        <w:rPr>
          <w:bCs/>
        </w:rPr>
        <w:t xml:space="preserve">Conformément à l’article R.2143-3 du Code de la commande publique </w:t>
      </w:r>
      <w:r w:rsidRPr="00D77005">
        <w:rPr>
          <w:b/>
          <w:bCs/>
          <w:u w:val="single"/>
        </w:rPr>
        <w:t>le candidat produit à l’appui de sa candidature</w:t>
      </w:r>
      <w:r w:rsidRPr="00D77005">
        <w:rPr>
          <w:bCs/>
        </w:rPr>
        <w:t> :</w:t>
      </w:r>
    </w:p>
    <w:p w:rsidR="00D77005" w:rsidRPr="00D77005" w:rsidRDefault="00D77005" w:rsidP="00306352">
      <w:pPr>
        <w:overflowPunct w:val="0"/>
        <w:autoSpaceDE w:val="0"/>
        <w:autoSpaceDN w:val="0"/>
        <w:adjustRightInd w:val="0"/>
        <w:rPr>
          <w:bCs/>
        </w:rPr>
      </w:pPr>
    </w:p>
    <w:p w:rsidR="00D77005" w:rsidRPr="00D77005" w:rsidRDefault="00D77005" w:rsidP="00306352">
      <w:pPr>
        <w:overflowPunct w:val="0"/>
        <w:autoSpaceDE w:val="0"/>
        <w:autoSpaceDN w:val="0"/>
        <w:adjustRightInd w:val="0"/>
        <w:rPr>
          <w:bCs/>
        </w:rPr>
      </w:pPr>
    </w:p>
    <w:p w:rsidR="00D77005" w:rsidRPr="00BD283E" w:rsidRDefault="00D77005" w:rsidP="0076391A">
      <w:pPr>
        <w:numPr>
          <w:ilvl w:val="0"/>
          <w:numId w:val="17"/>
        </w:numPr>
        <w:overflowPunct w:val="0"/>
        <w:autoSpaceDE w:val="0"/>
        <w:autoSpaceDN w:val="0"/>
        <w:adjustRightInd w:val="0"/>
        <w:spacing w:line="288" w:lineRule="auto"/>
        <w:rPr>
          <w:bCs/>
        </w:rPr>
      </w:pPr>
      <w:r w:rsidRPr="00BD283E">
        <w:rPr>
          <w:bCs/>
        </w:rPr>
        <w:t xml:space="preserve">Une </w:t>
      </w:r>
      <w:r w:rsidRPr="00BD283E">
        <w:rPr>
          <w:b/>
          <w:bCs/>
          <w:u w:val="single"/>
        </w:rPr>
        <w:t>déclaration sur l’honneur pour justifier qu’il n’entre dans aucun des cas d’interdiction de soumissionner</w:t>
      </w:r>
      <w:r w:rsidRPr="00BD283E">
        <w:rPr>
          <w:bCs/>
        </w:rPr>
        <w:t xml:space="preserve"> mentionnés aux articles L.2141-1 et suivants du Code de la commande publique (</w:t>
      </w:r>
    </w:p>
    <w:p w:rsidR="00BD283E" w:rsidRPr="00BD283E" w:rsidRDefault="00BD283E" w:rsidP="00BD283E">
      <w:pPr>
        <w:overflowPunct w:val="0"/>
        <w:autoSpaceDE w:val="0"/>
        <w:autoSpaceDN w:val="0"/>
        <w:adjustRightInd w:val="0"/>
        <w:spacing w:line="288" w:lineRule="auto"/>
        <w:ind w:left="720"/>
        <w:rPr>
          <w:bCs/>
        </w:rPr>
      </w:pPr>
    </w:p>
    <w:p w:rsidR="00D77005" w:rsidRPr="00D77005" w:rsidRDefault="00D77005" w:rsidP="0076391A">
      <w:pPr>
        <w:numPr>
          <w:ilvl w:val="0"/>
          <w:numId w:val="17"/>
        </w:numPr>
        <w:overflowPunct w:val="0"/>
        <w:autoSpaceDE w:val="0"/>
        <w:autoSpaceDN w:val="0"/>
        <w:adjustRightInd w:val="0"/>
        <w:spacing w:after="160" w:line="288" w:lineRule="auto"/>
        <w:rPr>
          <w:bCs/>
        </w:rPr>
      </w:pPr>
      <w:r w:rsidRPr="00D77005">
        <w:rPr>
          <w:bCs/>
        </w:rPr>
        <w:t xml:space="preserve">Les </w:t>
      </w:r>
      <w:r w:rsidRPr="00D77005">
        <w:rPr>
          <w:b/>
          <w:bCs/>
          <w:u w:val="single"/>
        </w:rPr>
        <w:t>renseignements demandés par l’acheteur</w:t>
      </w:r>
      <w:r w:rsidRPr="00D77005">
        <w:rPr>
          <w:bCs/>
        </w:rPr>
        <w:t xml:space="preserve"> aux fins de vérification (</w:t>
      </w:r>
      <w:proofErr w:type="spellStart"/>
      <w:r w:rsidRPr="00D77005">
        <w:rPr>
          <w:b/>
          <w:bCs/>
          <w:u w:val="single"/>
        </w:rPr>
        <w:t>cf</w:t>
      </w:r>
      <w:proofErr w:type="spellEnd"/>
      <w:r w:rsidRPr="00D77005">
        <w:rPr>
          <w:bCs/>
          <w:u w:val="single"/>
        </w:rPr>
        <w:t xml:space="preserve"> </w:t>
      </w:r>
      <w:r w:rsidRPr="00D77005">
        <w:rPr>
          <w:b/>
          <w:bCs/>
          <w:u w:val="single"/>
        </w:rPr>
        <w:t xml:space="preserve">article </w:t>
      </w:r>
      <w:r>
        <w:rPr>
          <w:b/>
          <w:bCs/>
          <w:u w:val="single"/>
        </w:rPr>
        <w:t>8</w:t>
      </w:r>
      <w:r w:rsidRPr="00D77005">
        <w:rPr>
          <w:b/>
          <w:bCs/>
          <w:u w:val="single"/>
        </w:rPr>
        <w:t>.3 infra</w:t>
      </w:r>
      <w:r w:rsidRPr="00D77005">
        <w:rPr>
          <w:bCs/>
        </w:rPr>
        <w:t>):</w:t>
      </w:r>
    </w:p>
    <w:p w:rsidR="00D77005" w:rsidRPr="00D77005" w:rsidRDefault="00D77005" w:rsidP="0076391A">
      <w:pPr>
        <w:pStyle w:val="Texte"/>
        <w:numPr>
          <w:ilvl w:val="1"/>
          <w:numId w:val="17"/>
        </w:numPr>
        <w:rPr>
          <w:bCs/>
        </w:rPr>
      </w:pPr>
      <w:r w:rsidRPr="00D77005">
        <w:rPr>
          <w:bCs/>
        </w:rPr>
        <w:t>De l’aptitude à exercer l’activité professionnelle du candidat,</w:t>
      </w:r>
    </w:p>
    <w:p w:rsidR="00D77005" w:rsidRPr="00D77005" w:rsidRDefault="00D77005" w:rsidP="0076391A">
      <w:pPr>
        <w:pStyle w:val="Texte"/>
        <w:numPr>
          <w:ilvl w:val="1"/>
          <w:numId w:val="17"/>
        </w:numPr>
        <w:rPr>
          <w:bCs/>
        </w:rPr>
      </w:pPr>
      <w:r w:rsidRPr="00D77005">
        <w:rPr>
          <w:bCs/>
        </w:rPr>
        <w:t>De la capacité économique et financière du candidat,</w:t>
      </w:r>
    </w:p>
    <w:p w:rsidR="00D77005" w:rsidRPr="00D77005" w:rsidRDefault="00D77005" w:rsidP="0076391A">
      <w:pPr>
        <w:pStyle w:val="Texte"/>
        <w:numPr>
          <w:ilvl w:val="1"/>
          <w:numId w:val="17"/>
        </w:numPr>
        <w:rPr>
          <w:bCs/>
        </w:rPr>
      </w:pPr>
      <w:r w:rsidRPr="00D77005">
        <w:rPr>
          <w:bCs/>
        </w:rPr>
        <w:t>Des capacités techniques et professionnelles du candidat.</w:t>
      </w:r>
    </w:p>
    <w:p w:rsidR="00D77005" w:rsidRDefault="00D77005" w:rsidP="00306352">
      <w:pPr>
        <w:pStyle w:val="Texte"/>
      </w:pPr>
    </w:p>
    <w:p w:rsidR="00D77005" w:rsidRDefault="00D77005" w:rsidP="00306352">
      <w:pPr>
        <w:pStyle w:val="Texte"/>
      </w:pPr>
    </w:p>
    <w:p w:rsidR="009A5E7A" w:rsidRDefault="00B460DD" w:rsidP="008B64D5">
      <w:pPr>
        <w:pStyle w:val="11"/>
      </w:pPr>
      <w:bookmarkStart w:id="50" w:name="_Toc511975032"/>
      <w:bookmarkStart w:id="51" w:name="_Toc95299497"/>
      <w:r>
        <w:t xml:space="preserve">7.1 </w:t>
      </w:r>
      <w:r w:rsidR="009A5E7A">
        <w:t>Interdictions de soumissionner</w:t>
      </w:r>
      <w:bookmarkEnd w:id="50"/>
      <w:bookmarkEnd w:id="51"/>
    </w:p>
    <w:p w:rsidR="009A5E7A" w:rsidRDefault="009A5E7A" w:rsidP="00306352">
      <w:pPr>
        <w:pStyle w:val="Texte"/>
      </w:pPr>
    </w:p>
    <w:p w:rsidR="004D42E6" w:rsidRPr="004D42E6" w:rsidRDefault="004D42E6" w:rsidP="00306352">
      <w:pPr>
        <w:pStyle w:val="Texte"/>
      </w:pPr>
      <w:r w:rsidRPr="004D42E6">
        <w:t xml:space="preserve">Conformément aux dispositions des articles </w:t>
      </w:r>
      <w:r w:rsidR="003E4F75">
        <w:t>L. 2141-1 à L. 2141-6</w:t>
      </w:r>
      <w:r w:rsidRPr="004D42E6">
        <w:t xml:space="preserve"> et </w:t>
      </w:r>
      <w:r w:rsidR="003E4F75">
        <w:t>L. 2141-7 à L. 2141-11</w:t>
      </w:r>
      <w:r w:rsidRPr="004D42E6">
        <w:t xml:space="preserve"> </w:t>
      </w:r>
      <w:r w:rsidR="00D5464C">
        <w:t>du code de la commande publique</w:t>
      </w:r>
      <w:r w:rsidRPr="003E4F75">
        <w:t>,</w:t>
      </w:r>
      <w:r w:rsidRPr="004D42E6">
        <w:t xml:space="preserve"> le candidat ne doit pas être dans un de ces cas d'interdiction de soumissionner.</w:t>
      </w:r>
      <w:r w:rsidR="008816F7">
        <w:t xml:space="preserve"> </w:t>
      </w:r>
      <w:r w:rsidRPr="004D42E6">
        <w:t>Lorsqu'un soumissionnaire se trouve, en cours de procédure, en situation d'interdiction de soumissionner, il en informe, sans délai, l'acheteur. En cas d'interdiction de soumissionner obligatoire, le soumissionnaire est automatiquement exclu de la procédure.</w:t>
      </w:r>
    </w:p>
    <w:p w:rsidR="009A5E7A" w:rsidRDefault="009A5E7A" w:rsidP="00306352">
      <w:pPr>
        <w:pStyle w:val="Texte"/>
      </w:pPr>
    </w:p>
    <w:p w:rsidR="004D42E6" w:rsidRPr="004D42E6" w:rsidRDefault="004D42E6" w:rsidP="008B64D5">
      <w:pPr>
        <w:pStyle w:val="11"/>
        <w:numPr>
          <w:ilvl w:val="1"/>
          <w:numId w:val="28"/>
        </w:numPr>
      </w:pPr>
      <w:bookmarkStart w:id="52" w:name="_Toc511975033"/>
      <w:bookmarkStart w:id="53" w:name="_Toc95299498"/>
      <w:r w:rsidRPr="004D42E6">
        <w:t>Interdictions de soumissionner en cas de groupement d’opérateurs économiques et de sous-traitance</w:t>
      </w:r>
      <w:bookmarkEnd w:id="52"/>
      <w:bookmarkEnd w:id="53"/>
    </w:p>
    <w:p w:rsidR="009A5E7A" w:rsidRDefault="009A5E7A" w:rsidP="00306352">
      <w:pPr>
        <w:pStyle w:val="Texte"/>
      </w:pPr>
    </w:p>
    <w:p w:rsidR="004D42E6" w:rsidRPr="004D42E6" w:rsidRDefault="004D42E6" w:rsidP="00306352">
      <w:pPr>
        <w:pStyle w:val="Texte"/>
      </w:pPr>
      <w:r w:rsidRPr="004D42E6">
        <w:t xml:space="preserve">Lorsque le motif d'exclusion de la procédure de passation concerne un des membres du groupement, l'acheteur exige son remplacement par une personne qui ne fait pas l'objet d'un motif d'exclusion </w:t>
      </w:r>
      <w:r w:rsidRPr="004D42E6">
        <w:rPr>
          <w:b/>
        </w:rPr>
        <w:t>dans un</w:t>
      </w:r>
      <w:r w:rsidRPr="004D42E6">
        <w:t xml:space="preserve"> </w:t>
      </w:r>
      <w:r w:rsidRPr="004D42E6">
        <w:rPr>
          <w:b/>
        </w:rPr>
        <w:t xml:space="preserve">délai de dix jours </w:t>
      </w:r>
      <w:r w:rsidRPr="004D42E6">
        <w:t>à compter de la réception de cette demande par le mandataire du groupement. A défaut, le groupement est exclu de la procédure.</w:t>
      </w:r>
      <w:r w:rsidR="008816F7">
        <w:t xml:space="preserve"> </w:t>
      </w:r>
      <w:r w:rsidRPr="004D42E6">
        <w:t>Les personnes à l'encontre desquelles il existe un motif d'exclusion ne peuvent être acceptées en tant que sous-traitant.</w:t>
      </w:r>
    </w:p>
    <w:p w:rsidR="004D42E6" w:rsidRPr="004D42E6" w:rsidRDefault="004D42E6" w:rsidP="00306352">
      <w:pPr>
        <w:pStyle w:val="Texte"/>
      </w:pPr>
    </w:p>
    <w:p w:rsidR="004D42E6" w:rsidRPr="004D42E6" w:rsidRDefault="004D42E6" w:rsidP="00306352">
      <w:pPr>
        <w:pStyle w:val="Texte"/>
      </w:pPr>
      <w:r w:rsidRPr="004D42E6">
        <w:t xml:space="preserve">Lorsque le sous-traitant à l'encontre duquel il existe un motif d'exclusion est présent au stade de la candidature, l'acheteur exige son remplacement par une personne qui ne fait pas l'objet d'un motif d'exclusion, </w:t>
      </w:r>
      <w:r w:rsidRPr="004D42E6">
        <w:rPr>
          <w:b/>
        </w:rPr>
        <w:t xml:space="preserve">dans un délai de dix jours </w:t>
      </w:r>
      <w:r w:rsidRPr="004D42E6">
        <w:t>à compter de la réception de cette demande par le candidat ou, en cas de groupement, par le mandataire du groupement. A défaut, le candidat ou le groupement est exclu de la</w:t>
      </w:r>
      <w:r>
        <w:t xml:space="preserve"> </w:t>
      </w:r>
      <w:r w:rsidRPr="004D42E6">
        <w:t>procédure.</w:t>
      </w:r>
    </w:p>
    <w:p w:rsidR="009A5E7A" w:rsidRDefault="009A5E7A" w:rsidP="00306352">
      <w:pPr>
        <w:pStyle w:val="Texte"/>
      </w:pPr>
    </w:p>
    <w:p w:rsidR="00D77005" w:rsidRPr="006B654D" w:rsidRDefault="00D77005" w:rsidP="008B64D5">
      <w:pPr>
        <w:pStyle w:val="11"/>
        <w:numPr>
          <w:ilvl w:val="1"/>
          <w:numId w:val="28"/>
        </w:numPr>
      </w:pPr>
      <w:bookmarkStart w:id="54" w:name="_Toc511975034"/>
      <w:bookmarkStart w:id="55" w:name="_Toc34814921"/>
      <w:bookmarkStart w:id="56" w:name="_Toc95299499"/>
      <w:r w:rsidRPr="006B654D">
        <w:t>Renseignements ou documents à fournir</w:t>
      </w:r>
      <w:bookmarkEnd w:id="54"/>
      <w:r>
        <w:t xml:space="preserve"> au titre de la candidature</w:t>
      </w:r>
      <w:bookmarkEnd w:id="55"/>
      <w:bookmarkEnd w:id="56"/>
    </w:p>
    <w:p w:rsidR="004D42E6" w:rsidRDefault="004D42E6" w:rsidP="00306352">
      <w:pPr>
        <w:pStyle w:val="Texte"/>
      </w:pPr>
    </w:p>
    <w:p w:rsidR="004D42E6" w:rsidRPr="004D42E6" w:rsidRDefault="00D5464C" w:rsidP="00306352">
      <w:pPr>
        <w:pStyle w:val="Texte"/>
      </w:pPr>
      <w:r>
        <w:t xml:space="preserve">Conformément aux </w:t>
      </w:r>
      <w:r w:rsidR="004D42E6" w:rsidRPr="004D42E6">
        <w:t>article</w:t>
      </w:r>
      <w:r>
        <w:t>s</w:t>
      </w:r>
      <w:r w:rsidR="004D42E6" w:rsidRPr="004D42E6">
        <w:t xml:space="preserve"> </w:t>
      </w:r>
      <w:r w:rsidR="00127F55">
        <w:t>R. 2143-11 et R. 2143-12</w:t>
      </w:r>
      <w:r w:rsidR="004D42E6" w:rsidRPr="004D42E6">
        <w:t xml:space="preserve"> du</w:t>
      </w:r>
      <w:r w:rsidR="00127F55">
        <w:t xml:space="preserve"> </w:t>
      </w:r>
      <w:r>
        <w:t>code de la commande publique</w:t>
      </w:r>
      <w:r w:rsidR="004D42E6" w:rsidRPr="004D42E6">
        <w:t>, les candidats au marché, quelle que soit la forme de la candidature, individuelle ou groupée, peuvent demander à ce que soient également prises en compte les capacités professionnelles, techniques et financières d’autres opérateurs économiques quelle que soit la nature du lien juridique des liens existants entre ces opérateurs et lui.</w:t>
      </w:r>
    </w:p>
    <w:p w:rsidR="004D42E6" w:rsidRPr="004D42E6" w:rsidRDefault="004D42E6" w:rsidP="00306352">
      <w:pPr>
        <w:pStyle w:val="Texte"/>
      </w:pPr>
    </w:p>
    <w:p w:rsidR="004D42E6" w:rsidRPr="004D42E6" w:rsidRDefault="004D42E6" w:rsidP="00306352">
      <w:pPr>
        <w:pStyle w:val="Texte"/>
      </w:pPr>
      <w:r w:rsidRPr="004D42E6">
        <w:t>Ce dispositif vise notamment, mais non exclusivement, les so</w:t>
      </w:r>
      <w:r w:rsidR="008816F7">
        <w:t>us-traitants dont souhaiterait</w:t>
      </w:r>
      <w:r w:rsidRPr="004D42E6">
        <w:t xml:space="preserve"> se prévaloir un candidat. </w:t>
      </w:r>
    </w:p>
    <w:p w:rsidR="004D42E6" w:rsidRPr="004D42E6" w:rsidRDefault="004D42E6" w:rsidP="00306352">
      <w:pPr>
        <w:pStyle w:val="Texte"/>
      </w:pPr>
    </w:p>
    <w:p w:rsidR="004D42E6" w:rsidRPr="004D42E6" w:rsidRDefault="004D42E6" w:rsidP="00306352">
      <w:pPr>
        <w:pStyle w:val="Texte"/>
      </w:pPr>
      <w:r w:rsidRPr="004D42E6">
        <w:t xml:space="preserve">Toutefois, le candidat doit justifier des capacités de ce ou ces opérateurs économiques et apporter la preuve qu’il en disposera pour l’exécution du marché. Dans ce cadre, il devra préciser le lien juridique qui l’unit à cet opérateur avec lequel le pouvoir adjudicateur n’aura aucun lien contractuel. </w:t>
      </w:r>
    </w:p>
    <w:p w:rsidR="004D42E6" w:rsidRDefault="004D42E6" w:rsidP="00306352">
      <w:pPr>
        <w:pStyle w:val="Texte"/>
      </w:pPr>
    </w:p>
    <w:p w:rsidR="004D42E6" w:rsidRPr="00300CBB" w:rsidRDefault="004D42E6" w:rsidP="008B64D5">
      <w:pPr>
        <w:pStyle w:val="1311"/>
        <w:numPr>
          <w:ilvl w:val="2"/>
          <w:numId w:val="28"/>
        </w:numPr>
      </w:pPr>
      <w:r w:rsidRPr="00300CBB">
        <w:t>Conditions de participation</w:t>
      </w:r>
      <w:r w:rsidR="00D77005">
        <w:t xml:space="preserve"> (candidature)</w:t>
      </w:r>
    </w:p>
    <w:p w:rsidR="004D42E6" w:rsidRDefault="004D42E6" w:rsidP="00306352">
      <w:pPr>
        <w:pStyle w:val="Texte"/>
      </w:pPr>
    </w:p>
    <w:p w:rsidR="00D77005" w:rsidRDefault="00D77005" w:rsidP="00306352">
      <w:pPr>
        <w:pStyle w:val="Texte"/>
        <w:rPr>
          <w:bCs/>
        </w:rPr>
      </w:pPr>
      <w:r>
        <w:rPr>
          <w:bCs/>
        </w:rPr>
        <w:t>Les opérateurs économiques peuvent déposer leur candidature soit sous la forme d’un DUME (Document Unique de Marché Européen) soit de façon standard (dématérialisée).</w:t>
      </w:r>
    </w:p>
    <w:p w:rsidR="00D77005" w:rsidRDefault="002723BD" w:rsidP="00306352">
      <w:pPr>
        <w:pStyle w:val="Texte"/>
      </w:pPr>
      <w:r>
        <w:t xml:space="preserve"> Commission européenne</w:t>
      </w:r>
    </w:p>
    <w:p w:rsidR="004D42E6" w:rsidRDefault="004D42E6" w:rsidP="00306352">
      <w:pPr>
        <w:pStyle w:val="Texte"/>
      </w:pPr>
    </w:p>
    <w:p w:rsidR="004D42E6" w:rsidRPr="00D77005" w:rsidRDefault="00C51E97" w:rsidP="00306352">
      <w:pPr>
        <w:rPr>
          <w:b/>
          <w:i/>
          <w:u w:val="single"/>
        </w:rPr>
      </w:pPr>
      <w:r>
        <w:rPr>
          <w:b/>
          <w:i/>
          <w:u w:val="single"/>
        </w:rPr>
        <w:t xml:space="preserve">7.3.1.1 </w:t>
      </w:r>
      <w:r w:rsidR="004D42E6" w:rsidRPr="00D77005">
        <w:rPr>
          <w:b/>
          <w:i/>
          <w:u w:val="single"/>
        </w:rPr>
        <w:t xml:space="preserve"> – Candidature sous forme de Document Unique de Marché Européen (DUME)</w:t>
      </w:r>
    </w:p>
    <w:p w:rsidR="004D42E6" w:rsidRDefault="004D42E6" w:rsidP="00306352">
      <w:pPr>
        <w:pStyle w:val="Texte"/>
      </w:pPr>
    </w:p>
    <w:p w:rsidR="004D42E6" w:rsidRPr="004D42E6" w:rsidRDefault="004D42E6" w:rsidP="00306352">
      <w:pPr>
        <w:pStyle w:val="Texte"/>
      </w:pPr>
      <w:r w:rsidRPr="004D42E6">
        <w:t>Les candidats peuvent présenter leur candidature sous la forme du DUME en renseignant :</w:t>
      </w:r>
    </w:p>
    <w:p w:rsidR="004D42E6" w:rsidRPr="004D42E6" w:rsidRDefault="004D42E6" w:rsidP="00306352">
      <w:pPr>
        <w:pStyle w:val="Texte"/>
      </w:pPr>
    </w:p>
    <w:p w:rsidR="004D42E6" w:rsidRPr="004D42E6" w:rsidRDefault="004D42E6" w:rsidP="00306352">
      <w:pPr>
        <w:pStyle w:val="Texte"/>
      </w:pPr>
      <w:r w:rsidRPr="004D42E6">
        <w:rPr>
          <w:b/>
        </w:rPr>
        <w:t xml:space="preserve">- Uniquement </w:t>
      </w:r>
      <w:r w:rsidRPr="004D42E6">
        <w:t xml:space="preserve">la partie IV – α </w:t>
      </w:r>
      <w:r w:rsidRPr="004D42E6">
        <w:rPr>
          <w:rFonts w:ascii="Cambria Math" w:hAnsi="Cambria Math" w:cs="Cambria Math"/>
        </w:rPr>
        <w:t>≪</w:t>
      </w:r>
      <w:r w:rsidRPr="004D42E6">
        <w:t xml:space="preserve"> indication globale pour tous les critères de sélection </w:t>
      </w:r>
      <w:r w:rsidRPr="004D42E6">
        <w:rPr>
          <w:rFonts w:ascii="Cambria Math" w:hAnsi="Cambria Math" w:cs="Cambria Math"/>
        </w:rPr>
        <w:t>≫</w:t>
      </w:r>
    </w:p>
    <w:p w:rsidR="004D42E6" w:rsidRPr="004D42E6" w:rsidRDefault="004D42E6" w:rsidP="00306352">
      <w:pPr>
        <w:pStyle w:val="Texte"/>
      </w:pPr>
      <w:r w:rsidRPr="004D42E6">
        <w:t xml:space="preserve">- la partie IV - B 1a) : chiffre d'affaires annuel </w:t>
      </w:r>
      <w:r w:rsidRPr="004D42E6">
        <w:rPr>
          <w:rFonts w:ascii="Cambria Math" w:hAnsi="Cambria Math" w:cs="Cambria Math"/>
        </w:rPr>
        <w:t>≪</w:t>
      </w:r>
      <w:r w:rsidRPr="004D42E6">
        <w:t xml:space="preserve"> général </w:t>
      </w:r>
      <w:r w:rsidRPr="004D42E6">
        <w:rPr>
          <w:rFonts w:ascii="Cambria Math" w:hAnsi="Cambria Math" w:cs="Cambria Math"/>
        </w:rPr>
        <w:t>≫</w:t>
      </w:r>
      <w:r w:rsidRPr="004D42E6">
        <w:t xml:space="preserve"> des </w:t>
      </w:r>
      <w:r w:rsidRPr="004D42E6">
        <w:rPr>
          <w:b/>
          <w:i/>
          <w:iCs/>
        </w:rPr>
        <w:t xml:space="preserve">3 </w:t>
      </w:r>
      <w:r w:rsidRPr="004D42E6">
        <w:t>derniers exercices,</w:t>
      </w:r>
    </w:p>
    <w:p w:rsidR="004D42E6" w:rsidRPr="004D42E6" w:rsidRDefault="004D42E6" w:rsidP="00306352">
      <w:pPr>
        <w:pStyle w:val="Texte"/>
      </w:pPr>
      <w:r w:rsidRPr="004D42E6">
        <w:t xml:space="preserve">- la partie IV - B 1a) : chiffre d'affaires annuel </w:t>
      </w:r>
      <w:r w:rsidRPr="004D42E6">
        <w:rPr>
          <w:rFonts w:ascii="Cambria Math" w:hAnsi="Cambria Math" w:cs="Cambria Math"/>
        </w:rPr>
        <w:t>≪</w:t>
      </w:r>
      <w:r w:rsidRPr="004D42E6">
        <w:t xml:space="preserve"> spécifique </w:t>
      </w:r>
      <w:r w:rsidRPr="004D42E6">
        <w:rPr>
          <w:rFonts w:ascii="Cambria Math" w:hAnsi="Cambria Math" w:cs="Cambria Math"/>
        </w:rPr>
        <w:t>≫</w:t>
      </w:r>
      <w:r w:rsidRPr="004D42E6">
        <w:t xml:space="preserve"> dans le domaine d’activité des </w:t>
      </w:r>
      <w:r w:rsidRPr="004D42E6">
        <w:rPr>
          <w:b/>
          <w:i/>
          <w:iCs/>
        </w:rPr>
        <w:t xml:space="preserve">3 </w:t>
      </w:r>
      <w:r w:rsidRPr="004D42E6">
        <w:t>derniers exercices,</w:t>
      </w:r>
    </w:p>
    <w:p w:rsidR="004D42E6" w:rsidRPr="004D42E6" w:rsidRDefault="004D42E6" w:rsidP="00306352">
      <w:pPr>
        <w:pStyle w:val="Texte"/>
      </w:pPr>
      <w:bookmarkStart w:id="57" w:name="_Hlk509504785"/>
      <w:r w:rsidRPr="004D42E6">
        <w:t xml:space="preserve">- la partie IV - C 1b) : les prestations principales de même nature réalisées sur les </w:t>
      </w:r>
      <w:r w:rsidRPr="004D42E6">
        <w:rPr>
          <w:b/>
          <w:i/>
          <w:iCs/>
        </w:rPr>
        <w:t xml:space="preserve">5 </w:t>
      </w:r>
      <w:r w:rsidRPr="004D42E6">
        <w:t>dernières années. Cette liste peut être complétée par l'expérience datant de plus de 5 ans,</w:t>
      </w:r>
    </w:p>
    <w:bookmarkEnd w:id="57"/>
    <w:p w:rsidR="004D42E6" w:rsidRPr="004D42E6" w:rsidRDefault="004D42E6" w:rsidP="00306352">
      <w:pPr>
        <w:pStyle w:val="Texte"/>
      </w:pPr>
      <w:r w:rsidRPr="004D42E6">
        <w:t xml:space="preserve">- la partie IV - C8) : les effectifs moyens annuels et le nombre de cadres </w:t>
      </w:r>
      <w:r w:rsidRPr="004D42E6">
        <w:rPr>
          <w:b/>
        </w:rPr>
        <w:t>pendant les 3 dernières années</w:t>
      </w:r>
    </w:p>
    <w:p w:rsidR="004D42E6" w:rsidRDefault="004D42E6" w:rsidP="00306352">
      <w:pPr>
        <w:pStyle w:val="Texte"/>
      </w:pPr>
    </w:p>
    <w:p w:rsidR="004D42E6" w:rsidRDefault="004D42E6" w:rsidP="00306352">
      <w:pPr>
        <w:pStyle w:val="Texte"/>
      </w:pPr>
    </w:p>
    <w:p w:rsidR="00326994" w:rsidRPr="00D77005" w:rsidRDefault="00C51E97" w:rsidP="00306352">
      <w:pPr>
        <w:rPr>
          <w:b/>
          <w:i/>
          <w:u w:val="single"/>
        </w:rPr>
      </w:pPr>
      <w:r>
        <w:rPr>
          <w:b/>
          <w:i/>
          <w:u w:val="single"/>
        </w:rPr>
        <w:t>7</w:t>
      </w:r>
      <w:r w:rsidR="006C0AD8" w:rsidRPr="00D77005">
        <w:rPr>
          <w:b/>
          <w:i/>
          <w:u w:val="single"/>
        </w:rPr>
        <w:t>.3.1</w:t>
      </w:r>
      <w:r w:rsidR="00D77005" w:rsidRPr="00D77005">
        <w:rPr>
          <w:b/>
          <w:i/>
          <w:u w:val="single"/>
        </w:rPr>
        <w:t>.2</w:t>
      </w:r>
      <w:r w:rsidR="00326994" w:rsidRPr="00D77005">
        <w:rPr>
          <w:b/>
          <w:i/>
          <w:u w:val="single"/>
        </w:rPr>
        <w:t xml:space="preserve"> – </w:t>
      </w:r>
      <w:r w:rsidR="00D77005" w:rsidRPr="00D77005">
        <w:rPr>
          <w:b/>
          <w:i/>
          <w:u w:val="single"/>
        </w:rPr>
        <w:t>Dépôt d’une candidature classique hors Document Unique de Marché Européen (DUME)</w:t>
      </w:r>
    </w:p>
    <w:p w:rsidR="004D42E6" w:rsidRDefault="004D42E6" w:rsidP="00306352">
      <w:pPr>
        <w:pStyle w:val="Texte"/>
      </w:pPr>
    </w:p>
    <w:p w:rsidR="00D77005" w:rsidRDefault="00D77005" w:rsidP="00306352">
      <w:pPr>
        <w:pStyle w:val="Texte"/>
      </w:pPr>
    </w:p>
    <w:tbl>
      <w:tblPr>
        <w:tblStyle w:val="Grilledutableau"/>
        <w:tblW w:w="0" w:type="auto"/>
        <w:tblLook w:val="04A0" w:firstRow="1" w:lastRow="0" w:firstColumn="1" w:lastColumn="0" w:noHBand="0" w:noVBand="1"/>
      </w:tblPr>
      <w:tblGrid>
        <w:gridCol w:w="368"/>
        <w:gridCol w:w="9260"/>
      </w:tblGrid>
      <w:tr w:rsidR="00D77005" w:rsidRPr="00954E49" w:rsidTr="003D33C7">
        <w:trPr>
          <w:trHeight w:val="340"/>
        </w:trPr>
        <w:tc>
          <w:tcPr>
            <w:tcW w:w="9854" w:type="dxa"/>
            <w:gridSpan w:val="2"/>
            <w:shd w:val="clear" w:color="auto" w:fill="BFBFBF" w:themeFill="background1" w:themeFillShade="BF"/>
            <w:vAlign w:val="center"/>
          </w:tcPr>
          <w:p w:rsidR="00D77005" w:rsidRPr="00954E49" w:rsidRDefault="00D77005" w:rsidP="00306352">
            <w:pPr>
              <w:pStyle w:val="Texte"/>
              <w:rPr>
                <w:b/>
                <w:bCs/>
                <w:color w:val="FF0000"/>
              </w:rPr>
            </w:pPr>
            <w:r w:rsidRPr="005511C5">
              <w:rPr>
                <w:b/>
                <w:bCs/>
                <w:color w:val="FF0000"/>
              </w:rPr>
              <w:t>Les candidats doivent transmettre les documents et renseignements juridiques suivants :</w:t>
            </w:r>
          </w:p>
        </w:tc>
      </w:tr>
      <w:tr w:rsidR="00D77005" w:rsidTr="003D33C7">
        <w:tc>
          <w:tcPr>
            <w:tcW w:w="368" w:type="dxa"/>
          </w:tcPr>
          <w:p w:rsidR="00D77005" w:rsidRDefault="00D77005" w:rsidP="00306352">
            <w:pPr>
              <w:pStyle w:val="Texte"/>
              <w:rPr>
                <w:bCs/>
              </w:rPr>
            </w:pPr>
            <w:r>
              <w:rPr>
                <w:bCs/>
              </w:rPr>
              <w:t>1.</w:t>
            </w:r>
          </w:p>
        </w:tc>
        <w:tc>
          <w:tcPr>
            <w:tcW w:w="9486" w:type="dxa"/>
          </w:tcPr>
          <w:p w:rsidR="00D77005" w:rsidRDefault="00D77005" w:rsidP="00306352">
            <w:pPr>
              <w:pStyle w:val="Texte"/>
              <w:rPr>
                <w:bCs/>
              </w:rPr>
            </w:pPr>
            <w:r w:rsidRPr="00326994">
              <w:rPr>
                <w:bCs/>
              </w:rPr>
              <w:t xml:space="preserve">Lettre de candidature ou </w:t>
            </w:r>
            <w:r w:rsidRPr="00BA444A">
              <w:rPr>
                <w:b/>
                <w:bCs/>
              </w:rPr>
              <w:t>formulaire DC1</w:t>
            </w:r>
            <w:r w:rsidRPr="00326994">
              <w:rPr>
                <w:bCs/>
              </w:rPr>
              <w:t xml:space="preserve"> (téléchargeable à partir du lien </w:t>
            </w:r>
            <w:r w:rsidRPr="00566A4D">
              <w:rPr>
                <w:bCs/>
              </w:rPr>
              <w:t>https://www.economie.gouv.fr/daj/formulaires-declaration-du-candidat</w:t>
            </w:r>
            <w:r w:rsidRPr="00326994">
              <w:rPr>
                <w:bCs/>
              </w:rPr>
              <w:t xml:space="preserve">) ou équivalent, </w:t>
            </w:r>
            <w:r w:rsidRPr="00326994">
              <w:rPr>
                <w:b/>
                <w:bCs/>
              </w:rPr>
              <w:t>dument rempli, et daté</w:t>
            </w:r>
            <w:r w:rsidRPr="00326994">
              <w:rPr>
                <w:bCs/>
              </w:rPr>
              <w:t>.</w:t>
            </w:r>
          </w:p>
          <w:p w:rsidR="00D77005" w:rsidRDefault="00D77005" w:rsidP="00306352">
            <w:pPr>
              <w:pStyle w:val="Texte"/>
              <w:rPr>
                <w:bCs/>
                <w:sz w:val="18"/>
              </w:rPr>
            </w:pPr>
            <w:r>
              <w:rPr>
                <w:bCs/>
                <w:sz w:val="18"/>
              </w:rPr>
              <w:t>Nota Bene :</w:t>
            </w:r>
          </w:p>
          <w:p w:rsidR="00D77005" w:rsidRPr="005511C5" w:rsidRDefault="00D77005" w:rsidP="00306352">
            <w:pPr>
              <w:pStyle w:val="Texte"/>
              <w:numPr>
                <w:ilvl w:val="0"/>
                <w:numId w:val="2"/>
              </w:numPr>
              <w:ind w:left="199" w:hanging="199"/>
              <w:rPr>
                <w:bCs/>
                <w:sz w:val="18"/>
              </w:rPr>
            </w:pPr>
            <w:r w:rsidRPr="005511C5">
              <w:rPr>
                <w:bCs/>
                <w:sz w:val="18"/>
              </w:rPr>
              <w:t>Dans le cas d'un groupement d'entreprises, le formulaire DC1 sera complété pour chaque membre du Groupement et indiquera la nature conjointe ou solidaire du groupement.</w:t>
            </w:r>
          </w:p>
          <w:p w:rsidR="00D77005" w:rsidRDefault="00D77005" w:rsidP="00306352">
            <w:pPr>
              <w:pStyle w:val="Texte"/>
              <w:numPr>
                <w:ilvl w:val="0"/>
                <w:numId w:val="2"/>
              </w:numPr>
              <w:ind w:left="199" w:hanging="199"/>
              <w:rPr>
                <w:bCs/>
              </w:rPr>
            </w:pPr>
            <w:r w:rsidRPr="005511C5">
              <w:rPr>
                <w:bCs/>
                <w:sz w:val="18"/>
              </w:rPr>
              <w:t>De plus, en cas d'attribution du marché public à un groupement d'opérateurs économiques, un document d'habilitation devra être signé par chaque membre du groupement lors de la phase d'attribution.</w:t>
            </w:r>
          </w:p>
        </w:tc>
      </w:tr>
      <w:tr w:rsidR="00D77005" w:rsidTr="003D33C7">
        <w:tc>
          <w:tcPr>
            <w:tcW w:w="368" w:type="dxa"/>
          </w:tcPr>
          <w:p w:rsidR="00D77005" w:rsidRDefault="00D77005" w:rsidP="00306352">
            <w:pPr>
              <w:pStyle w:val="Texte"/>
              <w:rPr>
                <w:bCs/>
              </w:rPr>
            </w:pPr>
            <w:r>
              <w:rPr>
                <w:bCs/>
              </w:rPr>
              <w:t>2.</w:t>
            </w:r>
          </w:p>
        </w:tc>
        <w:tc>
          <w:tcPr>
            <w:tcW w:w="9486" w:type="dxa"/>
          </w:tcPr>
          <w:p w:rsidR="00D77005" w:rsidRDefault="00D77005" w:rsidP="00306352">
            <w:pPr>
              <w:pStyle w:val="Texte"/>
              <w:rPr>
                <w:bCs/>
              </w:rPr>
            </w:pPr>
            <w:r w:rsidRPr="00326994">
              <w:rPr>
                <w:bCs/>
              </w:rPr>
              <w:t xml:space="preserve">Déclaration du candidat ou </w:t>
            </w:r>
            <w:r w:rsidRPr="00BA444A">
              <w:rPr>
                <w:b/>
                <w:bCs/>
              </w:rPr>
              <w:t>formulaire DC2</w:t>
            </w:r>
            <w:r w:rsidRPr="00326994">
              <w:rPr>
                <w:bCs/>
              </w:rPr>
              <w:t xml:space="preserve"> (téléchargeable à partir du lien </w:t>
            </w:r>
            <w:r w:rsidRPr="00566A4D">
              <w:rPr>
                <w:bCs/>
              </w:rPr>
              <w:t>https://www.economie.gouv.fr/daj/formulaires-declaration-du-candidat</w:t>
            </w:r>
            <w:r w:rsidRPr="00326994">
              <w:rPr>
                <w:bCs/>
              </w:rPr>
              <w:t xml:space="preserve">) ou équivalent, </w:t>
            </w:r>
            <w:r w:rsidRPr="000275D0">
              <w:rPr>
                <w:bCs/>
              </w:rPr>
              <w:t>dument rempli, et daté</w:t>
            </w:r>
            <w:r w:rsidRPr="00326994">
              <w:rPr>
                <w:bCs/>
              </w:rPr>
              <w:t>.</w:t>
            </w:r>
          </w:p>
        </w:tc>
      </w:tr>
      <w:tr w:rsidR="00D77005" w:rsidTr="003D33C7">
        <w:tc>
          <w:tcPr>
            <w:tcW w:w="368" w:type="dxa"/>
          </w:tcPr>
          <w:p w:rsidR="00D77005" w:rsidRDefault="00D77005" w:rsidP="00306352">
            <w:pPr>
              <w:pStyle w:val="Texte"/>
              <w:rPr>
                <w:bCs/>
              </w:rPr>
            </w:pPr>
            <w:r>
              <w:rPr>
                <w:bCs/>
              </w:rPr>
              <w:t>3.</w:t>
            </w:r>
          </w:p>
        </w:tc>
        <w:tc>
          <w:tcPr>
            <w:tcW w:w="9486" w:type="dxa"/>
          </w:tcPr>
          <w:p w:rsidR="00D77005" w:rsidRDefault="00D77005" w:rsidP="00306352">
            <w:pPr>
              <w:pStyle w:val="Texte"/>
              <w:rPr>
                <w:bCs/>
              </w:rPr>
            </w:pPr>
            <w:r w:rsidRPr="00BA444A">
              <w:rPr>
                <w:b/>
                <w:bCs/>
              </w:rPr>
              <w:t>Copie du jugement</w:t>
            </w:r>
            <w:r w:rsidRPr="0052341F">
              <w:rPr>
                <w:bCs/>
              </w:rPr>
              <w:t xml:space="preserve"> prononcé si le candidat</w:t>
            </w:r>
            <w:r>
              <w:rPr>
                <w:bCs/>
              </w:rPr>
              <w:t xml:space="preserve"> est en redressement judiciaire.</w:t>
            </w:r>
          </w:p>
        </w:tc>
      </w:tr>
      <w:tr w:rsidR="00D77005" w:rsidTr="003D33C7">
        <w:tc>
          <w:tcPr>
            <w:tcW w:w="368" w:type="dxa"/>
          </w:tcPr>
          <w:p w:rsidR="00D77005" w:rsidRDefault="00D77005" w:rsidP="00306352">
            <w:pPr>
              <w:pStyle w:val="Texte"/>
              <w:rPr>
                <w:bCs/>
              </w:rPr>
            </w:pPr>
            <w:r>
              <w:rPr>
                <w:bCs/>
              </w:rPr>
              <w:t>4.</w:t>
            </w:r>
          </w:p>
        </w:tc>
        <w:tc>
          <w:tcPr>
            <w:tcW w:w="9486" w:type="dxa"/>
          </w:tcPr>
          <w:p w:rsidR="00D77005" w:rsidRPr="005511C5" w:rsidRDefault="00D77005" w:rsidP="00306352">
            <w:pPr>
              <w:pStyle w:val="Texte"/>
              <w:rPr>
                <w:bCs/>
              </w:rPr>
            </w:pPr>
            <w:r w:rsidRPr="0052341F">
              <w:rPr>
                <w:bCs/>
              </w:rPr>
              <w:t xml:space="preserve">Pièces relatives au </w:t>
            </w:r>
            <w:r w:rsidRPr="00BA444A">
              <w:rPr>
                <w:b/>
                <w:bCs/>
              </w:rPr>
              <w:t>pouvoir</w:t>
            </w:r>
            <w:r w:rsidRPr="0052341F">
              <w:rPr>
                <w:bCs/>
              </w:rPr>
              <w:t xml:space="preserve"> des personnes h</w:t>
            </w:r>
            <w:r>
              <w:rPr>
                <w:bCs/>
              </w:rPr>
              <w:t>abilitées à engager le candidat.</w:t>
            </w:r>
          </w:p>
        </w:tc>
      </w:tr>
    </w:tbl>
    <w:p w:rsidR="00D77005" w:rsidRDefault="00D77005" w:rsidP="00306352">
      <w:pPr>
        <w:pStyle w:val="Texte"/>
      </w:pPr>
    </w:p>
    <w:tbl>
      <w:tblPr>
        <w:tblStyle w:val="Grilledutableau"/>
        <w:tblW w:w="0" w:type="auto"/>
        <w:tblLayout w:type="fixed"/>
        <w:tblLook w:val="04A0" w:firstRow="1" w:lastRow="0" w:firstColumn="1" w:lastColumn="0" w:noHBand="0" w:noVBand="1"/>
      </w:tblPr>
      <w:tblGrid>
        <w:gridCol w:w="392"/>
        <w:gridCol w:w="142"/>
        <w:gridCol w:w="9320"/>
      </w:tblGrid>
      <w:tr w:rsidR="00D77005" w:rsidTr="003D33C7">
        <w:trPr>
          <w:trHeight w:val="340"/>
        </w:trPr>
        <w:tc>
          <w:tcPr>
            <w:tcW w:w="9854" w:type="dxa"/>
            <w:gridSpan w:val="3"/>
            <w:shd w:val="clear" w:color="auto" w:fill="BFBFBF" w:themeFill="background1" w:themeFillShade="BF"/>
            <w:vAlign w:val="center"/>
          </w:tcPr>
          <w:p w:rsidR="00D77005" w:rsidRPr="005511C5" w:rsidRDefault="00D77005" w:rsidP="00306352">
            <w:pPr>
              <w:pStyle w:val="Texte"/>
              <w:rPr>
                <w:b/>
                <w:bCs/>
                <w:color w:val="FF0000"/>
              </w:rPr>
            </w:pPr>
            <w:r w:rsidRPr="005511C5">
              <w:rPr>
                <w:b/>
                <w:bCs/>
                <w:color w:val="FF0000"/>
              </w:rPr>
              <w:t>Les candidats transmettent les justificatifs et moyens de preuves suivants concernant leurs aptitudes et capacités :</w:t>
            </w:r>
          </w:p>
        </w:tc>
      </w:tr>
      <w:tr w:rsidR="00D77005" w:rsidTr="003D33C7">
        <w:trPr>
          <w:trHeight w:val="340"/>
        </w:trPr>
        <w:tc>
          <w:tcPr>
            <w:tcW w:w="9854" w:type="dxa"/>
            <w:gridSpan w:val="3"/>
            <w:shd w:val="clear" w:color="auto" w:fill="DAEEF3" w:themeFill="accent5" w:themeFillTint="33"/>
            <w:vAlign w:val="center"/>
          </w:tcPr>
          <w:p w:rsidR="00D77005" w:rsidRPr="00147226" w:rsidRDefault="00D77005" w:rsidP="00306352">
            <w:pPr>
              <w:pStyle w:val="Texte"/>
              <w:numPr>
                <w:ilvl w:val="0"/>
                <w:numId w:val="11"/>
              </w:numPr>
              <w:ind w:left="284" w:hanging="284"/>
              <w:rPr>
                <w:bCs/>
                <w:u w:val="single"/>
              </w:rPr>
            </w:pPr>
            <w:r w:rsidRPr="006C78B5">
              <w:rPr>
                <w:bCs/>
                <w:u w:val="single"/>
              </w:rPr>
              <w:t>Aptitude à exer</w:t>
            </w:r>
            <w:r>
              <w:rPr>
                <w:bCs/>
                <w:u w:val="single"/>
              </w:rPr>
              <w:t>cer l’activité professionnelle :</w:t>
            </w:r>
            <w:r w:rsidR="003D33C7" w:rsidRPr="003D33C7">
              <w:rPr>
                <w:bCs/>
              </w:rPr>
              <w:t xml:space="preserve"> (article 1 de l’Arrêté du 22 mars 2019 fixant la liste des renseignements et des documents pouvant être demandés aux candidats aux marchés publics)</w:t>
            </w:r>
          </w:p>
        </w:tc>
      </w:tr>
      <w:tr w:rsidR="00D77005" w:rsidTr="005D4356">
        <w:trPr>
          <w:trHeight w:val="244"/>
        </w:trPr>
        <w:tc>
          <w:tcPr>
            <w:tcW w:w="392" w:type="dxa"/>
            <w:vAlign w:val="center"/>
          </w:tcPr>
          <w:p w:rsidR="00D77005" w:rsidRDefault="00D77005" w:rsidP="00306352">
            <w:pPr>
              <w:pStyle w:val="Texte"/>
              <w:rPr>
                <w:bCs/>
              </w:rPr>
            </w:pPr>
            <w:r>
              <w:rPr>
                <w:bCs/>
              </w:rPr>
              <w:t>1.</w:t>
            </w:r>
          </w:p>
        </w:tc>
        <w:tc>
          <w:tcPr>
            <w:tcW w:w="9462" w:type="dxa"/>
            <w:gridSpan w:val="2"/>
            <w:vAlign w:val="center"/>
          </w:tcPr>
          <w:p w:rsidR="00D77005" w:rsidRDefault="00B139FC" w:rsidP="00306352">
            <w:pPr>
              <w:pStyle w:val="Texte"/>
              <w:rPr>
                <w:bCs/>
              </w:rPr>
            </w:pPr>
            <w:r>
              <w:rPr>
                <w:bCs/>
              </w:rPr>
              <w:t>Sans objet.</w:t>
            </w:r>
          </w:p>
        </w:tc>
      </w:tr>
      <w:tr w:rsidR="00D77005" w:rsidRPr="00147226" w:rsidTr="003D33C7">
        <w:trPr>
          <w:trHeight w:val="340"/>
        </w:trPr>
        <w:tc>
          <w:tcPr>
            <w:tcW w:w="9854" w:type="dxa"/>
            <w:gridSpan w:val="3"/>
            <w:shd w:val="clear" w:color="auto" w:fill="DAEEF3" w:themeFill="accent5" w:themeFillTint="33"/>
          </w:tcPr>
          <w:p w:rsidR="00D77005" w:rsidRPr="00147226" w:rsidRDefault="00D77005" w:rsidP="00306352">
            <w:pPr>
              <w:pStyle w:val="Texte"/>
              <w:numPr>
                <w:ilvl w:val="0"/>
                <w:numId w:val="11"/>
              </w:numPr>
              <w:ind w:left="284" w:hanging="284"/>
              <w:rPr>
                <w:bCs/>
                <w:u w:val="single"/>
              </w:rPr>
            </w:pPr>
            <w:r>
              <w:rPr>
                <w:bCs/>
                <w:u w:val="single"/>
              </w:rPr>
              <w:t>Capacités économiques et financières :</w:t>
            </w:r>
            <w:r w:rsidR="003D33C7">
              <w:rPr>
                <w:bCs/>
                <w:u w:val="single"/>
              </w:rPr>
              <w:t xml:space="preserve"> </w:t>
            </w:r>
            <w:r w:rsidR="003D33C7" w:rsidRPr="003D33C7">
              <w:rPr>
                <w:bCs/>
              </w:rPr>
              <w:t>(article 2 de l’Arrêté du 22 mars 2019 fixant la liste des renseignements et des documents pouvant être demandés aux candidats aux marchés publics)</w:t>
            </w:r>
          </w:p>
        </w:tc>
      </w:tr>
      <w:tr w:rsidR="00D77005" w:rsidTr="003D33C7">
        <w:trPr>
          <w:trHeight w:val="1054"/>
        </w:trPr>
        <w:tc>
          <w:tcPr>
            <w:tcW w:w="392" w:type="dxa"/>
            <w:vAlign w:val="center"/>
          </w:tcPr>
          <w:p w:rsidR="00D77005" w:rsidRDefault="00D77005" w:rsidP="00306352">
            <w:pPr>
              <w:pStyle w:val="Texte"/>
              <w:rPr>
                <w:bCs/>
              </w:rPr>
            </w:pPr>
            <w:r>
              <w:rPr>
                <w:bCs/>
              </w:rPr>
              <w:t>1.</w:t>
            </w:r>
          </w:p>
        </w:tc>
        <w:tc>
          <w:tcPr>
            <w:tcW w:w="9462" w:type="dxa"/>
            <w:gridSpan w:val="2"/>
            <w:vAlign w:val="center"/>
          </w:tcPr>
          <w:p w:rsidR="00D77005" w:rsidRPr="003D33C7" w:rsidRDefault="00D77005" w:rsidP="00306352">
            <w:pPr>
              <w:pStyle w:val="Texte"/>
              <w:rPr>
                <w:bCs/>
              </w:rPr>
            </w:pPr>
            <w:r w:rsidRPr="003D33C7">
              <w:rPr>
                <w:bCs/>
              </w:rPr>
              <w:t xml:space="preserve">Déclaration concernant le chiffre d'affaires global du candidat et le chiffre d'affaires du domaine d'activité faisant l'objet du marché public, portant au maximum </w:t>
            </w:r>
            <w:r w:rsidRPr="003D33C7">
              <w:rPr>
                <w:b/>
                <w:bCs/>
              </w:rPr>
              <w:t>sur les trois derniers exercices</w:t>
            </w:r>
            <w:r w:rsidRPr="003D33C7">
              <w:rPr>
                <w:bCs/>
              </w:rPr>
              <w:t xml:space="preserve"> disponibles en fonction de la date de création de l'entreprise ou du début d'activité de l'opérateur économique, dans la mesure ou les informations sur ces chiffres d'affaires sont disponibles,</w:t>
            </w:r>
          </w:p>
        </w:tc>
      </w:tr>
      <w:tr w:rsidR="003D33C7" w:rsidTr="003D33C7">
        <w:trPr>
          <w:trHeight w:val="1054"/>
        </w:trPr>
        <w:tc>
          <w:tcPr>
            <w:tcW w:w="392" w:type="dxa"/>
            <w:vAlign w:val="center"/>
          </w:tcPr>
          <w:p w:rsidR="003D33C7" w:rsidRDefault="003D33C7" w:rsidP="00306352">
            <w:pPr>
              <w:pStyle w:val="Texte"/>
              <w:rPr>
                <w:bCs/>
              </w:rPr>
            </w:pPr>
            <w:r>
              <w:rPr>
                <w:bCs/>
              </w:rPr>
              <w:t>2.</w:t>
            </w:r>
          </w:p>
        </w:tc>
        <w:tc>
          <w:tcPr>
            <w:tcW w:w="9462" w:type="dxa"/>
            <w:gridSpan w:val="2"/>
            <w:vAlign w:val="center"/>
          </w:tcPr>
          <w:p w:rsidR="003D33C7" w:rsidRPr="003D33C7" w:rsidRDefault="003D33C7" w:rsidP="00306352">
            <w:pPr>
              <w:autoSpaceDE w:val="0"/>
              <w:autoSpaceDN w:val="0"/>
              <w:adjustRightInd w:val="0"/>
              <w:rPr>
                <w:bCs/>
              </w:rPr>
            </w:pPr>
            <w:r w:rsidRPr="003D33C7">
              <w:rPr>
                <w:rFonts w:eastAsiaTheme="minorHAnsi" w:cs="Verdana"/>
                <w:lang w:eastAsia="en-US"/>
              </w:rPr>
              <w:t>Déclarations appropriées de banques ou, le cas échéant, preuve d'une assurance des risques professionnels pertinents ;</w:t>
            </w:r>
          </w:p>
        </w:tc>
      </w:tr>
      <w:tr w:rsidR="003D33C7" w:rsidTr="003D33C7">
        <w:trPr>
          <w:trHeight w:val="1054"/>
        </w:trPr>
        <w:tc>
          <w:tcPr>
            <w:tcW w:w="392" w:type="dxa"/>
            <w:vAlign w:val="center"/>
          </w:tcPr>
          <w:p w:rsidR="003D33C7" w:rsidRPr="003D33C7" w:rsidRDefault="003D33C7" w:rsidP="00306352">
            <w:pPr>
              <w:pStyle w:val="Texte"/>
              <w:rPr>
                <w:bCs/>
              </w:rPr>
            </w:pPr>
            <w:r w:rsidRPr="003D33C7">
              <w:rPr>
                <w:bCs/>
              </w:rPr>
              <w:t>3.</w:t>
            </w:r>
          </w:p>
        </w:tc>
        <w:tc>
          <w:tcPr>
            <w:tcW w:w="9462" w:type="dxa"/>
            <w:gridSpan w:val="2"/>
            <w:vAlign w:val="center"/>
          </w:tcPr>
          <w:p w:rsidR="003D33C7" w:rsidRPr="003D33C7" w:rsidRDefault="003D33C7" w:rsidP="00306352">
            <w:pPr>
              <w:autoSpaceDE w:val="0"/>
              <w:autoSpaceDN w:val="0"/>
              <w:adjustRightInd w:val="0"/>
              <w:rPr>
                <w:rFonts w:eastAsiaTheme="minorHAnsi" w:cs="Verdana"/>
                <w:lang w:eastAsia="en-US"/>
              </w:rPr>
            </w:pPr>
            <w:r w:rsidRPr="003D33C7">
              <w:rPr>
                <w:rFonts w:eastAsiaTheme="minorHAnsi" w:cs="Verdana"/>
                <w:lang w:eastAsia="en-US"/>
              </w:rPr>
              <w:t>Bilans ou extraits de bilan, concernant les trois dernières années, des opérateurs économiques pour lesquels l'établissement des bilans est obligatoire en vertu de la loi.</w:t>
            </w:r>
          </w:p>
        </w:tc>
      </w:tr>
      <w:tr w:rsidR="00D77005" w:rsidTr="003D33C7">
        <w:trPr>
          <w:trHeight w:val="340"/>
        </w:trPr>
        <w:tc>
          <w:tcPr>
            <w:tcW w:w="9854" w:type="dxa"/>
            <w:gridSpan w:val="3"/>
            <w:shd w:val="clear" w:color="auto" w:fill="DAEEF3" w:themeFill="accent5" w:themeFillTint="33"/>
          </w:tcPr>
          <w:p w:rsidR="00D77005" w:rsidRPr="00326994" w:rsidRDefault="00D77005" w:rsidP="00306352">
            <w:pPr>
              <w:pStyle w:val="Texte"/>
              <w:numPr>
                <w:ilvl w:val="0"/>
                <w:numId w:val="11"/>
              </w:numPr>
              <w:ind w:left="284" w:hanging="284"/>
              <w:rPr>
                <w:bCs/>
              </w:rPr>
            </w:pPr>
            <w:r w:rsidRPr="000275D0">
              <w:rPr>
                <w:bCs/>
                <w:u w:val="single"/>
              </w:rPr>
              <w:t>Capacités techniques et professionnelles :</w:t>
            </w:r>
            <w:r w:rsidR="003D33C7">
              <w:rPr>
                <w:bCs/>
                <w:u w:val="single"/>
              </w:rPr>
              <w:t xml:space="preserve"> </w:t>
            </w:r>
            <w:r w:rsidR="003D33C7" w:rsidRPr="003D33C7">
              <w:rPr>
                <w:bCs/>
              </w:rPr>
              <w:t>(article 3 de l’Arrêté du 22 mars 2019 fixant la liste des renseignements et des documents pouvant être demandés aux candidats aux marchés publics)</w:t>
            </w:r>
          </w:p>
        </w:tc>
      </w:tr>
      <w:tr w:rsidR="00D77005" w:rsidTr="003D33C7">
        <w:trPr>
          <w:trHeight w:val="567"/>
        </w:trPr>
        <w:tc>
          <w:tcPr>
            <w:tcW w:w="534" w:type="dxa"/>
            <w:gridSpan w:val="2"/>
            <w:vAlign w:val="center"/>
          </w:tcPr>
          <w:p w:rsidR="00D77005" w:rsidRDefault="00722766" w:rsidP="00306352">
            <w:pPr>
              <w:pStyle w:val="Texte"/>
              <w:rPr>
                <w:bCs/>
              </w:rPr>
            </w:pPr>
            <w:r>
              <w:rPr>
                <w:bCs/>
              </w:rPr>
              <w:t>1.</w:t>
            </w:r>
          </w:p>
        </w:tc>
        <w:tc>
          <w:tcPr>
            <w:tcW w:w="9320" w:type="dxa"/>
            <w:vAlign w:val="center"/>
          </w:tcPr>
          <w:p w:rsidR="003D33C7" w:rsidRPr="003D33C7" w:rsidRDefault="003D33C7" w:rsidP="00306352">
            <w:pPr>
              <w:pStyle w:val="Texte"/>
              <w:rPr>
                <w:bCs/>
              </w:rPr>
            </w:pPr>
            <w:r w:rsidRPr="003D33C7">
              <w:rPr>
                <w:bCs/>
              </w:rPr>
              <w:t>Une liste des principales livraisons effectuées ou des principaux services fournis au cours des trois dernières</w:t>
            </w:r>
          </w:p>
          <w:p w:rsidR="003D33C7" w:rsidRPr="003D33C7" w:rsidRDefault="003D33C7" w:rsidP="00306352">
            <w:pPr>
              <w:pStyle w:val="Texte"/>
              <w:rPr>
                <w:bCs/>
              </w:rPr>
            </w:pPr>
            <w:r w:rsidRPr="003D33C7">
              <w:rPr>
                <w:bCs/>
              </w:rPr>
              <w:t>années ou, pour les marchés publics de défense ou de sécurité, au cours des cinq dernières années, indiquant le</w:t>
            </w:r>
          </w:p>
          <w:p w:rsidR="003D33C7" w:rsidRPr="003D33C7" w:rsidRDefault="003D33C7" w:rsidP="00306352">
            <w:pPr>
              <w:pStyle w:val="Texte"/>
              <w:rPr>
                <w:bCs/>
              </w:rPr>
            </w:pPr>
            <w:r w:rsidRPr="003D33C7">
              <w:rPr>
                <w:bCs/>
              </w:rPr>
              <w:t>montant, la date et le destinataire public ou privé. Le cas échéant, afin de garantir un niveau de concurrence</w:t>
            </w:r>
          </w:p>
          <w:p w:rsidR="003D33C7" w:rsidRPr="003D33C7" w:rsidRDefault="003D33C7" w:rsidP="00306352">
            <w:pPr>
              <w:pStyle w:val="Texte"/>
              <w:rPr>
                <w:bCs/>
              </w:rPr>
            </w:pPr>
            <w:r w:rsidRPr="003D33C7">
              <w:rPr>
                <w:bCs/>
              </w:rPr>
              <w:t>suffisant, l'acheteur peut indiquer que les éléments de preuve relatifs à des produits ou services pertinents</w:t>
            </w:r>
          </w:p>
          <w:p w:rsidR="003D33C7" w:rsidRPr="003D33C7" w:rsidRDefault="003D33C7" w:rsidP="00306352">
            <w:pPr>
              <w:pStyle w:val="Texte"/>
              <w:rPr>
                <w:bCs/>
              </w:rPr>
            </w:pPr>
            <w:r w:rsidRPr="003D33C7">
              <w:rPr>
                <w:bCs/>
              </w:rPr>
              <w:t>fournis il y a plus de trois ans seront pris en compte. Les livraisons et les prestations de services sont prouvées</w:t>
            </w:r>
          </w:p>
          <w:p w:rsidR="00D77005" w:rsidRDefault="003D33C7" w:rsidP="00306352">
            <w:pPr>
              <w:pStyle w:val="Texte"/>
              <w:rPr>
                <w:bCs/>
              </w:rPr>
            </w:pPr>
            <w:r w:rsidRPr="003D33C7">
              <w:rPr>
                <w:bCs/>
              </w:rPr>
              <w:t>par des attestations du destinataire ou, à défaut, par une déclaration de l'opérateur économique ;</w:t>
            </w:r>
          </w:p>
          <w:p w:rsidR="00B139FC" w:rsidRPr="003D33C7" w:rsidRDefault="00B139FC" w:rsidP="00306352">
            <w:pPr>
              <w:pStyle w:val="Texte"/>
              <w:rPr>
                <w:rFonts w:ascii="Calibri" w:hAnsi="Calibri"/>
                <w:bCs/>
              </w:rPr>
            </w:pPr>
          </w:p>
        </w:tc>
      </w:tr>
      <w:tr w:rsidR="00B139FC" w:rsidTr="003D33C7">
        <w:trPr>
          <w:trHeight w:val="567"/>
        </w:trPr>
        <w:tc>
          <w:tcPr>
            <w:tcW w:w="534" w:type="dxa"/>
            <w:gridSpan w:val="2"/>
            <w:vAlign w:val="center"/>
          </w:tcPr>
          <w:p w:rsidR="00B139FC" w:rsidRDefault="00B139FC" w:rsidP="00306352">
            <w:pPr>
              <w:pStyle w:val="Texte"/>
              <w:rPr>
                <w:bCs/>
              </w:rPr>
            </w:pPr>
            <w:r>
              <w:rPr>
                <w:bCs/>
              </w:rPr>
              <w:lastRenderedPageBreak/>
              <w:t>2.</w:t>
            </w:r>
          </w:p>
        </w:tc>
        <w:tc>
          <w:tcPr>
            <w:tcW w:w="9320" w:type="dxa"/>
            <w:vAlign w:val="center"/>
          </w:tcPr>
          <w:p w:rsidR="00B139FC" w:rsidRPr="003D33C7" w:rsidRDefault="00B139FC" w:rsidP="00306352">
            <w:pPr>
              <w:pStyle w:val="Texte"/>
              <w:rPr>
                <w:bCs/>
              </w:rPr>
            </w:pPr>
            <w:r w:rsidRPr="00C04A78">
              <w:rPr>
                <w:rFonts w:ascii="Calibri" w:eastAsiaTheme="minorHAnsi" w:hAnsi="Calibri" w:cs="Calibri"/>
                <w:color w:val="000000"/>
                <w:lang w:eastAsia="en-US"/>
              </w:rPr>
              <w:t>Une description de l'outillage, du matériel et de l'équipement technique (y compris les locaux) dont le candidat disposera pour la réalisation de l’accord-cadre ;</w:t>
            </w:r>
          </w:p>
        </w:tc>
      </w:tr>
      <w:tr w:rsidR="00B139FC" w:rsidTr="003D33C7">
        <w:trPr>
          <w:trHeight w:val="567"/>
        </w:trPr>
        <w:tc>
          <w:tcPr>
            <w:tcW w:w="534" w:type="dxa"/>
            <w:gridSpan w:val="2"/>
            <w:vAlign w:val="center"/>
          </w:tcPr>
          <w:p w:rsidR="00B139FC" w:rsidRDefault="00B139FC" w:rsidP="00306352">
            <w:pPr>
              <w:pStyle w:val="Texte"/>
              <w:rPr>
                <w:bCs/>
              </w:rPr>
            </w:pPr>
            <w:r>
              <w:rPr>
                <w:bCs/>
              </w:rPr>
              <w:t>3.</w:t>
            </w:r>
          </w:p>
        </w:tc>
        <w:tc>
          <w:tcPr>
            <w:tcW w:w="9320" w:type="dxa"/>
            <w:vAlign w:val="center"/>
          </w:tcPr>
          <w:p w:rsidR="00B139FC" w:rsidRPr="003D33C7" w:rsidRDefault="00B139FC" w:rsidP="00B139FC">
            <w:pPr>
              <w:pStyle w:val="Texte"/>
              <w:rPr>
                <w:bCs/>
              </w:rPr>
            </w:pPr>
            <w:r w:rsidRPr="003D33C7">
              <w:rPr>
                <w:bCs/>
              </w:rPr>
              <w:t>L'indication des mesures de gestion environnementale que le candidat pourra appliquer lors de l'exécution du</w:t>
            </w:r>
          </w:p>
          <w:p w:rsidR="00B139FC" w:rsidRPr="00C04A78" w:rsidRDefault="00B139FC" w:rsidP="00B139FC">
            <w:pPr>
              <w:pStyle w:val="Texte"/>
              <w:rPr>
                <w:rFonts w:ascii="Calibri" w:eastAsiaTheme="minorHAnsi" w:hAnsi="Calibri" w:cs="Calibri"/>
                <w:color w:val="000000"/>
                <w:lang w:eastAsia="en-US"/>
              </w:rPr>
            </w:pPr>
            <w:r w:rsidRPr="003D33C7">
              <w:rPr>
                <w:bCs/>
              </w:rPr>
              <w:t>marché public</w:t>
            </w:r>
          </w:p>
        </w:tc>
      </w:tr>
    </w:tbl>
    <w:p w:rsidR="00D77005" w:rsidRDefault="00D77005" w:rsidP="00306352">
      <w:pPr>
        <w:pStyle w:val="Texte"/>
      </w:pPr>
    </w:p>
    <w:p w:rsidR="00326994" w:rsidRPr="00326994" w:rsidRDefault="00326994" w:rsidP="00306352">
      <w:pPr>
        <w:pStyle w:val="Texte"/>
      </w:pPr>
    </w:p>
    <w:p w:rsidR="00D77005" w:rsidRPr="00DE3CD4" w:rsidRDefault="00D77005" w:rsidP="00306352">
      <w:pPr>
        <w:pStyle w:val="Texte"/>
        <w:rPr>
          <w:b/>
          <w:bCs/>
        </w:rPr>
      </w:pPr>
      <w:r w:rsidRPr="00DE3CD4">
        <w:rPr>
          <w:b/>
          <w:bCs/>
        </w:rPr>
        <w:t>Les entreprises nouvellement créées peuvent produire une copie certifiée du récépissé de dépôt des statuts transmis par le centre de formalités des entreprises. Les entreprises peuvent présenter tout élément factuel et probant permettant d’apprécier leurs capacités financières, techniques et professionnelles.</w:t>
      </w:r>
    </w:p>
    <w:p w:rsidR="00D77005" w:rsidRPr="00326994" w:rsidRDefault="00D77005" w:rsidP="00306352">
      <w:pPr>
        <w:pStyle w:val="Texte"/>
        <w:rPr>
          <w:bCs/>
        </w:rPr>
      </w:pPr>
    </w:p>
    <w:p w:rsidR="00D77005" w:rsidRPr="00326994" w:rsidRDefault="00D77005" w:rsidP="00306352">
      <w:pPr>
        <w:pStyle w:val="Texte"/>
        <w:rPr>
          <w:bCs/>
        </w:rPr>
      </w:pPr>
      <w:r w:rsidRPr="00326994">
        <w:rPr>
          <w:bCs/>
        </w:rPr>
        <w:t xml:space="preserve">Tout document remis doit comporter la dénomination sociale exacte et complète telle qu’elle figure dans le </w:t>
      </w:r>
      <w:proofErr w:type="spellStart"/>
      <w:r w:rsidRPr="00326994">
        <w:rPr>
          <w:bCs/>
        </w:rPr>
        <w:t>Kbis</w:t>
      </w:r>
      <w:proofErr w:type="spellEnd"/>
      <w:r w:rsidRPr="00326994">
        <w:rPr>
          <w:bCs/>
        </w:rPr>
        <w:t>, à l’exclusion des appellations abrégées et commerciales.</w:t>
      </w:r>
    </w:p>
    <w:p w:rsidR="00326994" w:rsidRDefault="00326994" w:rsidP="00306352">
      <w:pPr>
        <w:pStyle w:val="Texte"/>
      </w:pPr>
    </w:p>
    <w:p w:rsidR="00326994" w:rsidRPr="00D77005" w:rsidRDefault="00C51E97" w:rsidP="00306352">
      <w:pPr>
        <w:rPr>
          <w:b/>
          <w:i/>
          <w:u w:val="single"/>
        </w:rPr>
      </w:pPr>
      <w:r>
        <w:rPr>
          <w:b/>
          <w:i/>
          <w:u w:val="single"/>
        </w:rPr>
        <w:t>7</w:t>
      </w:r>
      <w:r w:rsidR="006C0AD8" w:rsidRPr="00D77005">
        <w:rPr>
          <w:b/>
          <w:i/>
          <w:u w:val="single"/>
        </w:rPr>
        <w:t>.3.1</w:t>
      </w:r>
      <w:r w:rsidR="00D77005" w:rsidRPr="00D77005">
        <w:rPr>
          <w:b/>
          <w:i/>
          <w:u w:val="single"/>
        </w:rPr>
        <w:t>.3</w:t>
      </w:r>
      <w:r w:rsidR="00326994" w:rsidRPr="00D77005">
        <w:rPr>
          <w:b/>
          <w:i/>
          <w:u w:val="single"/>
        </w:rPr>
        <w:t xml:space="preserve"> – </w:t>
      </w:r>
      <w:r w:rsidR="00D77005" w:rsidRPr="00D77005">
        <w:rPr>
          <w:b/>
          <w:i/>
          <w:u w:val="single"/>
        </w:rPr>
        <w:t>Transmission des justificatifs et moyens de preuve concernant l’aptitude et les capacités du candidat (conditions de participation)</w:t>
      </w:r>
    </w:p>
    <w:p w:rsidR="00326994" w:rsidRDefault="00326994" w:rsidP="00306352">
      <w:pPr>
        <w:pStyle w:val="Texte"/>
      </w:pPr>
    </w:p>
    <w:p w:rsidR="00326994" w:rsidRPr="00326994" w:rsidRDefault="00326994" w:rsidP="00306352">
      <w:pPr>
        <w:pStyle w:val="Texte"/>
      </w:pPr>
      <w:r w:rsidRPr="00326994">
        <w:t>Les justificatifs et les moyens de preuve sont fournis lors de la transmission de l'acte de candidature.</w:t>
      </w:r>
    </w:p>
    <w:p w:rsidR="00326994" w:rsidRPr="00326994" w:rsidRDefault="00326994" w:rsidP="00306352">
      <w:pPr>
        <w:pStyle w:val="Texte"/>
      </w:pPr>
    </w:p>
    <w:p w:rsidR="00326994" w:rsidRPr="00326994" w:rsidRDefault="00326994" w:rsidP="00306352">
      <w:pPr>
        <w:pStyle w:val="Texte"/>
      </w:pPr>
      <w:r w:rsidRPr="00326994">
        <w:t>Con</w:t>
      </w:r>
      <w:r w:rsidR="00D876BF">
        <w:t>formément aux dispositions de l’</w:t>
      </w:r>
      <w:r w:rsidRPr="00326994">
        <w:t xml:space="preserve">article </w:t>
      </w:r>
      <w:r w:rsidR="00566A4D" w:rsidRPr="00566A4D">
        <w:t>R. 2143-13</w:t>
      </w:r>
      <w:r w:rsidR="00566A4D">
        <w:t xml:space="preserve"> </w:t>
      </w:r>
      <w:r w:rsidRPr="00326994">
        <w:t xml:space="preserve">du </w:t>
      </w:r>
      <w:r w:rsidR="00007A30">
        <w:t>code de la commande publique</w:t>
      </w:r>
      <w:r w:rsidRPr="00326994">
        <w:t xml:space="preserve">, les candidats ne sont pas tenus de fournir les documents et renseignements que le pouvoir adjudicateur peut obtenir directement par le biais d'un système électronique de mise à disposition d'informations administré par un organisme officiel ou d'un espace de stockage numérique, </w:t>
      </w:r>
      <w:r w:rsidRPr="0052341F">
        <w:rPr>
          <w:u w:val="single"/>
        </w:rPr>
        <w:t>à condition que figurent dans le pli du candidat toutes les informations nécessaires à la consultation de ce système ou de cet espace et que l'accès à ceux-ci soit gratuit.</w:t>
      </w:r>
    </w:p>
    <w:p w:rsidR="00326994" w:rsidRPr="00326994" w:rsidRDefault="00326994" w:rsidP="00306352">
      <w:pPr>
        <w:pStyle w:val="Texte"/>
      </w:pPr>
    </w:p>
    <w:p w:rsidR="00326994" w:rsidRPr="00326994" w:rsidRDefault="00326994" w:rsidP="00306352">
      <w:pPr>
        <w:pStyle w:val="Texte"/>
      </w:pPr>
      <w:r w:rsidRPr="00326994">
        <w:t xml:space="preserve">Par ailleurs, </w:t>
      </w:r>
      <w:r w:rsidR="00D876BF">
        <w:t xml:space="preserve">conformément aux dispositions de l’article </w:t>
      </w:r>
      <w:r w:rsidR="00D876BF" w:rsidRPr="00566A4D">
        <w:t>R. 2143-14</w:t>
      </w:r>
      <w:r w:rsidR="00D876BF">
        <w:t xml:space="preserve"> </w:t>
      </w:r>
      <w:r w:rsidR="00D876BF" w:rsidRPr="00326994">
        <w:t xml:space="preserve">du </w:t>
      </w:r>
      <w:r w:rsidR="00007A30">
        <w:t>code de la commande publique</w:t>
      </w:r>
      <w:r w:rsidR="00D876BF">
        <w:t xml:space="preserve">, </w:t>
      </w:r>
      <w:r w:rsidRPr="00326994">
        <w:t xml:space="preserve">le candidat n'est pas tenu de fournir les documents et renseignements qui ont déjà été transmis dans le cadre d'une précédente consultation et qui demeurent valables. Il devra, en revanche, fournir à nouveau les documents non valides à la date limite de réception des offres de la présente consultation.  </w:t>
      </w:r>
    </w:p>
    <w:p w:rsidR="00326994" w:rsidRPr="00267572" w:rsidRDefault="00326994" w:rsidP="00306352"/>
    <w:p w:rsidR="00326994" w:rsidRPr="00A10B9E" w:rsidRDefault="00C51E97" w:rsidP="00C51E97">
      <w:pPr>
        <w:pStyle w:val="ARTICLECCAPCCTP"/>
      </w:pPr>
      <w:bookmarkStart w:id="58" w:name="_Toc95299500"/>
      <w:r>
        <w:t xml:space="preserve">Article 8 </w:t>
      </w:r>
      <w:r w:rsidR="00326994">
        <w:t>Examen des candidatures</w:t>
      </w:r>
      <w:bookmarkEnd w:id="58"/>
    </w:p>
    <w:p w:rsidR="00326994" w:rsidRDefault="00326994" w:rsidP="00306352">
      <w:pPr>
        <w:pStyle w:val="Texte"/>
      </w:pPr>
    </w:p>
    <w:p w:rsidR="00326994" w:rsidRPr="00326994" w:rsidRDefault="00326994" w:rsidP="00306352">
      <w:pPr>
        <w:pStyle w:val="Texte"/>
      </w:pPr>
      <w:r w:rsidRPr="00326994">
        <w:t>Si l'acheteur constate, avant de procéder à l'examen des candidatures, que des pièces ou des informations dont la production était réclamée sont absentes ou incomplètes, il peut demander aux candidats concernés de compléter leur dossier de candidature dans un délai identique pour tous. Ce délai est précisé dans la demande de complément. Les candidatures qui ne justifient pas de l'aptitude professionnelle ou qui ne disposent manifestement pas des capacités professionnelles, techniques et financières suffisantes demandées pour l'exécution du marché sont éliminées.</w:t>
      </w:r>
    </w:p>
    <w:p w:rsidR="00326994" w:rsidRPr="00326994" w:rsidRDefault="00326994" w:rsidP="00306352">
      <w:pPr>
        <w:pStyle w:val="Texte"/>
      </w:pPr>
    </w:p>
    <w:p w:rsidR="00326994" w:rsidRPr="00A10B9E" w:rsidRDefault="00C51E97" w:rsidP="00C51E97">
      <w:pPr>
        <w:pStyle w:val="ARTICLECCAPCCTP"/>
      </w:pPr>
      <w:bookmarkStart w:id="59" w:name="_Toc95299501"/>
      <w:r>
        <w:t xml:space="preserve">Article 9 </w:t>
      </w:r>
      <w:r w:rsidR="00326994">
        <w:t>Précisions sur la sous-traitance</w:t>
      </w:r>
      <w:bookmarkEnd w:id="59"/>
    </w:p>
    <w:p w:rsidR="00326994" w:rsidRDefault="00326994" w:rsidP="00306352">
      <w:pPr>
        <w:pStyle w:val="Texte"/>
      </w:pPr>
    </w:p>
    <w:p w:rsidR="00326994" w:rsidRPr="00326994" w:rsidRDefault="00326994" w:rsidP="00306352">
      <w:pPr>
        <w:pStyle w:val="Texte"/>
      </w:pPr>
      <w:r w:rsidRPr="00326994">
        <w:t>La sous-traitance est autorisée. Elle est régie par les articles</w:t>
      </w:r>
      <w:r w:rsidR="00B507A0">
        <w:t xml:space="preserve"> L. 2193-1 à L. 2193-14 </w:t>
      </w:r>
      <w:r w:rsidR="002C1200" w:rsidRPr="002C1200">
        <w:t xml:space="preserve"> du code de la commande publique</w:t>
      </w:r>
      <w:r w:rsidR="002C1200">
        <w:t xml:space="preserve"> et les articles </w:t>
      </w:r>
      <w:r w:rsidR="00D876BF">
        <w:t xml:space="preserve">R. 2193-1 à R. 2193-22 </w:t>
      </w:r>
      <w:r w:rsidR="00D876BF" w:rsidRPr="00326994">
        <w:t xml:space="preserve">du </w:t>
      </w:r>
      <w:r w:rsidR="00B507A0">
        <w:t>code de la commande publique, ainsi que</w:t>
      </w:r>
      <w:r w:rsidRPr="00326994">
        <w:t xml:space="preserve"> par la loi n° 75-1334 du 31 décembre 1975 relative à la sous-traitance.</w:t>
      </w:r>
    </w:p>
    <w:p w:rsidR="00326994" w:rsidRPr="00326994" w:rsidRDefault="00326994" w:rsidP="00306352">
      <w:pPr>
        <w:pStyle w:val="Texte"/>
      </w:pPr>
    </w:p>
    <w:p w:rsidR="00326994" w:rsidRPr="00326994" w:rsidRDefault="00326994" w:rsidP="00306352">
      <w:pPr>
        <w:pStyle w:val="Texte"/>
      </w:pPr>
      <w:r w:rsidRPr="00326994">
        <w:t xml:space="preserve">Néanmoins, au regard de l’article </w:t>
      </w:r>
      <w:r w:rsidR="002C1200">
        <w:t>L.2193-3 alinéa 1</w:t>
      </w:r>
      <w:r w:rsidRPr="00326994">
        <w:t xml:space="preserve"> </w:t>
      </w:r>
      <w:r w:rsidR="00BE0A75">
        <w:t>du code de la commande publique</w:t>
      </w:r>
      <w:r w:rsidRPr="00326994">
        <w:t>, le titulaire demeure personnellement responsable de l’exécution de toutes les obligations résultant du marché.</w:t>
      </w:r>
    </w:p>
    <w:p w:rsidR="00326994" w:rsidRPr="00326994" w:rsidRDefault="00326994" w:rsidP="00306352">
      <w:pPr>
        <w:pStyle w:val="Texte"/>
      </w:pPr>
    </w:p>
    <w:p w:rsidR="00326994" w:rsidRPr="00326994" w:rsidRDefault="00326994" w:rsidP="00306352">
      <w:pPr>
        <w:pStyle w:val="Texte"/>
      </w:pPr>
      <w:r w:rsidRPr="00326994">
        <w:t xml:space="preserve">Par ailleurs, conformément à l’article </w:t>
      </w:r>
      <w:r w:rsidR="002C1200">
        <w:t>R. 2193-1</w:t>
      </w:r>
      <w:r w:rsidRPr="00326994">
        <w:t xml:space="preserve"> du </w:t>
      </w:r>
      <w:r w:rsidR="00BE0A75">
        <w:t>code de la commande publique</w:t>
      </w:r>
      <w:r w:rsidRPr="00326994">
        <w:t>, dans le cas où la demande de sous-traitance intervient au moment du dépôt de l’offre, le candidat doit fournir au pouvoir adjudicateur une déclaration mentionnant :</w:t>
      </w:r>
    </w:p>
    <w:p w:rsidR="00326994" w:rsidRPr="00326994" w:rsidRDefault="00326994" w:rsidP="00306352">
      <w:pPr>
        <w:pStyle w:val="Texte"/>
        <w:numPr>
          <w:ilvl w:val="0"/>
          <w:numId w:val="6"/>
        </w:numPr>
      </w:pPr>
      <w:r w:rsidRPr="00326994">
        <w:t>La nature des prestations sous-traitées ;</w:t>
      </w:r>
    </w:p>
    <w:p w:rsidR="00326994" w:rsidRPr="00326994" w:rsidRDefault="00326994" w:rsidP="00306352">
      <w:pPr>
        <w:pStyle w:val="Texte"/>
        <w:numPr>
          <w:ilvl w:val="0"/>
          <w:numId w:val="6"/>
        </w:numPr>
      </w:pPr>
      <w:r w:rsidRPr="00326994">
        <w:t>Le nom, la raison ou la dénomination sociale et l’adresse du sous-traitant proposé ;</w:t>
      </w:r>
    </w:p>
    <w:p w:rsidR="00326994" w:rsidRPr="00326994" w:rsidRDefault="00326994" w:rsidP="00306352">
      <w:pPr>
        <w:pStyle w:val="Texte"/>
        <w:numPr>
          <w:ilvl w:val="0"/>
          <w:numId w:val="6"/>
        </w:numPr>
      </w:pPr>
      <w:r w:rsidRPr="00326994">
        <w:t>Le montant maximum des sommes à verser par paiement direct au sous-traitant ;</w:t>
      </w:r>
    </w:p>
    <w:p w:rsidR="00326994" w:rsidRPr="00326994" w:rsidRDefault="00326994" w:rsidP="00306352">
      <w:pPr>
        <w:pStyle w:val="Texte"/>
        <w:numPr>
          <w:ilvl w:val="0"/>
          <w:numId w:val="6"/>
        </w:numPr>
      </w:pPr>
      <w:r w:rsidRPr="00326994">
        <w:lastRenderedPageBreak/>
        <w:t>Les conditions de paiement prévues par le projet de contrat de sous-traitance et, le cas échéant, les modalités de variation des prix ;</w:t>
      </w:r>
    </w:p>
    <w:p w:rsidR="00326994" w:rsidRPr="00326994" w:rsidRDefault="00326994" w:rsidP="00306352">
      <w:pPr>
        <w:pStyle w:val="Texte"/>
        <w:numPr>
          <w:ilvl w:val="0"/>
          <w:numId w:val="6"/>
        </w:numPr>
      </w:pPr>
      <w:r w:rsidRPr="00326994">
        <w:t>Les capacités techniques, professionnelles et financières du sous-traitant.</w:t>
      </w:r>
    </w:p>
    <w:p w:rsidR="00326994" w:rsidRPr="00326994" w:rsidRDefault="00326994" w:rsidP="00306352">
      <w:pPr>
        <w:pStyle w:val="Texte"/>
      </w:pPr>
    </w:p>
    <w:p w:rsidR="00326994" w:rsidRPr="002C1200" w:rsidRDefault="00326994" w:rsidP="00306352">
      <w:pPr>
        <w:pStyle w:val="Texte"/>
      </w:pPr>
      <w:r w:rsidRPr="002C1200">
        <w:t>Chaque demande de sous-traitance doit faire l’objet d’un document DC4</w:t>
      </w:r>
      <w:r w:rsidR="002C1200">
        <w:t xml:space="preserve"> (téléchargeable à partir du lien : </w:t>
      </w:r>
      <w:r w:rsidR="002C1200" w:rsidRPr="002C1200">
        <w:t>https://www.economie.gouv.fr/daj/formulaires-declaration-du-candidat</w:t>
      </w:r>
      <w:r w:rsidR="002C1200">
        <w:t>)</w:t>
      </w:r>
      <w:r w:rsidRPr="002C1200">
        <w:t xml:space="preserve"> ou équivalent ; les moyens techniques et humains des sous-traitants doivent être présentés.</w:t>
      </w:r>
    </w:p>
    <w:p w:rsidR="00326994" w:rsidRPr="00326994" w:rsidRDefault="00326994" w:rsidP="00306352">
      <w:pPr>
        <w:pStyle w:val="Texte"/>
      </w:pPr>
    </w:p>
    <w:p w:rsidR="00B460DD" w:rsidRDefault="00326994" w:rsidP="005E650A">
      <w:pPr>
        <w:pStyle w:val="Texte"/>
      </w:pPr>
      <w:r w:rsidRPr="00326994">
        <w:t>L’acceptation des sous-traitants est conditionnée à la production des pièces citées au stade de la candidature.</w:t>
      </w:r>
    </w:p>
    <w:p w:rsidR="005E650A" w:rsidRPr="005E650A" w:rsidRDefault="005E650A" w:rsidP="005E650A">
      <w:pPr>
        <w:pStyle w:val="Texte"/>
      </w:pPr>
    </w:p>
    <w:p w:rsidR="00326994" w:rsidRPr="0005099C" w:rsidRDefault="00B460DD" w:rsidP="008B64D5">
      <w:pPr>
        <w:pStyle w:val="11"/>
      </w:pPr>
      <w:r>
        <w:t xml:space="preserve">  </w:t>
      </w:r>
      <w:bookmarkStart w:id="60" w:name="_Toc95299502"/>
      <w:r>
        <w:t xml:space="preserve">9.1 </w:t>
      </w:r>
      <w:r w:rsidR="00326994" w:rsidRPr="0005099C">
        <w:t xml:space="preserve"> Candidature sous forme de DUME</w:t>
      </w:r>
      <w:bookmarkEnd w:id="60"/>
    </w:p>
    <w:p w:rsidR="00326994" w:rsidRDefault="00326994" w:rsidP="00306352">
      <w:pPr>
        <w:pStyle w:val="Texte"/>
      </w:pPr>
    </w:p>
    <w:p w:rsidR="00326994" w:rsidRPr="00326994" w:rsidRDefault="00326994" w:rsidP="00306352">
      <w:pPr>
        <w:pStyle w:val="Texte"/>
      </w:pPr>
      <w:r w:rsidRPr="00326994">
        <w:t>Si le candidat s'appuie sur un ou des sous-traitants pour faire acte de candidature, il renseigne la partie II-C du DUME et fournit pour chacun de ces sous-traitants un formulai</w:t>
      </w:r>
      <w:r w:rsidR="007203D0">
        <w:t>re DUME distinct signé</w:t>
      </w:r>
      <w:r w:rsidRPr="00326994">
        <w:t xml:space="preserve"> par le sous-traitant et contenant les informations des sections A et B de la partie II ainsi que celles de la partie III et, le cas échéant, les parties IV et V.</w:t>
      </w:r>
    </w:p>
    <w:p w:rsidR="00326994" w:rsidRPr="00326994" w:rsidRDefault="00326994" w:rsidP="00306352">
      <w:pPr>
        <w:pStyle w:val="Texte"/>
      </w:pPr>
    </w:p>
    <w:p w:rsidR="00326994" w:rsidRPr="00326994" w:rsidRDefault="00326994" w:rsidP="00306352">
      <w:pPr>
        <w:pStyle w:val="Texte"/>
      </w:pPr>
      <w:r w:rsidRPr="00326994">
        <w:t>Si le candidat ne s'appuie pas sur de la sous-traitance pour faire acte de candidature mais qu'il a l'intention de sous-traiter une part du marché, il renseigne la partie II-D du DUME et fournit les informations figurant dans les parties II-A et B et III pour chacun de ces sous-traitants.</w:t>
      </w:r>
    </w:p>
    <w:p w:rsidR="00326994" w:rsidRDefault="00326994" w:rsidP="00306352">
      <w:pPr>
        <w:pStyle w:val="Texte"/>
      </w:pPr>
    </w:p>
    <w:p w:rsidR="00326994" w:rsidRPr="0005099C" w:rsidRDefault="00B460DD" w:rsidP="008B64D5">
      <w:pPr>
        <w:pStyle w:val="11"/>
      </w:pPr>
      <w:bookmarkStart w:id="61" w:name="_Toc95299503"/>
      <w:r>
        <w:t xml:space="preserve">9.2 </w:t>
      </w:r>
      <w:r w:rsidR="00326994" w:rsidRPr="0005099C">
        <w:t xml:space="preserve"> Candidature hors DUME</w:t>
      </w:r>
      <w:bookmarkEnd w:id="61"/>
    </w:p>
    <w:p w:rsidR="00326994" w:rsidRDefault="00326994" w:rsidP="00306352">
      <w:pPr>
        <w:pStyle w:val="Texte"/>
      </w:pPr>
    </w:p>
    <w:p w:rsidR="00326994" w:rsidRPr="00326994" w:rsidRDefault="00326994" w:rsidP="00306352">
      <w:pPr>
        <w:pStyle w:val="Texte"/>
      </w:pPr>
      <w:r w:rsidRPr="00326994">
        <w:t xml:space="preserve">La présentation d'un sous-traitant se fait à l'aide de l'imprimé DC 4 (Déclaration de sous-traitance) dument rempli et signé par le sous-traitant et le candidat, comportant l'indication des capacités professionnelles, techniques et financières du sous-traitant ainsi que la déclaration sur l'honneur que le sous-traitant ne tombe pas sous le coup d'une interdiction d'accéder aux marches publics. Ce formulaire est disponible à l'adresse suivante : </w:t>
      </w:r>
      <w:hyperlink r:id="rId13" w:history="1">
        <w:r w:rsidR="007278CE" w:rsidRPr="000A3D3C">
          <w:rPr>
            <w:rStyle w:val="Lienhypertexte"/>
            <w:bCs/>
          </w:rPr>
          <w:t>http://www.economie.gouv.fr/daj</w:t>
        </w:r>
      </w:hyperlink>
    </w:p>
    <w:p w:rsidR="00326994" w:rsidRDefault="00326994" w:rsidP="00306352">
      <w:pPr>
        <w:pStyle w:val="Texte"/>
      </w:pPr>
    </w:p>
    <w:p w:rsidR="004D42E6" w:rsidRDefault="004D42E6" w:rsidP="00306352">
      <w:pPr>
        <w:pStyle w:val="Texte"/>
      </w:pPr>
    </w:p>
    <w:p w:rsidR="004D42E6" w:rsidRDefault="00C51E97" w:rsidP="005E650A">
      <w:pPr>
        <w:pStyle w:val="ARTICLECCAPCCTP"/>
        <w:tabs>
          <w:tab w:val="clear" w:pos="1440"/>
        </w:tabs>
      </w:pPr>
      <w:bookmarkStart w:id="62" w:name="_Toc95299504"/>
      <w:bookmarkStart w:id="63" w:name="_Toc511975035"/>
      <w:r>
        <w:t xml:space="preserve">Article 10 </w:t>
      </w:r>
      <w:r w:rsidR="007C04BD" w:rsidRPr="005F0CC3">
        <w:t>P</w:t>
      </w:r>
      <w:r w:rsidR="005E650A">
        <w:t>résentation des offres</w:t>
      </w:r>
      <w:bookmarkEnd w:id="62"/>
      <w:r w:rsidR="005E650A">
        <w:t xml:space="preserve"> </w:t>
      </w:r>
      <w:bookmarkEnd w:id="63"/>
    </w:p>
    <w:p w:rsidR="004D42E6" w:rsidRDefault="004D42E6" w:rsidP="00306352">
      <w:pPr>
        <w:pStyle w:val="Texte"/>
      </w:pPr>
    </w:p>
    <w:p w:rsidR="00197F93" w:rsidRDefault="00197F93" w:rsidP="00306352">
      <w:pPr>
        <w:pStyle w:val="Texte"/>
      </w:pPr>
      <w:bookmarkStart w:id="64" w:name="_Hlk510534333"/>
      <w:r w:rsidRPr="00197F93">
        <w:t>L'offre du soumissionnaire comporte</w:t>
      </w:r>
      <w:r w:rsidR="003C28D9">
        <w:t>ra obligatoirement</w:t>
      </w:r>
      <w:r w:rsidRPr="00197F93">
        <w:t xml:space="preserve"> les pièces suivantes:</w:t>
      </w:r>
    </w:p>
    <w:p w:rsidR="0081458D" w:rsidRPr="00197F93" w:rsidRDefault="0081458D" w:rsidP="00306352">
      <w:pPr>
        <w:pStyle w:val="Texte"/>
      </w:pPr>
    </w:p>
    <w:p w:rsidR="00553176" w:rsidRDefault="00553176" w:rsidP="0076391A">
      <w:pPr>
        <w:pStyle w:val="Paragraphedeliste"/>
        <w:numPr>
          <w:ilvl w:val="0"/>
          <w:numId w:val="14"/>
        </w:numPr>
      </w:pPr>
      <w:r>
        <w:t>Le présent  CCP paraphé</w:t>
      </w:r>
      <w:r w:rsidR="00035145">
        <w:t> ;</w:t>
      </w:r>
    </w:p>
    <w:p w:rsidR="00553176" w:rsidRDefault="00553176" w:rsidP="00553176">
      <w:pPr>
        <w:pStyle w:val="Paragraphedeliste"/>
        <w:ind w:firstLine="0"/>
      </w:pPr>
    </w:p>
    <w:p w:rsidR="00F127F9" w:rsidRPr="004A2AE0" w:rsidRDefault="00F127F9" w:rsidP="0076391A">
      <w:pPr>
        <w:pStyle w:val="Paragraphedeliste"/>
        <w:numPr>
          <w:ilvl w:val="0"/>
          <w:numId w:val="14"/>
        </w:numPr>
      </w:pPr>
      <w:r w:rsidRPr="004A2AE0">
        <w:t>Un acte d'engagement intégralement complété, daté et dûment signé en original ;</w:t>
      </w:r>
    </w:p>
    <w:p w:rsidR="0005099C" w:rsidRPr="004A2AE0" w:rsidRDefault="00F127F9" w:rsidP="00306352">
      <w:pPr>
        <w:pStyle w:val="Paragraphedeliste"/>
        <w:ind w:firstLine="0"/>
      </w:pPr>
      <w:r w:rsidRPr="004A2AE0">
        <w:t>L’acte d’engagement devra être signé par le représentant légal de l'opérateur économique, ou tout représentant désigné par lui. À défaut le candidat s'expose à voir l’intégralité de son offre rejetée comme irrégulière.</w:t>
      </w:r>
    </w:p>
    <w:p w:rsidR="0005099C" w:rsidRPr="004A2AE0" w:rsidRDefault="0005099C" w:rsidP="00306352"/>
    <w:p w:rsidR="00871974" w:rsidRDefault="00C52D96" w:rsidP="00871974">
      <w:pPr>
        <w:pStyle w:val="Texte"/>
        <w:numPr>
          <w:ilvl w:val="0"/>
          <w:numId w:val="14"/>
        </w:numPr>
      </w:pPr>
      <w:r w:rsidRPr="004A2AE0">
        <w:t>L’a</w:t>
      </w:r>
      <w:r w:rsidR="00453BDE" w:rsidRPr="004A2AE0">
        <w:t>nnexe n°1 à l’Acte d’</w:t>
      </w:r>
      <w:r w:rsidR="00591D7A" w:rsidRPr="004A2AE0">
        <w:t>Engagement :</w:t>
      </w:r>
      <w:r w:rsidR="00871974" w:rsidRPr="00871974">
        <w:t xml:space="preserve"> </w:t>
      </w:r>
      <w:r w:rsidR="00871974" w:rsidRPr="004A2AE0">
        <w:t>Acte contractuel de confidentialité</w:t>
      </w:r>
      <w:r w:rsidR="00871974">
        <w:t xml:space="preserve">, </w:t>
      </w:r>
      <w:r w:rsidR="00871974" w:rsidRPr="004A2AE0">
        <w:t>– dûment complété et signé,</w:t>
      </w:r>
    </w:p>
    <w:p w:rsidR="00871974" w:rsidRDefault="00871974" w:rsidP="00871974">
      <w:pPr>
        <w:pStyle w:val="Texte"/>
        <w:ind w:left="720"/>
      </w:pPr>
    </w:p>
    <w:p w:rsidR="00604BCF" w:rsidRDefault="00871974" w:rsidP="0076391A">
      <w:pPr>
        <w:pStyle w:val="Texte"/>
        <w:numPr>
          <w:ilvl w:val="0"/>
          <w:numId w:val="14"/>
        </w:numPr>
      </w:pPr>
      <w:r>
        <w:t>L’annexe n° 2 à l’Acte d’Engagement </w:t>
      </w:r>
      <w:r w:rsidR="003D49BD">
        <w:t xml:space="preserve">: </w:t>
      </w:r>
      <w:r w:rsidR="003D49BD" w:rsidRPr="004A2AE0">
        <w:t>Annexe</w:t>
      </w:r>
      <w:r w:rsidR="00591D7A" w:rsidRPr="004A2AE0">
        <w:t xml:space="preserve"> financière</w:t>
      </w:r>
      <w:r w:rsidR="00354174">
        <w:t xml:space="preserve"> </w:t>
      </w:r>
      <w:r w:rsidR="003A5B24">
        <w:t xml:space="preserve">valant </w:t>
      </w:r>
      <w:r w:rsidR="00237CB7">
        <w:t>Décomposition du Prix global et forfaitaire</w:t>
      </w:r>
      <w:r w:rsidR="008C1CF9">
        <w:t xml:space="preserve"> (DPGF</w:t>
      </w:r>
      <w:r w:rsidR="003D49BD">
        <w:t>)</w:t>
      </w:r>
      <w:r w:rsidR="00237CB7" w:rsidRPr="004A2AE0">
        <w:t>, intégralement complété et signé;</w:t>
      </w:r>
      <w:r w:rsidR="00604BCF" w:rsidRPr="00604BCF">
        <w:t xml:space="preserve"> </w:t>
      </w:r>
    </w:p>
    <w:p w:rsidR="00673E7B" w:rsidRDefault="00673E7B" w:rsidP="00673E7B">
      <w:pPr>
        <w:pStyle w:val="Texte"/>
        <w:ind w:left="720"/>
      </w:pPr>
    </w:p>
    <w:p w:rsidR="00673E7B" w:rsidRDefault="00871974" w:rsidP="0076391A">
      <w:pPr>
        <w:pStyle w:val="Texte"/>
        <w:numPr>
          <w:ilvl w:val="0"/>
          <w:numId w:val="14"/>
        </w:numPr>
      </w:pPr>
      <w:r>
        <w:t xml:space="preserve">L’annexe n°3 </w:t>
      </w:r>
      <w:r w:rsidR="00673E7B">
        <w:t xml:space="preserve">à l’Acte d’Engagement : Mémoire technique comportant les éléments suivants : </w:t>
      </w:r>
    </w:p>
    <w:p w:rsidR="00673E7B" w:rsidRPr="00673E7B" w:rsidRDefault="00673E7B" w:rsidP="0076391A">
      <w:pPr>
        <w:pStyle w:val="Texte"/>
        <w:numPr>
          <w:ilvl w:val="1"/>
          <w:numId w:val="14"/>
        </w:numPr>
      </w:pPr>
      <w:r w:rsidRPr="00E85CAB">
        <w:rPr>
          <w:rFonts w:ascii="Calibri" w:hAnsi="Calibri" w:cs="Calibri"/>
          <w:b/>
        </w:rPr>
        <w:t>Moyens techniques et humains : programme  et méthodologie d’exécution</w:t>
      </w:r>
    </w:p>
    <w:p w:rsidR="00673E7B" w:rsidRPr="00673E7B" w:rsidRDefault="00673E7B" w:rsidP="0076391A">
      <w:pPr>
        <w:pStyle w:val="Texte"/>
        <w:numPr>
          <w:ilvl w:val="1"/>
          <w:numId w:val="14"/>
        </w:numPr>
      </w:pPr>
      <w:r w:rsidRPr="00E85CAB">
        <w:rPr>
          <w:rFonts w:ascii="Calibri" w:hAnsi="Calibri" w:cs="Calibri"/>
          <w:b/>
        </w:rPr>
        <w:t>Assurance qualité</w:t>
      </w:r>
    </w:p>
    <w:p w:rsidR="00673E7B" w:rsidRDefault="00673E7B" w:rsidP="0076391A">
      <w:pPr>
        <w:pStyle w:val="Texte"/>
        <w:numPr>
          <w:ilvl w:val="1"/>
          <w:numId w:val="14"/>
        </w:numPr>
      </w:pPr>
      <w:r w:rsidRPr="006D6010">
        <w:rPr>
          <w:rFonts w:ascii="Calibri" w:hAnsi="Calibri" w:cs="Calibri"/>
          <w:b/>
        </w:rPr>
        <w:t>Qualité environnementale</w:t>
      </w:r>
    </w:p>
    <w:p w:rsidR="00591D7A" w:rsidRDefault="00035145" w:rsidP="00035145">
      <w:pPr>
        <w:pStyle w:val="Texte"/>
        <w:ind w:left="780"/>
      </w:pPr>
      <w:r>
        <w:t xml:space="preserve">Intégralement complété et signé, </w:t>
      </w:r>
    </w:p>
    <w:p w:rsidR="00035145" w:rsidRPr="004A2AE0" w:rsidRDefault="00035145" w:rsidP="00035145">
      <w:pPr>
        <w:pStyle w:val="Texte"/>
        <w:ind w:left="780"/>
      </w:pPr>
    </w:p>
    <w:p w:rsidR="00C52D96" w:rsidRDefault="008454C9" w:rsidP="0076391A">
      <w:pPr>
        <w:pStyle w:val="Texte"/>
        <w:numPr>
          <w:ilvl w:val="0"/>
          <w:numId w:val="14"/>
        </w:numPr>
      </w:pPr>
      <w:r w:rsidRPr="004A2AE0">
        <w:rPr>
          <w:rFonts w:ascii="Calibri" w:hAnsi="Calibri" w:cs="Calibri"/>
        </w:rPr>
        <w:t>L’a</w:t>
      </w:r>
      <w:r w:rsidR="00213C82">
        <w:t>nnexe n°1 au CC</w:t>
      </w:r>
      <w:r w:rsidRPr="004A2AE0">
        <w:t>P :</w:t>
      </w:r>
      <w:r w:rsidR="00871974">
        <w:t xml:space="preserve"> Attestation de Visite </w:t>
      </w:r>
      <w:r w:rsidR="0025079D" w:rsidRPr="004A2AE0">
        <w:t>dûment complété et signé,</w:t>
      </w:r>
      <w:bookmarkEnd w:id="64"/>
    </w:p>
    <w:p w:rsidR="00871974" w:rsidRDefault="00871974" w:rsidP="00871974">
      <w:pPr>
        <w:pStyle w:val="Texte"/>
        <w:ind w:left="720"/>
      </w:pPr>
    </w:p>
    <w:p w:rsidR="00871974" w:rsidRDefault="00871974" w:rsidP="0076391A">
      <w:pPr>
        <w:pStyle w:val="Texte"/>
        <w:numPr>
          <w:ilvl w:val="0"/>
          <w:numId w:val="14"/>
        </w:numPr>
      </w:pPr>
      <w:r>
        <w:rPr>
          <w:rFonts w:ascii="Calibri" w:hAnsi="Calibri" w:cs="Calibri"/>
        </w:rPr>
        <w:t>L’annexe n°2 au CPP : Etat des Surface paraphé.</w:t>
      </w:r>
    </w:p>
    <w:p w:rsidR="006D6010" w:rsidRDefault="006D6010" w:rsidP="006D6010">
      <w:pPr>
        <w:pStyle w:val="Paragraphedeliste"/>
      </w:pPr>
    </w:p>
    <w:p w:rsidR="0076391A" w:rsidRDefault="0076391A" w:rsidP="006D6010">
      <w:pPr>
        <w:pStyle w:val="Paragraphedeliste"/>
      </w:pPr>
    </w:p>
    <w:p w:rsidR="00E85CAB" w:rsidRPr="00B957ED" w:rsidRDefault="00E85CAB" w:rsidP="00306352">
      <w:pPr>
        <w:pStyle w:val="Texte"/>
      </w:pPr>
    </w:p>
    <w:p w:rsidR="00E220AA" w:rsidRPr="00E220AA" w:rsidRDefault="00E220AA" w:rsidP="00E220AA">
      <w:pPr>
        <w:widowControl w:val="0"/>
        <w:numPr>
          <w:ilvl w:val="12"/>
          <w:numId w:val="0"/>
        </w:numPr>
        <w:overflowPunct w:val="0"/>
        <w:adjustRightInd w:val="0"/>
        <w:spacing w:after="120"/>
        <w:rPr>
          <w:rFonts w:ascii="Calibri" w:hAnsi="Calibri" w:cs="Calibri"/>
          <w:b/>
          <w:kern w:val="28"/>
          <w:u w:val="single"/>
        </w:rPr>
      </w:pPr>
      <w:r w:rsidRPr="00E220AA">
        <w:rPr>
          <w:rFonts w:ascii="Calibri" w:hAnsi="Calibri" w:cs="Calibri"/>
          <w:kern w:val="28"/>
        </w:rPr>
        <w:t xml:space="preserve">Conformément aux dispositions des articles R.2132-1 à R.2132-14 du code de la commande publique, </w:t>
      </w:r>
      <w:r w:rsidRPr="00E220AA">
        <w:rPr>
          <w:rFonts w:ascii="Calibri" w:hAnsi="Calibri" w:cs="Calibri"/>
          <w:b/>
          <w:kern w:val="28"/>
          <w:u w:val="single"/>
        </w:rPr>
        <w:t>les documents au titre de la candidature et de l’offre devront impérativement être transmis par voie électronique sur le lien de la consultation transmis par la plateforme achat public.</w:t>
      </w:r>
    </w:p>
    <w:p w:rsidR="00E220AA" w:rsidRPr="00E220AA" w:rsidRDefault="00E220AA" w:rsidP="00E220AA">
      <w:pPr>
        <w:widowControl w:val="0"/>
        <w:tabs>
          <w:tab w:val="right" w:pos="9360"/>
        </w:tabs>
        <w:suppressAutoHyphens/>
        <w:overflowPunct w:val="0"/>
        <w:adjustRightInd w:val="0"/>
        <w:spacing w:after="240"/>
        <w:jc w:val="left"/>
        <w:rPr>
          <w:rFonts w:ascii="Calibri" w:hAnsi="Calibri" w:cs="Calibri"/>
          <w:b/>
          <w:bCs/>
          <w:i/>
          <w:iCs/>
          <w:color w:val="FF0000"/>
          <w:kern w:val="28"/>
          <w:sz w:val="32"/>
          <w:szCs w:val="32"/>
          <w:lang w:eastAsia="zh-CN"/>
        </w:rPr>
      </w:pPr>
      <w:r w:rsidRPr="00E220AA">
        <w:rPr>
          <w:rFonts w:ascii="Calibri" w:hAnsi="Calibri" w:cs="Calibri"/>
          <w:kern w:val="28"/>
        </w:rPr>
        <w:t xml:space="preserve">Au plus tard le : </w:t>
      </w:r>
      <w:r w:rsidR="00C17DEB" w:rsidRPr="00DA517F">
        <w:rPr>
          <w:rFonts w:ascii="Calibri" w:hAnsi="Calibri" w:cs="Calibri"/>
          <w:b/>
          <w:bCs/>
          <w:i/>
          <w:iCs/>
          <w:kern w:val="28"/>
          <w:sz w:val="24"/>
          <w:szCs w:val="32"/>
          <w:lang w:eastAsia="zh-CN"/>
        </w:rPr>
        <w:t xml:space="preserve">Le </w:t>
      </w:r>
      <w:r w:rsidR="00471E5A">
        <w:rPr>
          <w:rFonts w:ascii="Calibri" w:hAnsi="Calibri" w:cs="Calibri"/>
          <w:b/>
          <w:bCs/>
          <w:i/>
          <w:iCs/>
          <w:kern w:val="28"/>
          <w:sz w:val="24"/>
          <w:szCs w:val="32"/>
          <w:lang w:eastAsia="zh-CN"/>
        </w:rPr>
        <w:t>0</w:t>
      </w:r>
      <w:r w:rsidR="0053408F">
        <w:rPr>
          <w:rFonts w:ascii="Calibri" w:hAnsi="Calibri" w:cs="Calibri"/>
          <w:b/>
          <w:bCs/>
          <w:i/>
          <w:iCs/>
          <w:kern w:val="28"/>
          <w:sz w:val="24"/>
          <w:szCs w:val="32"/>
          <w:lang w:eastAsia="zh-CN"/>
        </w:rPr>
        <w:t>4</w:t>
      </w:r>
      <w:r w:rsidR="0012504D" w:rsidRPr="00DA517F">
        <w:rPr>
          <w:rFonts w:ascii="Calibri" w:hAnsi="Calibri" w:cs="Calibri"/>
          <w:b/>
          <w:bCs/>
          <w:i/>
          <w:iCs/>
          <w:kern w:val="28"/>
          <w:sz w:val="24"/>
          <w:szCs w:val="32"/>
          <w:lang w:eastAsia="zh-CN"/>
        </w:rPr>
        <w:t>/04</w:t>
      </w:r>
      <w:r w:rsidR="00471715">
        <w:rPr>
          <w:rFonts w:ascii="Calibri" w:hAnsi="Calibri" w:cs="Calibri"/>
          <w:b/>
          <w:bCs/>
          <w:i/>
          <w:iCs/>
          <w:kern w:val="28"/>
          <w:sz w:val="24"/>
          <w:szCs w:val="32"/>
          <w:lang w:eastAsia="zh-CN"/>
        </w:rPr>
        <w:t>/2025</w:t>
      </w:r>
      <w:r w:rsidR="00C17DEB" w:rsidRPr="00DA517F">
        <w:rPr>
          <w:rFonts w:ascii="Calibri" w:hAnsi="Calibri" w:cs="Calibri"/>
          <w:b/>
          <w:bCs/>
          <w:i/>
          <w:iCs/>
          <w:kern w:val="28"/>
          <w:sz w:val="24"/>
          <w:szCs w:val="32"/>
          <w:lang w:eastAsia="zh-CN"/>
        </w:rPr>
        <w:t xml:space="preserve"> à 12</w:t>
      </w:r>
      <w:r w:rsidRPr="00DA517F">
        <w:rPr>
          <w:rFonts w:ascii="Calibri" w:hAnsi="Calibri" w:cs="Calibri"/>
          <w:b/>
          <w:bCs/>
          <w:i/>
          <w:iCs/>
          <w:kern w:val="28"/>
          <w:sz w:val="24"/>
          <w:szCs w:val="32"/>
          <w:lang w:eastAsia="zh-CN"/>
        </w:rPr>
        <w:t>h00</w:t>
      </w:r>
    </w:p>
    <w:p w:rsidR="00CC412C" w:rsidRDefault="00CC412C" w:rsidP="00306352">
      <w:pPr>
        <w:pStyle w:val="Texte"/>
      </w:pPr>
    </w:p>
    <w:p w:rsidR="00E220AA" w:rsidRDefault="00C51E97" w:rsidP="00612328">
      <w:pPr>
        <w:pStyle w:val="ARTICLECCAPCCTP"/>
      </w:pPr>
      <w:bookmarkStart w:id="65" w:name="_Toc95299505"/>
      <w:r>
        <w:t xml:space="preserve">Article 11 </w:t>
      </w:r>
      <w:r w:rsidR="00E220AA" w:rsidRPr="00E220AA">
        <w:t>Negociation</w:t>
      </w:r>
      <w:bookmarkEnd w:id="65"/>
    </w:p>
    <w:p w:rsidR="00E220AA" w:rsidRDefault="00E220AA" w:rsidP="00306352">
      <w:pPr>
        <w:pStyle w:val="Texte"/>
      </w:pPr>
    </w:p>
    <w:p w:rsidR="00E220AA" w:rsidRDefault="00E220AA" w:rsidP="00306352">
      <w:pPr>
        <w:pStyle w:val="Texte"/>
      </w:pPr>
    </w:p>
    <w:p w:rsidR="00E220AA" w:rsidRPr="00E220AA" w:rsidRDefault="00E220AA" w:rsidP="00E220AA">
      <w:pPr>
        <w:widowControl w:val="0"/>
        <w:overflowPunct w:val="0"/>
        <w:adjustRightInd w:val="0"/>
        <w:spacing w:after="120"/>
        <w:jc w:val="left"/>
        <w:rPr>
          <w:rFonts w:ascii="Calibri" w:hAnsi="Calibri" w:cs="Times New Roman"/>
          <w:kern w:val="28"/>
          <w:lang w:eastAsia="zh-CN"/>
        </w:rPr>
      </w:pPr>
      <w:r w:rsidRPr="00E220AA">
        <w:rPr>
          <w:rFonts w:ascii="Calibri" w:hAnsi="Calibri" w:cs="Times New Roman"/>
          <w:kern w:val="28"/>
          <w:lang w:eastAsia="zh-CN"/>
        </w:rPr>
        <w:t>Conformément à l’article R. 2123-5 du code</w:t>
      </w:r>
      <w:r w:rsidR="003A5B24">
        <w:rPr>
          <w:rFonts w:ascii="Calibri" w:hAnsi="Calibri" w:cs="Times New Roman"/>
          <w:kern w:val="28"/>
          <w:lang w:eastAsia="zh-CN"/>
        </w:rPr>
        <w:t xml:space="preserve"> de la commande publique</w:t>
      </w:r>
      <w:r w:rsidRPr="00E220AA">
        <w:rPr>
          <w:rFonts w:ascii="Calibri" w:hAnsi="Calibri" w:cs="Times New Roman"/>
          <w:kern w:val="28"/>
          <w:lang w:eastAsia="zh-CN"/>
        </w:rPr>
        <w:t>, le pouvoir adjudicateur se réserve la possibilité de négocier.</w:t>
      </w:r>
    </w:p>
    <w:p w:rsidR="00E220AA" w:rsidRPr="00E220AA" w:rsidRDefault="00E220AA" w:rsidP="00E220AA">
      <w:pPr>
        <w:widowControl w:val="0"/>
        <w:overflowPunct w:val="0"/>
        <w:adjustRightInd w:val="0"/>
        <w:spacing w:after="120"/>
        <w:jc w:val="left"/>
        <w:rPr>
          <w:rFonts w:ascii="Calibri" w:hAnsi="Calibri" w:cs="Times New Roman"/>
          <w:kern w:val="28"/>
          <w:lang w:eastAsia="zh-CN"/>
        </w:rPr>
      </w:pPr>
      <w:r w:rsidRPr="00E220AA">
        <w:rPr>
          <w:rFonts w:ascii="Calibri" w:hAnsi="Calibri" w:cs="Times New Roman"/>
          <w:kern w:val="28"/>
          <w:lang w:eastAsia="zh-CN"/>
        </w:rPr>
        <w:t>Le cas échéant (s’il n’use pas de sa faculté de négocier), il attribuera le présent marché sur la base des offres initiales sans négociation.</w:t>
      </w:r>
    </w:p>
    <w:p w:rsidR="00E220AA" w:rsidRPr="00E220AA" w:rsidRDefault="00E220AA" w:rsidP="00E220AA">
      <w:pPr>
        <w:widowControl w:val="0"/>
        <w:overflowPunct w:val="0"/>
        <w:adjustRightInd w:val="0"/>
        <w:spacing w:after="120"/>
        <w:jc w:val="left"/>
        <w:rPr>
          <w:rFonts w:ascii="Calibri" w:hAnsi="Calibri" w:cs="Times New Roman"/>
          <w:kern w:val="28"/>
          <w:lang w:eastAsia="zh-CN"/>
        </w:rPr>
      </w:pPr>
      <w:r w:rsidRPr="00E220AA">
        <w:rPr>
          <w:rFonts w:ascii="Calibri" w:hAnsi="Calibri" w:cs="Times New Roman"/>
          <w:kern w:val="28"/>
          <w:lang w:eastAsia="zh-CN"/>
        </w:rPr>
        <w:t>Le pouvoir adjudicateur se réserve la possibilité de négocier avec les deux (2) candidats ayant présenté les meilleures offres sur le montant et/ou les modalités techniques de leur offre.</w:t>
      </w:r>
    </w:p>
    <w:p w:rsidR="00E220AA" w:rsidRPr="00E220AA" w:rsidRDefault="00E220AA" w:rsidP="00E220AA">
      <w:pPr>
        <w:widowControl w:val="0"/>
        <w:overflowPunct w:val="0"/>
        <w:adjustRightInd w:val="0"/>
        <w:spacing w:after="120"/>
        <w:jc w:val="left"/>
        <w:rPr>
          <w:rFonts w:ascii="Calibri" w:hAnsi="Calibri" w:cs="Times New Roman"/>
          <w:kern w:val="28"/>
          <w:lang w:eastAsia="zh-CN"/>
        </w:rPr>
      </w:pPr>
      <w:r w:rsidRPr="00E220AA">
        <w:rPr>
          <w:rFonts w:ascii="Calibri" w:hAnsi="Calibri" w:cs="Times New Roman"/>
          <w:kern w:val="28"/>
          <w:lang w:eastAsia="zh-CN"/>
        </w:rPr>
        <w:t>La CPAM de la Gironde se réserve la possibilité de demander durant la négociation, si elle a lieu, aux candidats ayant remis une offre irrégulière ou inacceptable, de régulariser leur offre, à la condition qu’elle ne soit pas anormalement basse dans les conditions visées aux articles R.2152-3 à 5 du code ou inappropriées au sens de l’article L.2152-4</w:t>
      </w:r>
      <w:r w:rsidR="003A5B24">
        <w:rPr>
          <w:rFonts w:ascii="Calibri" w:hAnsi="Calibri" w:cs="Times New Roman"/>
          <w:kern w:val="28"/>
          <w:lang w:eastAsia="zh-CN"/>
        </w:rPr>
        <w:t>.</w:t>
      </w:r>
    </w:p>
    <w:p w:rsidR="00E220AA" w:rsidRPr="00E220AA" w:rsidRDefault="00E220AA" w:rsidP="00E220AA">
      <w:pPr>
        <w:overflowPunct w:val="0"/>
        <w:autoSpaceDE w:val="0"/>
        <w:autoSpaceDN w:val="0"/>
        <w:adjustRightInd w:val="0"/>
        <w:spacing w:after="120"/>
        <w:rPr>
          <w:rFonts w:ascii="Calibri" w:hAnsi="Calibri" w:cs="Calibri"/>
          <w:b/>
          <w:u w:val="single"/>
        </w:rPr>
      </w:pPr>
      <w:r w:rsidRPr="00E220AA">
        <w:rPr>
          <w:rFonts w:ascii="Calibri" w:hAnsi="Calibri" w:cs="Calibri"/>
          <w:b/>
          <w:u w:val="single"/>
        </w:rPr>
        <w:t>Pour Rappel :</w:t>
      </w:r>
    </w:p>
    <w:p w:rsidR="00E220AA" w:rsidRPr="00E220AA" w:rsidRDefault="00E220AA" w:rsidP="00E220AA">
      <w:pPr>
        <w:overflowPunct w:val="0"/>
        <w:autoSpaceDE w:val="0"/>
        <w:autoSpaceDN w:val="0"/>
        <w:adjustRightInd w:val="0"/>
        <w:spacing w:after="120"/>
        <w:rPr>
          <w:rFonts w:ascii="Calibri" w:hAnsi="Calibri" w:cs="Calibri"/>
        </w:rPr>
      </w:pPr>
      <w:r w:rsidRPr="00E220AA">
        <w:rPr>
          <w:rFonts w:ascii="Calibri" w:hAnsi="Calibri" w:cs="Calibri"/>
        </w:rPr>
        <w:t xml:space="preserve">La négociation peut porter sur tous les éléments de l’offre, notamment sur le prix. Elle ne doit cependant pas conduire à modifier les caractéristiques principales du marché public ou abandonner un critère de jugement en cours de procédure. </w:t>
      </w:r>
      <w:r w:rsidRPr="00E220AA">
        <w:rPr>
          <w:rFonts w:ascii="Calibri" w:hAnsi="Calibri" w:cs="Calibri"/>
          <w:bCs/>
        </w:rPr>
        <w:t>La négociation doit être impartiale et ne peut aboutir à transmettre des informations concernant les offres des opérateurs économiques tiers.</w:t>
      </w:r>
    </w:p>
    <w:p w:rsidR="00E220AA" w:rsidRPr="00E220AA" w:rsidRDefault="00E220AA" w:rsidP="00E220AA">
      <w:pPr>
        <w:overflowPunct w:val="0"/>
        <w:autoSpaceDE w:val="0"/>
        <w:autoSpaceDN w:val="0"/>
        <w:adjustRightInd w:val="0"/>
        <w:spacing w:after="240"/>
        <w:rPr>
          <w:rFonts w:ascii="Calibri" w:hAnsi="Calibri" w:cs="Calibri"/>
        </w:rPr>
      </w:pPr>
      <w:r w:rsidRPr="00E220AA">
        <w:rPr>
          <w:rFonts w:ascii="Calibri" w:hAnsi="Calibri" w:cs="Calibri"/>
        </w:rPr>
        <w:t>L’acheteur peut négocier le tarif forfaitaire proposé par les candidats mais également les taux horaires d’intervention curative ainsi que les frais de déplacement pour la maintenance préventive.</w:t>
      </w:r>
    </w:p>
    <w:p w:rsidR="00E220AA" w:rsidRDefault="00E220AA" w:rsidP="00306352">
      <w:pPr>
        <w:pStyle w:val="Texte"/>
      </w:pPr>
    </w:p>
    <w:p w:rsidR="00E220AA" w:rsidRDefault="00E220AA" w:rsidP="00306352">
      <w:pPr>
        <w:pStyle w:val="Texte"/>
      </w:pPr>
    </w:p>
    <w:p w:rsidR="00197F93" w:rsidRPr="00197F93" w:rsidRDefault="00612328" w:rsidP="00612328">
      <w:pPr>
        <w:pStyle w:val="ARTICLECCAPCCTP"/>
      </w:pPr>
      <w:bookmarkStart w:id="66" w:name="_Toc511975036"/>
      <w:bookmarkStart w:id="67" w:name="_Toc95299506"/>
      <w:r w:rsidRPr="00612328">
        <w:t>Article</w:t>
      </w:r>
      <w:r w:rsidR="00C51E97">
        <w:t xml:space="preserve"> 12</w:t>
      </w:r>
      <w:r>
        <w:t xml:space="preserve"> </w:t>
      </w:r>
      <w:r w:rsidR="00197F93" w:rsidRPr="00197F93">
        <w:t>Modalités de transmission des plis</w:t>
      </w:r>
      <w:bookmarkEnd w:id="66"/>
      <w:bookmarkEnd w:id="67"/>
    </w:p>
    <w:p w:rsidR="00197F93" w:rsidRDefault="00197F93" w:rsidP="00306352">
      <w:pPr>
        <w:pStyle w:val="Texte"/>
      </w:pPr>
    </w:p>
    <w:p w:rsidR="00197F93" w:rsidRDefault="00197F93" w:rsidP="00306352">
      <w:pPr>
        <w:pStyle w:val="Texte"/>
      </w:pPr>
    </w:p>
    <w:p w:rsidR="00197F93" w:rsidRPr="00C72FF8" w:rsidRDefault="00C51E97" w:rsidP="008B64D5">
      <w:pPr>
        <w:pStyle w:val="11"/>
      </w:pPr>
      <w:bookmarkStart w:id="68" w:name="_Toc511975037"/>
      <w:bookmarkStart w:id="69" w:name="_Toc95299507"/>
      <w:r>
        <w:t>12.1</w:t>
      </w:r>
      <w:r w:rsidR="00612328">
        <w:t xml:space="preserve">  </w:t>
      </w:r>
      <w:r w:rsidR="00F40142" w:rsidRPr="00C72FF8">
        <w:t>Date et heure limite de réception des plis</w:t>
      </w:r>
      <w:bookmarkEnd w:id="68"/>
      <w:bookmarkEnd w:id="69"/>
    </w:p>
    <w:p w:rsidR="00197F93" w:rsidRDefault="00197F93" w:rsidP="00306352">
      <w:pPr>
        <w:pStyle w:val="Texte"/>
      </w:pPr>
    </w:p>
    <w:p w:rsidR="00F40142" w:rsidRPr="00F40142" w:rsidRDefault="00F40142" w:rsidP="00306352">
      <w:pPr>
        <w:pStyle w:val="Texte"/>
        <w:rPr>
          <w:b/>
          <w:color w:val="FF0000"/>
          <w:sz w:val="28"/>
          <w:szCs w:val="28"/>
        </w:rPr>
      </w:pPr>
      <w:r w:rsidRPr="00F40142">
        <w:t xml:space="preserve">Les plis devront être transmis avant </w:t>
      </w:r>
      <w:r w:rsidRPr="00C72FF8">
        <w:t xml:space="preserve">le </w:t>
      </w:r>
      <w:r w:rsidR="00471E5A">
        <w:rPr>
          <w:b/>
        </w:rPr>
        <w:t>04</w:t>
      </w:r>
      <w:r w:rsidR="00341FDA" w:rsidRPr="00DA517F">
        <w:rPr>
          <w:b/>
          <w:szCs w:val="28"/>
        </w:rPr>
        <w:t>/</w:t>
      </w:r>
      <w:r w:rsidR="0012504D" w:rsidRPr="00DA517F">
        <w:rPr>
          <w:b/>
          <w:szCs w:val="28"/>
        </w:rPr>
        <w:t>04</w:t>
      </w:r>
      <w:r w:rsidR="00471E5A">
        <w:rPr>
          <w:b/>
          <w:szCs w:val="28"/>
        </w:rPr>
        <w:t>/2025</w:t>
      </w:r>
      <w:r w:rsidR="00FA29F8" w:rsidRPr="00DA517F">
        <w:rPr>
          <w:b/>
          <w:szCs w:val="28"/>
        </w:rPr>
        <w:t xml:space="preserve"> </w:t>
      </w:r>
      <w:r w:rsidR="003B32DE" w:rsidRPr="00DA517F">
        <w:rPr>
          <w:b/>
          <w:szCs w:val="28"/>
        </w:rPr>
        <w:t xml:space="preserve">à </w:t>
      </w:r>
      <w:r w:rsidR="00C17DEB" w:rsidRPr="00DA517F">
        <w:rPr>
          <w:b/>
          <w:szCs w:val="28"/>
        </w:rPr>
        <w:t>12</w:t>
      </w:r>
      <w:r w:rsidR="005F0CC3" w:rsidRPr="00DA517F">
        <w:rPr>
          <w:b/>
          <w:szCs w:val="28"/>
        </w:rPr>
        <w:t>h00</w:t>
      </w:r>
      <w:r w:rsidR="00FA29F8">
        <w:rPr>
          <w:b/>
          <w:color w:val="FF0000"/>
          <w:szCs w:val="28"/>
        </w:rPr>
        <w:t>.</w:t>
      </w:r>
    </w:p>
    <w:p w:rsidR="00F40142" w:rsidRPr="00F40142" w:rsidRDefault="00F40142" w:rsidP="00306352">
      <w:pPr>
        <w:pStyle w:val="Texte"/>
      </w:pPr>
    </w:p>
    <w:p w:rsidR="00F40142" w:rsidRPr="00F40142" w:rsidRDefault="00F40142" w:rsidP="00306352">
      <w:pPr>
        <w:pStyle w:val="Texte"/>
      </w:pPr>
      <w:r w:rsidRPr="00F40142">
        <w:t>Seuls peuvent être ouverts les plis qui ont été reçus au plus tard à la date et heure limites mentionné</w:t>
      </w:r>
      <w:r w:rsidR="00F56721">
        <w:t>e</w:t>
      </w:r>
      <w:r w:rsidRPr="00F40142">
        <w:t>s ci-dessus.</w:t>
      </w:r>
    </w:p>
    <w:p w:rsidR="00F40142" w:rsidRPr="00F40142" w:rsidRDefault="00F40142" w:rsidP="00306352">
      <w:pPr>
        <w:pStyle w:val="Texte"/>
      </w:pPr>
      <w:r w:rsidRPr="00F40142">
        <w:t xml:space="preserve">Les plis qui sont reçus ou remis après </w:t>
      </w:r>
      <w:r w:rsidR="006F738A" w:rsidRPr="00F40142">
        <w:t>ces dates</w:t>
      </w:r>
      <w:r w:rsidRPr="00F40142">
        <w:t xml:space="preserve"> et heure ne sont pas ouverts.</w:t>
      </w:r>
      <w:r w:rsidR="009D1E42">
        <w:t xml:space="preserve"> </w:t>
      </w:r>
      <w:r w:rsidRPr="00F40142">
        <w:t>Les plis et la "copie de sauvegarde" parvenus hors délai sont inscrits au registre des dépôts et sont rejetés.</w:t>
      </w:r>
    </w:p>
    <w:p w:rsidR="00F40142" w:rsidRPr="00F40142" w:rsidRDefault="00F40142" w:rsidP="00306352">
      <w:pPr>
        <w:pStyle w:val="Texte"/>
      </w:pPr>
    </w:p>
    <w:p w:rsidR="00F40142" w:rsidRPr="00F40142" w:rsidRDefault="00F40142" w:rsidP="00306352">
      <w:pPr>
        <w:pStyle w:val="Texte"/>
      </w:pPr>
      <w:r w:rsidRPr="00F40142">
        <w:t>Tous les plis parvenus au service seront enregistrés dans l’ordre chronologique de leur arrivée quelle que soit la date et l’heure d’arrivée.</w:t>
      </w:r>
    </w:p>
    <w:p w:rsidR="00F40142" w:rsidRPr="00F40142" w:rsidRDefault="00F40142" w:rsidP="00306352">
      <w:pPr>
        <w:pStyle w:val="Texte"/>
      </w:pPr>
    </w:p>
    <w:p w:rsidR="00F40142" w:rsidRDefault="00F40142" w:rsidP="00306352">
      <w:pPr>
        <w:pStyle w:val="Texte"/>
      </w:pPr>
      <w:r w:rsidRPr="00F40142">
        <w:t>Toutefois, il est rappelé aux candidats que l’enregistrement de leur candidature et de leur offre ne saurait préjudicier du fait que ces candidatures et offres remises hors délai seront frappées de forclusion et donc irrecevables.</w:t>
      </w:r>
    </w:p>
    <w:p w:rsidR="00F40142" w:rsidRDefault="00F40142" w:rsidP="00306352">
      <w:pPr>
        <w:pStyle w:val="Texte"/>
      </w:pPr>
    </w:p>
    <w:p w:rsidR="001C0D8F" w:rsidRDefault="001C0D8F" w:rsidP="00306352">
      <w:pPr>
        <w:pStyle w:val="Texte"/>
      </w:pPr>
    </w:p>
    <w:p w:rsidR="00F40142" w:rsidRPr="00F40142" w:rsidRDefault="00C51E97" w:rsidP="008B64D5">
      <w:pPr>
        <w:pStyle w:val="11"/>
      </w:pPr>
      <w:bookmarkStart w:id="70" w:name="_Toc511975038"/>
      <w:bookmarkStart w:id="71" w:name="_Toc95299508"/>
      <w:r>
        <w:t xml:space="preserve">12.2 </w:t>
      </w:r>
      <w:r w:rsidR="00612328">
        <w:t xml:space="preserve">  </w:t>
      </w:r>
      <w:r w:rsidR="00F40142" w:rsidRPr="00F40142">
        <w:t>Conditions de transmission des plis</w:t>
      </w:r>
      <w:bookmarkEnd w:id="70"/>
      <w:bookmarkEnd w:id="71"/>
    </w:p>
    <w:p w:rsidR="00F40142" w:rsidRPr="00F40142" w:rsidRDefault="00F40142" w:rsidP="00306352">
      <w:pPr>
        <w:pStyle w:val="Texte"/>
      </w:pPr>
    </w:p>
    <w:p w:rsidR="00471E5A" w:rsidRPr="006443EC" w:rsidRDefault="006443EC" w:rsidP="00471E5A">
      <w:pPr>
        <w:pStyle w:val="Texte"/>
        <w:rPr>
          <w:bCs/>
        </w:rPr>
      </w:pPr>
      <w:r w:rsidRPr="006443EC">
        <w:t xml:space="preserve">Conformément aux dispositions de l'article </w:t>
      </w:r>
      <w:r w:rsidR="00937FA4">
        <w:t xml:space="preserve">L. 2132-2 </w:t>
      </w:r>
      <w:r w:rsidR="00CF303A">
        <w:rPr>
          <w:iCs/>
        </w:rPr>
        <w:t>du code de la commande publique</w:t>
      </w:r>
      <w:r w:rsidRPr="006443EC">
        <w:t xml:space="preserve"> </w:t>
      </w:r>
      <w:r w:rsidRPr="006443EC">
        <w:rPr>
          <w:b/>
          <w:u w:val="single"/>
        </w:rPr>
        <w:t>les plis des candidats devront impérativement être transmis par voie électronique</w:t>
      </w:r>
      <w:r w:rsidRPr="006443EC">
        <w:t xml:space="preserve"> </w:t>
      </w:r>
      <w:r w:rsidR="00937FA4">
        <w:t xml:space="preserve">sur le profil acheteur de la CPAM de la Gironde (au sens de l’arrêté </w:t>
      </w:r>
      <w:r w:rsidR="00937FA4" w:rsidRPr="00937FA4">
        <w:lastRenderedPageBreak/>
        <w:t>du 22 mars 2019 relatif aux fonctionnalités et exigences minimales des profils d'acheteurs</w:t>
      </w:r>
      <w:r w:rsidR="00937FA4">
        <w:t xml:space="preserve">) </w:t>
      </w:r>
      <w:r w:rsidR="00354174">
        <w:t xml:space="preserve">à l'adresse suivante : </w:t>
      </w:r>
      <w:hyperlink r:id="rId14" w:history="1">
        <w:r w:rsidR="00471E5A" w:rsidRPr="00D86325">
          <w:rPr>
            <w:rStyle w:val="Lienhypertexte"/>
            <w:rFonts w:ascii="Calibri" w:eastAsiaTheme="minorHAnsi" w:hAnsi="Calibri" w:cs="Calibri"/>
            <w:lang w:eastAsia="en-US"/>
          </w:rPr>
          <w:t>https://www.marches-publics.gouv.fr/</w:t>
        </w:r>
      </w:hyperlink>
      <w:r w:rsidR="00471E5A">
        <w:rPr>
          <w:rFonts w:ascii="Calibri" w:eastAsiaTheme="minorHAnsi" w:hAnsi="Calibri" w:cs="Calibri"/>
          <w:color w:val="0000FF"/>
          <w:lang w:eastAsia="en-US"/>
        </w:rPr>
        <w:t xml:space="preserve"> </w:t>
      </w:r>
    </w:p>
    <w:p w:rsidR="006443EC" w:rsidRPr="006443EC" w:rsidRDefault="006443EC" w:rsidP="00306352">
      <w:pPr>
        <w:pStyle w:val="Texte"/>
      </w:pPr>
    </w:p>
    <w:p w:rsidR="006443EC" w:rsidRPr="006443EC" w:rsidRDefault="006443EC" w:rsidP="00306352">
      <w:pPr>
        <w:pStyle w:val="Texte"/>
      </w:pPr>
      <w:r w:rsidRPr="006443EC">
        <w:t>Le Plan de Dématérialisation des procédures des Organismes de Sécurité Sociale (PDOSS</w:t>
      </w:r>
      <w:r w:rsidRPr="003E7086">
        <w:t xml:space="preserve">) en annexe </w:t>
      </w:r>
      <w:r w:rsidR="003A5B24">
        <w:t>n°1</w:t>
      </w:r>
      <w:r w:rsidRPr="003E7086">
        <w:t xml:space="preserve"> du présent règlement de la consultation détaille l’ensemble des informations nécessaires relatives au dépôt de l’offre</w:t>
      </w:r>
      <w:r w:rsidRPr="006443EC">
        <w:t xml:space="preserve"> électronique sur la plateforme.</w:t>
      </w:r>
    </w:p>
    <w:p w:rsidR="006443EC" w:rsidRDefault="006443EC" w:rsidP="00306352">
      <w:pPr>
        <w:pStyle w:val="Texte"/>
      </w:pPr>
    </w:p>
    <w:p w:rsidR="00532C46" w:rsidRPr="00532C46" w:rsidRDefault="00C51E97" w:rsidP="008B64D5">
      <w:pPr>
        <w:pStyle w:val="11"/>
      </w:pPr>
      <w:bookmarkStart w:id="72" w:name="_Toc95299509"/>
      <w:r>
        <w:t xml:space="preserve">12.3 </w:t>
      </w:r>
      <w:r w:rsidR="00532C46">
        <w:t xml:space="preserve">Copie de </w:t>
      </w:r>
      <w:r w:rsidR="00532C46" w:rsidRPr="00532C46">
        <w:t>sauvegarde</w:t>
      </w:r>
      <w:r w:rsidR="00532C46">
        <w:t xml:space="preserve"> –</w:t>
      </w:r>
      <w:r w:rsidR="003E7086">
        <w:t xml:space="preserve"> </w:t>
      </w:r>
      <w:r w:rsidR="00532C46">
        <w:t>non obligatoire mais recommandée</w:t>
      </w:r>
      <w:bookmarkEnd w:id="72"/>
      <w:r w:rsidR="00532C46">
        <w:t xml:space="preserve"> </w:t>
      </w:r>
    </w:p>
    <w:p w:rsidR="00532C46" w:rsidRDefault="00532C46" w:rsidP="00306352">
      <w:pPr>
        <w:pStyle w:val="Texte"/>
      </w:pPr>
    </w:p>
    <w:p w:rsidR="00532C46" w:rsidRDefault="00532C46" w:rsidP="00306352">
      <w:pPr>
        <w:pStyle w:val="Texte"/>
      </w:pPr>
      <w:r>
        <w:t>Les soumissionnaires peuvent transmettre à tire de copie de sauvegarde une réponse sur support papier ou support physique électronique  (clé USB) dans le même délai que le pli électronique dématérialisé.</w:t>
      </w:r>
    </w:p>
    <w:p w:rsidR="00532C46" w:rsidRDefault="00532C46" w:rsidP="00306352">
      <w:pPr>
        <w:pStyle w:val="Texte"/>
      </w:pPr>
      <w:r>
        <w:t xml:space="preserve"> </w:t>
      </w:r>
    </w:p>
    <w:p w:rsidR="00532C46" w:rsidRDefault="003C28D9" w:rsidP="00306352">
      <w:pPr>
        <w:pStyle w:val="Texte"/>
      </w:pPr>
      <w:r>
        <w:t>Cette copie de sauvegarde ne se</w:t>
      </w:r>
      <w:r w:rsidR="00532C46">
        <w:t>ra ouverte que dans les cas suivants :</w:t>
      </w:r>
    </w:p>
    <w:p w:rsidR="00532C46" w:rsidRDefault="00532C46" w:rsidP="00306352">
      <w:pPr>
        <w:pStyle w:val="Texte"/>
      </w:pPr>
    </w:p>
    <w:p w:rsidR="00532C46" w:rsidRDefault="00532C46" w:rsidP="0076391A">
      <w:pPr>
        <w:pStyle w:val="Texte"/>
        <w:numPr>
          <w:ilvl w:val="0"/>
          <w:numId w:val="13"/>
        </w:numPr>
      </w:pPr>
      <w:r>
        <w:t>lorsqu’un programme informatique malveillant est détecté dans les candidatures et/ou les offres transmises par voie électronique sur le profil d’acheteur</w:t>
      </w:r>
    </w:p>
    <w:p w:rsidR="00532C46" w:rsidRDefault="00532C46" w:rsidP="0076391A">
      <w:pPr>
        <w:pStyle w:val="Texte"/>
        <w:numPr>
          <w:ilvl w:val="0"/>
          <w:numId w:val="13"/>
        </w:numPr>
      </w:pPr>
      <w:r>
        <w:t>lorsqu’une candidature ou une offre dématérialisée est parvenue par voie électronique sur le profil d’acheteur de façon incomplète</w:t>
      </w:r>
      <w:r w:rsidR="00C978A8">
        <w:t xml:space="preserve"> ou </w:t>
      </w:r>
      <w:r>
        <w:t>sans pouvoir être ouverte, sous réserve de la transmission ait commencé avant l’heure limite de remise des plis figurant en page de garde.</w:t>
      </w:r>
    </w:p>
    <w:p w:rsidR="00532C46" w:rsidRDefault="00532C46" w:rsidP="00306352">
      <w:pPr>
        <w:pStyle w:val="Texte"/>
      </w:pPr>
    </w:p>
    <w:p w:rsidR="00532C46" w:rsidRDefault="00532C46" w:rsidP="00306352">
      <w:pPr>
        <w:pStyle w:val="Texte"/>
      </w:pPr>
      <w:r>
        <w:t>La copie de sauvegarde comporte toutes les pièces de la candidature et de l’offre. Elle est placée sous enveloppe cachetée (ou tout autre emballage adaptée et scellée).</w:t>
      </w:r>
    </w:p>
    <w:p w:rsidR="00EF49D1" w:rsidRDefault="00EF49D1" w:rsidP="00306352">
      <w:pPr>
        <w:pStyle w:val="Texte"/>
      </w:pPr>
    </w:p>
    <w:p w:rsidR="00B7579E" w:rsidRDefault="00B7579E" w:rsidP="00306352">
      <w:pPr>
        <w:pStyle w:val="Texte"/>
      </w:pPr>
    </w:p>
    <w:p w:rsidR="00EF49D1" w:rsidRDefault="00EF49D1" w:rsidP="00306352">
      <w:pPr>
        <w:pStyle w:val="Texte"/>
      </w:pPr>
      <w:r w:rsidRPr="00EF49D1">
        <w:t xml:space="preserve">Le pli fermé doit porter la mention : </w:t>
      </w:r>
    </w:p>
    <w:p w:rsidR="00D77005" w:rsidRPr="00EF49D1" w:rsidRDefault="00D77005" w:rsidP="00306352">
      <w:pPr>
        <w:pStyle w:val="Texte"/>
      </w:pPr>
    </w:p>
    <w:p w:rsidR="00D77005" w:rsidRPr="00BD283E" w:rsidRDefault="00D77005" w:rsidP="00BD283E">
      <w:pPr>
        <w:pStyle w:val="Texte"/>
        <w:jc w:val="center"/>
        <w:rPr>
          <w:b/>
          <w:bCs/>
        </w:rPr>
      </w:pPr>
      <w:r w:rsidRPr="00BD283E">
        <w:rPr>
          <w:b/>
          <w:bCs/>
        </w:rPr>
        <w:t>« Ne pas ouvrir.</w:t>
      </w:r>
    </w:p>
    <w:p w:rsidR="00D77005" w:rsidRPr="00BD283E" w:rsidRDefault="00D77005" w:rsidP="00BD283E">
      <w:pPr>
        <w:pStyle w:val="Texte"/>
        <w:jc w:val="center"/>
        <w:rPr>
          <w:b/>
          <w:bCs/>
          <w:i/>
        </w:rPr>
      </w:pPr>
      <w:r w:rsidRPr="00BD283E">
        <w:rPr>
          <w:b/>
          <w:bCs/>
        </w:rPr>
        <w:t>Copie de sauvegarde pour</w:t>
      </w:r>
      <w:r w:rsidR="00035145">
        <w:rPr>
          <w:b/>
          <w:bCs/>
        </w:rPr>
        <w:t xml:space="preserve"> le MAPA relatif au C</w:t>
      </w:r>
      <w:r w:rsidR="007A564D" w:rsidRPr="00BD283E">
        <w:rPr>
          <w:b/>
          <w:bCs/>
        </w:rPr>
        <w:t xml:space="preserve">urage </w:t>
      </w:r>
      <w:r w:rsidR="00BD0E9C">
        <w:rPr>
          <w:b/>
          <w:bCs/>
        </w:rPr>
        <w:t xml:space="preserve">et </w:t>
      </w:r>
      <w:r w:rsidR="00035145">
        <w:rPr>
          <w:b/>
          <w:bCs/>
        </w:rPr>
        <w:t>D</w:t>
      </w:r>
      <w:r w:rsidR="007A564D" w:rsidRPr="00BD283E">
        <w:rPr>
          <w:b/>
          <w:bCs/>
        </w:rPr>
        <w:t>ébouchage des canalisations</w:t>
      </w:r>
      <w:r w:rsidR="006F0222">
        <w:rPr>
          <w:b/>
          <w:bCs/>
          <w:i/>
        </w:rPr>
        <w:t xml:space="preserve"> </w:t>
      </w:r>
      <w:r w:rsidR="00035145">
        <w:rPr>
          <w:b/>
          <w:bCs/>
          <w:i/>
        </w:rPr>
        <w:t>des différents sites de</w:t>
      </w:r>
      <w:r w:rsidRPr="00BD283E">
        <w:rPr>
          <w:b/>
          <w:bCs/>
          <w:i/>
        </w:rPr>
        <w:t xml:space="preserve"> </w:t>
      </w:r>
      <w:r w:rsidR="00035145">
        <w:rPr>
          <w:b/>
          <w:bCs/>
          <w:i/>
        </w:rPr>
        <w:t>la Caisse Primaire</w:t>
      </w:r>
      <w:r w:rsidRPr="00BD283E">
        <w:rPr>
          <w:b/>
          <w:bCs/>
          <w:i/>
        </w:rPr>
        <w:t xml:space="preserve"> d’Assuranc</w:t>
      </w:r>
      <w:r w:rsidR="00BD0E9C">
        <w:rPr>
          <w:b/>
          <w:bCs/>
          <w:i/>
        </w:rPr>
        <w:t>e Maladie de la Gironde </w:t>
      </w:r>
    </w:p>
    <w:p w:rsidR="00EF49D1" w:rsidRPr="00D77005" w:rsidRDefault="00BD283E" w:rsidP="00BD283E">
      <w:pPr>
        <w:pStyle w:val="Texte"/>
        <w:jc w:val="center"/>
        <w:rPr>
          <w:lang w:val="en-US"/>
        </w:rPr>
      </w:pPr>
      <w:r w:rsidRPr="00BD283E">
        <w:rPr>
          <w:b/>
          <w:bCs/>
          <w:lang w:val="en-US"/>
        </w:rPr>
        <w:t>MAPA</w:t>
      </w:r>
      <w:r w:rsidR="00D77005" w:rsidRPr="00BD283E">
        <w:rPr>
          <w:b/>
          <w:bCs/>
          <w:lang w:val="en-US"/>
        </w:rPr>
        <w:t xml:space="preserve"> </w:t>
      </w:r>
      <w:r w:rsidR="00471E5A">
        <w:rPr>
          <w:b/>
          <w:bCs/>
          <w:i/>
          <w:lang w:val="en-US"/>
        </w:rPr>
        <w:t>N° 07</w:t>
      </w:r>
      <w:r w:rsidR="00612328">
        <w:rPr>
          <w:b/>
          <w:bCs/>
          <w:i/>
          <w:lang w:val="en-US"/>
        </w:rPr>
        <w:t>_202</w:t>
      </w:r>
      <w:r w:rsidR="00471E5A">
        <w:rPr>
          <w:b/>
          <w:bCs/>
          <w:i/>
          <w:lang w:val="en-US"/>
        </w:rPr>
        <w:t>5</w:t>
      </w:r>
      <w:r w:rsidRPr="00BD283E">
        <w:rPr>
          <w:b/>
          <w:bCs/>
          <w:i/>
          <w:lang w:val="en-US"/>
        </w:rPr>
        <w:t>PS</w:t>
      </w:r>
      <w:r w:rsidR="00BD0E9C">
        <w:rPr>
          <w:b/>
          <w:bCs/>
          <w:i/>
          <w:lang w:val="en-US"/>
        </w:rPr>
        <w:t xml:space="preserve"> </w:t>
      </w:r>
      <w:r w:rsidR="00BD0E9C">
        <w:rPr>
          <w:b/>
          <w:bCs/>
          <w:i/>
        </w:rPr>
        <w:t>»</w:t>
      </w:r>
    </w:p>
    <w:p w:rsidR="00C978A8" w:rsidRPr="00D77005" w:rsidRDefault="00C978A8" w:rsidP="00306352">
      <w:pPr>
        <w:pStyle w:val="Texte"/>
        <w:rPr>
          <w:lang w:val="en-US"/>
        </w:rPr>
      </w:pPr>
    </w:p>
    <w:p w:rsidR="00532C46" w:rsidRDefault="00532C46" w:rsidP="00306352">
      <w:pPr>
        <w:pStyle w:val="Texte"/>
      </w:pPr>
      <w:r>
        <w:t xml:space="preserve">En cas de copie </w:t>
      </w:r>
      <w:r w:rsidR="0042318B">
        <w:t xml:space="preserve">de sauvegarde, elle </w:t>
      </w:r>
      <w:r>
        <w:t xml:space="preserve">doit-être </w:t>
      </w:r>
      <w:r w:rsidR="00C978A8">
        <w:t>envoyée à l’adresse indiquée ci-</w:t>
      </w:r>
      <w:r>
        <w:t>dessous</w:t>
      </w:r>
      <w:r w:rsidR="00C978A8">
        <w:t> :</w:t>
      </w:r>
    </w:p>
    <w:p w:rsidR="0042318B" w:rsidRDefault="0042318B" w:rsidP="00306352">
      <w:pPr>
        <w:pStyle w:val="Texte"/>
      </w:pPr>
    </w:p>
    <w:p w:rsidR="00EF49D1" w:rsidRPr="0042318B" w:rsidRDefault="00EF49D1" w:rsidP="00BD283E">
      <w:pPr>
        <w:pStyle w:val="Texte"/>
        <w:jc w:val="center"/>
      </w:pPr>
      <w:r w:rsidRPr="0042318B">
        <w:t>Monsieur</w:t>
      </w:r>
      <w:r w:rsidR="00471715">
        <w:t xml:space="preserve"> le directeur de la CPAM de la </w:t>
      </w:r>
      <w:r w:rsidRPr="0042318B">
        <w:t>Gironde</w:t>
      </w:r>
    </w:p>
    <w:p w:rsidR="00EF49D1" w:rsidRPr="0042318B" w:rsidRDefault="00471E5A" w:rsidP="00BD283E">
      <w:pPr>
        <w:pStyle w:val="Texte"/>
        <w:jc w:val="center"/>
      </w:pPr>
      <w:r>
        <w:t>Service Achats et Marchés – Porte 1312/1313/1314</w:t>
      </w:r>
    </w:p>
    <w:p w:rsidR="00EF49D1" w:rsidRPr="0042318B" w:rsidRDefault="00EF49D1" w:rsidP="00BD283E">
      <w:pPr>
        <w:pStyle w:val="Texte"/>
        <w:jc w:val="center"/>
      </w:pPr>
      <w:r w:rsidRPr="0042318B">
        <w:t>Place de l'Europe</w:t>
      </w:r>
    </w:p>
    <w:p w:rsidR="00EF49D1" w:rsidRPr="0042318B" w:rsidRDefault="00EF49D1" w:rsidP="00BD283E">
      <w:pPr>
        <w:pStyle w:val="Texte"/>
        <w:jc w:val="center"/>
      </w:pPr>
      <w:r w:rsidRPr="0042318B">
        <w:t>33085 Bordeaux Cedex</w:t>
      </w:r>
    </w:p>
    <w:p w:rsidR="00EF49D1" w:rsidRPr="0042318B" w:rsidRDefault="00EF49D1" w:rsidP="00BD283E">
      <w:pPr>
        <w:pStyle w:val="Texte"/>
        <w:jc w:val="center"/>
      </w:pPr>
      <w:r w:rsidRPr="0042318B">
        <w:t>Horaire d’ouverture : du lundi au vendredi de 9h00 à 15h30 (hors jours fériés)</w:t>
      </w:r>
    </w:p>
    <w:p w:rsidR="00EF49D1" w:rsidRDefault="00EF49D1" w:rsidP="00BD283E">
      <w:pPr>
        <w:pStyle w:val="Texte"/>
        <w:jc w:val="center"/>
      </w:pPr>
    </w:p>
    <w:p w:rsidR="00B63369" w:rsidRDefault="00B63369" w:rsidP="00BD283E">
      <w:pPr>
        <w:pStyle w:val="Texte"/>
        <w:jc w:val="center"/>
      </w:pPr>
    </w:p>
    <w:p w:rsidR="00EA460D" w:rsidRDefault="00EA460D" w:rsidP="00306352">
      <w:pPr>
        <w:pStyle w:val="Texte"/>
      </w:pPr>
    </w:p>
    <w:p w:rsidR="0042318B" w:rsidRDefault="00BA5364" w:rsidP="00306352">
      <w:pPr>
        <w:pStyle w:val="Texte"/>
      </w:pPr>
      <w:r>
        <w:t xml:space="preserve">Le pli devra être : </w:t>
      </w:r>
    </w:p>
    <w:p w:rsidR="00EF49D1" w:rsidRPr="00EF49D1" w:rsidRDefault="0042318B" w:rsidP="00306352">
      <w:pPr>
        <w:pStyle w:val="Texte"/>
      </w:pPr>
      <w:r>
        <w:t>-</w:t>
      </w:r>
      <w:r w:rsidR="00EF49D1" w:rsidRPr="00EF49D1">
        <w:t xml:space="preserve">soit déposé par porteur, contre récépissé, à l’adresse ci-dessus </w:t>
      </w:r>
    </w:p>
    <w:p w:rsidR="00EF49D1" w:rsidRPr="00EF49D1" w:rsidRDefault="0042318B" w:rsidP="00306352">
      <w:pPr>
        <w:pStyle w:val="Texte"/>
      </w:pPr>
      <w:r>
        <w:t>-</w:t>
      </w:r>
      <w:r w:rsidR="00EF49D1" w:rsidRPr="00EF49D1">
        <w:t xml:space="preserve">soit par voie postale à l’adresse ci-dessus par pli recommandé avec accusé de réception ou tout mode d’acheminement permettant de certifier la date de réception. </w:t>
      </w:r>
    </w:p>
    <w:p w:rsidR="00532C46" w:rsidRDefault="00532C46" w:rsidP="00306352">
      <w:pPr>
        <w:pStyle w:val="Texte"/>
      </w:pPr>
    </w:p>
    <w:p w:rsidR="00532C46" w:rsidRPr="00F40142" w:rsidRDefault="00532C46" w:rsidP="00306352">
      <w:pPr>
        <w:pStyle w:val="Texte"/>
      </w:pPr>
    </w:p>
    <w:p w:rsidR="00197F93" w:rsidRPr="00F40142" w:rsidRDefault="005E650A" w:rsidP="00612328">
      <w:pPr>
        <w:pStyle w:val="ARTICLECCAPCCTP"/>
        <w:tabs>
          <w:tab w:val="clear" w:pos="1440"/>
        </w:tabs>
        <w:ind w:firstLine="0"/>
      </w:pPr>
      <w:bookmarkStart w:id="73" w:name="_Toc511975040"/>
      <w:bookmarkStart w:id="74" w:name="_Toc95299510"/>
      <w:r>
        <w:t>Article</w:t>
      </w:r>
      <w:r w:rsidR="00C51E97">
        <w:t xml:space="preserve"> 13</w:t>
      </w:r>
      <w:r w:rsidR="00612328">
        <w:t xml:space="preserve"> </w:t>
      </w:r>
      <w:r w:rsidR="00F40142" w:rsidRPr="00F40142">
        <w:t>Modalités d’appréciation des candidatures</w:t>
      </w:r>
      <w:bookmarkEnd w:id="73"/>
      <w:bookmarkEnd w:id="74"/>
    </w:p>
    <w:p w:rsidR="00197F93" w:rsidRPr="00F40142" w:rsidRDefault="00197F93" w:rsidP="00306352">
      <w:pPr>
        <w:pStyle w:val="Texte"/>
      </w:pPr>
    </w:p>
    <w:p w:rsidR="00DE4F02" w:rsidRPr="00DE4F02" w:rsidRDefault="00DE4F02" w:rsidP="00306352">
      <w:pPr>
        <w:pStyle w:val="Texte"/>
      </w:pPr>
      <w:r w:rsidRPr="00DE4F02">
        <w:t xml:space="preserve">a- Les candidats frappés d’une interdiction de soumissionner au sens </w:t>
      </w:r>
      <w:r w:rsidR="00937FA4" w:rsidRPr="00937FA4">
        <w:t>des articles L. 2141-1 à L. 2141-6</w:t>
      </w:r>
      <w:r w:rsidR="00937FA4">
        <w:t xml:space="preserve"> (interdictions de soumissionner obligatoire)</w:t>
      </w:r>
      <w:r w:rsidR="00937FA4" w:rsidRPr="00937FA4">
        <w:t xml:space="preserve"> </w:t>
      </w:r>
      <w:r w:rsidR="00A75F26">
        <w:t>du code de la commande publique</w:t>
      </w:r>
      <w:r w:rsidRPr="00DE4F02">
        <w:t xml:space="preserve"> seront exclus de la poursuite de la procédure de passation. Ceux se trouvant en redressement judiciaire pour une durée plus courte que la durée d’exécution du marché ou ne couvrant pas la période d’exécution du marché de travaux considéré seront exclus.  </w:t>
      </w:r>
    </w:p>
    <w:p w:rsidR="00DE4F02" w:rsidRPr="00DE4F02" w:rsidRDefault="00DE4F02" w:rsidP="00306352">
      <w:pPr>
        <w:pStyle w:val="Texte"/>
      </w:pPr>
    </w:p>
    <w:p w:rsidR="00DE4F02" w:rsidRPr="00DE4F02" w:rsidRDefault="00DE4F02" w:rsidP="00306352">
      <w:pPr>
        <w:pStyle w:val="Texte"/>
      </w:pPr>
      <w:r w:rsidRPr="00DE4F02">
        <w:t xml:space="preserve">b- Conformément à l’article </w:t>
      </w:r>
      <w:r w:rsidR="00C7018E">
        <w:t>R. 2144-2</w:t>
      </w:r>
      <w:r w:rsidRPr="00DE4F02">
        <w:t xml:space="preserve"> du </w:t>
      </w:r>
      <w:r w:rsidR="00A75F26">
        <w:rPr>
          <w:bCs/>
          <w:iCs/>
        </w:rPr>
        <w:t>code de la commande publique</w:t>
      </w:r>
      <w:r w:rsidRPr="00DE4F02">
        <w:t xml:space="preserve">, l'acheteur qui constate que des pièces ou informations dont la présentation était réclamée au titre de la candidature sont absentes ou incomplètes peut </w:t>
      </w:r>
      <w:r w:rsidRPr="00DE4F02">
        <w:lastRenderedPageBreak/>
        <w:t>demander à tous les candidats concernés de compléter leur dossier de candidature dans un délai approprié et identique pour tous.</w:t>
      </w:r>
    </w:p>
    <w:p w:rsidR="00DE4F02" w:rsidRPr="00DE4F02" w:rsidRDefault="00DE4F02" w:rsidP="00306352">
      <w:pPr>
        <w:pStyle w:val="Texte"/>
      </w:pPr>
    </w:p>
    <w:p w:rsidR="00DE4F02" w:rsidRPr="00DE4F02" w:rsidRDefault="00DE4F02" w:rsidP="00306352">
      <w:pPr>
        <w:pStyle w:val="Texte"/>
      </w:pPr>
      <w:r w:rsidRPr="00DE4F02">
        <w:t xml:space="preserve">c- Les candidatures seront appréciées et examinées ensuite au regard des niveaux minimaux de capacités professionnelles, techniques et financières liés et proportionnés à l’objet du marché qui auront été fixés par l’acheteur au regard des documents exigés des candidats à ce titre et remis par eux. Les candidatures qui ne satisfont pas à ces niveaux de capacité minimaux sont éliminées. </w:t>
      </w:r>
    </w:p>
    <w:p w:rsidR="00DE4F02" w:rsidRPr="00DE4F02" w:rsidRDefault="00DE4F02" w:rsidP="00306352">
      <w:pPr>
        <w:pStyle w:val="Texte"/>
      </w:pPr>
    </w:p>
    <w:p w:rsidR="00DE4F02" w:rsidRPr="00DE4F02" w:rsidRDefault="00DE4F02" w:rsidP="00306352">
      <w:pPr>
        <w:pStyle w:val="Texte"/>
      </w:pPr>
      <w:r w:rsidRPr="00DE4F02">
        <w:t>Les niveaux minimaux de capacités fixés par le pouvoir adjudicateur sont, pour rappel, les suivants :</w:t>
      </w:r>
    </w:p>
    <w:p w:rsidR="00DE4F02" w:rsidRPr="00DE4F02" w:rsidRDefault="00DE4F02" w:rsidP="00306352">
      <w:pPr>
        <w:pStyle w:val="Texte"/>
        <w:numPr>
          <w:ilvl w:val="0"/>
          <w:numId w:val="4"/>
        </w:numPr>
      </w:pPr>
      <w:r w:rsidRPr="00DE4F02">
        <w:rPr>
          <w:u w:val="single"/>
        </w:rPr>
        <w:t>Capacités professionnelles</w:t>
      </w:r>
      <w:r w:rsidRPr="00DE4F02">
        <w:t xml:space="preserve"> : pas de niveau minimal requis ;</w:t>
      </w:r>
    </w:p>
    <w:p w:rsidR="00DE4F02" w:rsidRPr="00DE4F02" w:rsidRDefault="00DE4F02" w:rsidP="00306352">
      <w:pPr>
        <w:pStyle w:val="Texte"/>
        <w:numPr>
          <w:ilvl w:val="0"/>
          <w:numId w:val="4"/>
        </w:numPr>
      </w:pPr>
      <w:r w:rsidRPr="00DE4F02">
        <w:rPr>
          <w:u w:val="single"/>
        </w:rPr>
        <w:t>Capacités techniques</w:t>
      </w:r>
      <w:r w:rsidRPr="00DE4F02">
        <w:t xml:space="preserve"> : pas de niveau minimal requis ;</w:t>
      </w:r>
    </w:p>
    <w:p w:rsidR="00DE4F02" w:rsidRPr="00DE4F02" w:rsidRDefault="00DE4F02" w:rsidP="00306352">
      <w:pPr>
        <w:pStyle w:val="Texte"/>
        <w:numPr>
          <w:ilvl w:val="0"/>
          <w:numId w:val="4"/>
        </w:numPr>
      </w:pPr>
      <w:r w:rsidRPr="00DE4F02">
        <w:rPr>
          <w:u w:val="single"/>
        </w:rPr>
        <w:t>Capacités financières</w:t>
      </w:r>
      <w:r w:rsidRPr="00DE4F02">
        <w:t xml:space="preserve"> : pas de niveau minimal requis.</w:t>
      </w:r>
    </w:p>
    <w:p w:rsidR="00DE4F02" w:rsidRPr="00DE4F02" w:rsidRDefault="00DE4F02" w:rsidP="00306352">
      <w:pPr>
        <w:pStyle w:val="Texte"/>
      </w:pPr>
    </w:p>
    <w:p w:rsidR="00DE4F02" w:rsidRPr="00DE4F02" w:rsidRDefault="00DE4F02" w:rsidP="00306352">
      <w:pPr>
        <w:pStyle w:val="Texte"/>
      </w:pPr>
      <w:r w:rsidRPr="00DE4F02">
        <w:t>Après signature du marché, en cas d’inexactitude  des documents et renseignements demandés, le marché sera résilié aux torts de son titulaire.</w:t>
      </w:r>
    </w:p>
    <w:p w:rsidR="00A75E68" w:rsidRDefault="00A75E68" w:rsidP="00306352">
      <w:pPr>
        <w:pStyle w:val="Texte"/>
      </w:pPr>
      <w:r>
        <w:br w:type="page"/>
      </w:r>
    </w:p>
    <w:p w:rsidR="00DF730B" w:rsidRPr="00F40142" w:rsidRDefault="00DF730B" w:rsidP="00306352">
      <w:pPr>
        <w:pStyle w:val="Texte"/>
      </w:pPr>
    </w:p>
    <w:p w:rsidR="00197F93" w:rsidRPr="00C72FF8" w:rsidRDefault="00C51E97" w:rsidP="00612328">
      <w:pPr>
        <w:pStyle w:val="ARTICLECCAPCCTP"/>
      </w:pPr>
      <w:bookmarkStart w:id="75" w:name="_Toc511975041"/>
      <w:bookmarkStart w:id="76" w:name="_Toc95299511"/>
      <w:r>
        <w:t>aricle 14</w:t>
      </w:r>
      <w:r w:rsidR="00612328">
        <w:t xml:space="preserve"> </w:t>
      </w:r>
      <w:r w:rsidR="00DE4F02" w:rsidRPr="00C72FF8">
        <w:t>Modalités d’appréciation des offres</w:t>
      </w:r>
      <w:bookmarkEnd w:id="75"/>
      <w:bookmarkEnd w:id="76"/>
    </w:p>
    <w:p w:rsidR="00197F93" w:rsidRPr="00F40142" w:rsidRDefault="00197F93" w:rsidP="00306352">
      <w:pPr>
        <w:pStyle w:val="Texte"/>
      </w:pPr>
    </w:p>
    <w:p w:rsidR="00DE4F02" w:rsidRDefault="00C51E97" w:rsidP="008B64D5">
      <w:pPr>
        <w:pStyle w:val="11"/>
      </w:pPr>
      <w:bookmarkStart w:id="77" w:name="_Toc511975042"/>
      <w:bookmarkStart w:id="78" w:name="_Toc95299512"/>
      <w:r>
        <w:t xml:space="preserve">14.1 </w:t>
      </w:r>
      <w:r w:rsidR="00736EDD">
        <w:t>Critères d’attribution et e</w:t>
      </w:r>
      <w:r w:rsidR="00DE4F02">
        <w:t>xamen des offres</w:t>
      </w:r>
      <w:bookmarkEnd w:id="77"/>
      <w:bookmarkEnd w:id="78"/>
    </w:p>
    <w:p w:rsidR="00DE4F02" w:rsidRDefault="00DE4F02" w:rsidP="00306352">
      <w:pPr>
        <w:pStyle w:val="Texte"/>
      </w:pPr>
    </w:p>
    <w:p w:rsidR="00736EDD" w:rsidRDefault="00C51E97" w:rsidP="008B64D5">
      <w:pPr>
        <w:pStyle w:val="1311"/>
        <w:numPr>
          <w:ilvl w:val="0"/>
          <w:numId w:val="0"/>
        </w:numPr>
        <w:ind w:left="720"/>
      </w:pPr>
      <w:r>
        <w:t>14</w:t>
      </w:r>
      <w:r w:rsidR="00612328">
        <w:t>.1.1</w:t>
      </w:r>
      <w:r>
        <w:t xml:space="preserve">  </w:t>
      </w:r>
      <w:r w:rsidR="00736EDD">
        <w:t>Critères d’attribution</w:t>
      </w:r>
    </w:p>
    <w:p w:rsidR="00736EDD" w:rsidRDefault="00736EDD" w:rsidP="00306352">
      <w:pPr>
        <w:pStyle w:val="Texte"/>
      </w:pPr>
    </w:p>
    <w:p w:rsidR="00DE4F02" w:rsidRPr="008A3136" w:rsidRDefault="00DE4F02" w:rsidP="00306352">
      <w:pPr>
        <w:pStyle w:val="Texte"/>
      </w:pPr>
      <w:r w:rsidRPr="008A3136">
        <w:t xml:space="preserve">Les offres sont classées par ordre décroissant. L’offre la mieux classée, c'est-à-dire l’offre économiquement la plus avantageuse, est retenue sous réserve des droits de préférences éventuellement applicables conformément aux dispositions de l’article </w:t>
      </w:r>
      <w:r w:rsidR="00D7761F" w:rsidRPr="00D7761F">
        <w:t>R. 2152-6</w:t>
      </w:r>
      <w:r w:rsidR="00D7761F">
        <w:t xml:space="preserve"> </w:t>
      </w:r>
      <w:r w:rsidRPr="008A3136">
        <w:t xml:space="preserve">du </w:t>
      </w:r>
      <w:r w:rsidR="007D1FB5">
        <w:rPr>
          <w:iCs/>
        </w:rPr>
        <w:t>code de la commande publique</w:t>
      </w:r>
      <w:r w:rsidRPr="008A3136">
        <w:t>.</w:t>
      </w:r>
    </w:p>
    <w:p w:rsidR="00197F93" w:rsidRPr="00F40142" w:rsidRDefault="00197F93" w:rsidP="00306352">
      <w:pPr>
        <w:pStyle w:val="Texte"/>
      </w:pPr>
    </w:p>
    <w:p w:rsidR="00274786" w:rsidRDefault="00DE4F02" w:rsidP="00306352">
      <w:pPr>
        <w:pStyle w:val="Texte"/>
      </w:pPr>
      <w:r w:rsidRPr="008A3136">
        <w:t>Dans tous les cas, ces décisions sont prises par l’autorité compétente du pouvoir adjudicateur en se fondant sur les critères de jugement énoncés ci-dessous avec leur pondération :</w:t>
      </w:r>
    </w:p>
    <w:p w:rsidR="00274786" w:rsidRDefault="00274786" w:rsidP="00306352">
      <w:pPr>
        <w:pStyle w:val="Texte"/>
      </w:pPr>
    </w:p>
    <w:p w:rsidR="00274786" w:rsidRDefault="00274786" w:rsidP="00306352">
      <w:pPr>
        <w:pStyle w:val="Texte"/>
      </w:pPr>
    </w:p>
    <w:tbl>
      <w:tblPr>
        <w:tblStyle w:val="Grilledutableau"/>
        <w:tblW w:w="10173" w:type="dxa"/>
        <w:tblLayout w:type="fixed"/>
        <w:tblLook w:val="04A0" w:firstRow="1" w:lastRow="0" w:firstColumn="1" w:lastColumn="0" w:noHBand="0" w:noVBand="1"/>
      </w:tblPr>
      <w:tblGrid>
        <w:gridCol w:w="5495"/>
        <w:gridCol w:w="2551"/>
        <w:gridCol w:w="2127"/>
      </w:tblGrid>
      <w:tr w:rsidR="00BD0E9C" w:rsidTr="005E650A">
        <w:trPr>
          <w:trHeight w:val="845"/>
        </w:trPr>
        <w:tc>
          <w:tcPr>
            <w:tcW w:w="5495" w:type="dxa"/>
            <w:shd w:val="clear" w:color="auto" w:fill="8DB3E2"/>
          </w:tcPr>
          <w:p w:rsidR="00BD0E9C" w:rsidRPr="00C14528" w:rsidRDefault="00BD0E9C" w:rsidP="00306352">
            <w:pPr>
              <w:rPr>
                <w:rFonts w:ascii="Calibri" w:hAnsi="Calibri" w:cs="Calibri"/>
                <w:b/>
                <w:color w:val="FFFFFF"/>
              </w:rPr>
            </w:pPr>
            <w:r w:rsidRPr="00C14528">
              <w:rPr>
                <w:rFonts w:ascii="Calibri" w:hAnsi="Calibri" w:cs="Calibri"/>
                <w:b/>
                <w:color w:val="FFFFFF"/>
              </w:rPr>
              <w:t>Critère d’attributions</w:t>
            </w:r>
          </w:p>
        </w:tc>
        <w:tc>
          <w:tcPr>
            <w:tcW w:w="2551" w:type="dxa"/>
            <w:shd w:val="clear" w:color="auto" w:fill="8DB3E2"/>
          </w:tcPr>
          <w:p w:rsidR="00BD0E9C" w:rsidRPr="00C14528" w:rsidRDefault="00BD0E9C" w:rsidP="00306352">
            <w:pPr>
              <w:rPr>
                <w:rFonts w:ascii="Calibri" w:hAnsi="Calibri" w:cs="Calibri"/>
                <w:b/>
                <w:color w:val="FFFFFF"/>
              </w:rPr>
            </w:pPr>
            <w:r w:rsidRPr="00C14528">
              <w:rPr>
                <w:rFonts w:ascii="Calibri" w:hAnsi="Calibri" w:cs="Calibri"/>
                <w:b/>
                <w:color w:val="FFFFFF"/>
              </w:rPr>
              <w:t>Nombre de points</w:t>
            </w:r>
          </w:p>
        </w:tc>
        <w:tc>
          <w:tcPr>
            <w:tcW w:w="2127" w:type="dxa"/>
            <w:shd w:val="clear" w:color="auto" w:fill="8DB3E2"/>
          </w:tcPr>
          <w:p w:rsidR="00BD0E9C" w:rsidRPr="00C14528" w:rsidRDefault="00BD0E9C" w:rsidP="00306352">
            <w:pPr>
              <w:rPr>
                <w:rFonts w:ascii="Calibri" w:hAnsi="Calibri" w:cs="Calibri"/>
                <w:b/>
                <w:color w:val="FFFFFF"/>
              </w:rPr>
            </w:pPr>
            <w:r>
              <w:rPr>
                <w:rFonts w:ascii="Calibri" w:hAnsi="Calibri" w:cs="Calibri"/>
                <w:b/>
                <w:color w:val="FFFFFF"/>
              </w:rPr>
              <w:t xml:space="preserve">Modalité d’évaluation </w:t>
            </w:r>
          </w:p>
        </w:tc>
      </w:tr>
      <w:tr w:rsidR="00BD0E9C" w:rsidTr="005E650A">
        <w:trPr>
          <w:trHeight w:val="851"/>
        </w:trPr>
        <w:tc>
          <w:tcPr>
            <w:tcW w:w="5495" w:type="dxa"/>
            <w:shd w:val="clear" w:color="auto" w:fill="C6D9F1" w:themeFill="text2" w:themeFillTint="33"/>
          </w:tcPr>
          <w:p w:rsidR="00BD0E9C" w:rsidRDefault="00BD0E9C" w:rsidP="00306352">
            <w:pPr>
              <w:rPr>
                <w:rFonts w:ascii="Calibri" w:hAnsi="Calibri" w:cs="Calibri"/>
                <w:b/>
                <w:u w:val="single"/>
              </w:rPr>
            </w:pPr>
          </w:p>
          <w:p w:rsidR="00BD0E9C" w:rsidRPr="00D95856" w:rsidRDefault="00BD0E9C" w:rsidP="00306352">
            <w:pPr>
              <w:rPr>
                <w:rFonts w:ascii="Calibri" w:hAnsi="Calibri" w:cs="Calibri"/>
                <w:b/>
              </w:rPr>
            </w:pPr>
            <w:r w:rsidRPr="00C14528">
              <w:rPr>
                <w:rFonts w:ascii="Calibri" w:hAnsi="Calibri" w:cs="Calibri"/>
                <w:b/>
                <w:u w:val="single"/>
              </w:rPr>
              <w:t>Critère n°1</w:t>
            </w:r>
            <w:r>
              <w:rPr>
                <w:rFonts w:ascii="Calibri" w:hAnsi="Calibri" w:cs="Calibri"/>
                <w:b/>
                <w:u w:val="single"/>
              </w:rPr>
              <w:t> </w:t>
            </w:r>
            <w:r w:rsidRPr="00820A02">
              <w:rPr>
                <w:rFonts w:ascii="Calibri" w:hAnsi="Calibri" w:cs="Calibri"/>
                <w:b/>
              </w:rPr>
              <w:t>: Le prix</w:t>
            </w:r>
            <w:r>
              <w:rPr>
                <w:rFonts w:ascii="Calibri" w:hAnsi="Calibri" w:cs="Calibri"/>
                <w:b/>
              </w:rPr>
              <w:t xml:space="preserve"> des prestations</w:t>
            </w:r>
          </w:p>
        </w:tc>
        <w:tc>
          <w:tcPr>
            <w:tcW w:w="2551" w:type="dxa"/>
            <w:shd w:val="clear" w:color="auto" w:fill="C6D9F1" w:themeFill="text2" w:themeFillTint="33"/>
          </w:tcPr>
          <w:p w:rsidR="00BD0E9C" w:rsidRPr="00D95856" w:rsidRDefault="00BD0E9C" w:rsidP="00E85CAB">
            <w:pPr>
              <w:jc w:val="center"/>
              <w:rPr>
                <w:rFonts w:ascii="Calibri" w:hAnsi="Calibri" w:cs="Calibri"/>
                <w:b/>
              </w:rPr>
            </w:pPr>
            <w:r>
              <w:rPr>
                <w:rFonts w:ascii="Calibri" w:hAnsi="Calibri" w:cs="Calibri"/>
                <w:b/>
              </w:rPr>
              <w:t>60 points</w:t>
            </w:r>
          </w:p>
        </w:tc>
        <w:tc>
          <w:tcPr>
            <w:tcW w:w="2127" w:type="dxa"/>
            <w:shd w:val="clear" w:color="auto" w:fill="C6D9F1" w:themeFill="text2" w:themeFillTint="33"/>
          </w:tcPr>
          <w:p w:rsidR="00BD0E9C" w:rsidRDefault="00BD0E9C" w:rsidP="00E85CAB">
            <w:pPr>
              <w:jc w:val="center"/>
              <w:rPr>
                <w:rFonts w:ascii="Calibri" w:hAnsi="Calibri" w:cs="Calibri"/>
                <w:b/>
              </w:rPr>
            </w:pPr>
            <w:r>
              <w:rPr>
                <w:rFonts w:ascii="Calibri" w:hAnsi="Calibri" w:cs="Calibri"/>
                <w:b/>
              </w:rPr>
              <w:t>Annexe financière</w:t>
            </w:r>
          </w:p>
        </w:tc>
      </w:tr>
      <w:tr w:rsidR="00BD0E9C" w:rsidTr="005E650A">
        <w:trPr>
          <w:trHeight w:val="674"/>
        </w:trPr>
        <w:tc>
          <w:tcPr>
            <w:tcW w:w="5495" w:type="dxa"/>
          </w:tcPr>
          <w:p w:rsidR="00BD0E9C" w:rsidRDefault="00BD0E9C" w:rsidP="00E220AA">
            <w:pPr>
              <w:rPr>
                <w:rFonts w:ascii="Calibri" w:hAnsi="Calibri" w:cs="Calibri"/>
                <w:b/>
              </w:rPr>
            </w:pPr>
            <w:r w:rsidRPr="00C14528">
              <w:rPr>
                <w:rFonts w:ascii="Calibri" w:hAnsi="Calibri" w:cs="Calibri"/>
                <w:b/>
                <w:u w:val="single"/>
              </w:rPr>
              <w:t>Critère n°2</w:t>
            </w:r>
            <w:r>
              <w:rPr>
                <w:rFonts w:ascii="Calibri" w:hAnsi="Calibri" w:cs="Calibri"/>
                <w:b/>
                <w:u w:val="single"/>
              </w:rPr>
              <w:t xml:space="preserve"> </w:t>
            </w:r>
            <w:r>
              <w:rPr>
                <w:rFonts w:ascii="Calibri" w:hAnsi="Calibri" w:cs="Calibri"/>
                <w:b/>
              </w:rPr>
              <w:t xml:space="preserve">: l’efficacité de la mise en œuvre de la prestation </w:t>
            </w:r>
          </w:p>
          <w:p w:rsidR="00BD0E9C" w:rsidRPr="00385D62" w:rsidRDefault="00BD0E9C" w:rsidP="007A564D">
            <w:pPr>
              <w:pStyle w:val="Paragraphedeliste"/>
              <w:spacing w:after="200" w:line="276" w:lineRule="auto"/>
              <w:ind w:firstLine="0"/>
              <w:rPr>
                <w:rFonts w:ascii="Calibri" w:hAnsi="Calibri" w:cs="Calibri"/>
                <w:b/>
              </w:rPr>
            </w:pPr>
          </w:p>
        </w:tc>
        <w:tc>
          <w:tcPr>
            <w:tcW w:w="2551" w:type="dxa"/>
          </w:tcPr>
          <w:p w:rsidR="00BD0E9C" w:rsidRPr="00EC371A" w:rsidRDefault="00BD0E9C" w:rsidP="00E85CAB">
            <w:pPr>
              <w:jc w:val="center"/>
              <w:rPr>
                <w:rFonts w:ascii="Calibri" w:hAnsi="Calibri" w:cs="Calibri"/>
                <w:b/>
              </w:rPr>
            </w:pPr>
            <w:r>
              <w:rPr>
                <w:rFonts w:ascii="Calibri" w:hAnsi="Calibri" w:cs="Calibri"/>
                <w:b/>
              </w:rPr>
              <w:t>40</w:t>
            </w:r>
            <w:r w:rsidRPr="00EC371A">
              <w:rPr>
                <w:rFonts w:ascii="Calibri" w:hAnsi="Calibri" w:cs="Calibri"/>
                <w:b/>
              </w:rPr>
              <w:t xml:space="preserve"> points</w:t>
            </w:r>
          </w:p>
          <w:p w:rsidR="00BD0E9C" w:rsidRDefault="00BD0E9C" w:rsidP="00E85CAB">
            <w:pPr>
              <w:jc w:val="center"/>
              <w:rPr>
                <w:rFonts w:ascii="Calibri" w:hAnsi="Calibri" w:cs="Calibri"/>
              </w:rPr>
            </w:pPr>
          </w:p>
          <w:p w:rsidR="00BD0E9C" w:rsidRPr="00EC371A" w:rsidRDefault="00BD0E9C" w:rsidP="00E85CAB">
            <w:pPr>
              <w:jc w:val="center"/>
              <w:rPr>
                <w:rFonts w:ascii="Calibri" w:hAnsi="Calibri" w:cs="Calibri"/>
              </w:rPr>
            </w:pPr>
          </w:p>
        </w:tc>
        <w:tc>
          <w:tcPr>
            <w:tcW w:w="2127" w:type="dxa"/>
            <w:vMerge w:val="restart"/>
          </w:tcPr>
          <w:p w:rsidR="00BD0E9C" w:rsidRDefault="00BD0E9C" w:rsidP="00E85CAB">
            <w:pPr>
              <w:jc w:val="center"/>
              <w:rPr>
                <w:rFonts w:ascii="Calibri" w:hAnsi="Calibri" w:cs="Calibri"/>
                <w:b/>
              </w:rPr>
            </w:pPr>
            <w:r>
              <w:rPr>
                <w:rFonts w:ascii="Calibri" w:hAnsi="Calibri" w:cs="Calibri"/>
                <w:b/>
              </w:rPr>
              <w:t>Mémoire technique</w:t>
            </w:r>
          </w:p>
        </w:tc>
      </w:tr>
      <w:tr w:rsidR="00BD0E9C" w:rsidTr="005E650A">
        <w:trPr>
          <w:trHeight w:val="1395"/>
        </w:trPr>
        <w:tc>
          <w:tcPr>
            <w:tcW w:w="5495" w:type="dxa"/>
          </w:tcPr>
          <w:p w:rsidR="00BD0E9C" w:rsidRPr="00E85CAB" w:rsidRDefault="00BD0E9C" w:rsidP="00E220AA">
            <w:pPr>
              <w:ind w:left="1416" w:hanging="1416"/>
              <w:rPr>
                <w:rFonts w:ascii="Calibri" w:hAnsi="Calibri" w:cs="Calibri"/>
                <w:b/>
              </w:rPr>
            </w:pPr>
            <w:r w:rsidRPr="00E85CAB">
              <w:rPr>
                <w:rFonts w:ascii="Calibri" w:hAnsi="Calibri" w:cs="Calibri"/>
                <w:b/>
              </w:rPr>
              <w:t xml:space="preserve">Sous-critère n°1 : Moyens techniques et humains : programme  et méthodologie d’exécution </w:t>
            </w:r>
          </w:p>
          <w:p w:rsidR="00BD0E9C" w:rsidRPr="00B139FC" w:rsidRDefault="00BD0E9C" w:rsidP="0076391A">
            <w:pPr>
              <w:pStyle w:val="Paragraphedeliste"/>
              <w:numPr>
                <w:ilvl w:val="0"/>
                <w:numId w:val="18"/>
              </w:numPr>
              <w:spacing w:after="200" w:line="276" w:lineRule="auto"/>
              <w:rPr>
                <w:rFonts w:cs="Calibri"/>
                <w:sz w:val="18"/>
              </w:rPr>
            </w:pPr>
            <w:r w:rsidRPr="00B139FC">
              <w:rPr>
                <w:rFonts w:ascii="Calibri" w:hAnsi="Calibri" w:cs="Calibri"/>
                <w:sz w:val="18"/>
              </w:rPr>
              <w:t>Présentation de l’</w:t>
            </w:r>
            <w:r w:rsidRPr="00B139FC">
              <w:rPr>
                <w:rFonts w:cs="Calibri"/>
                <w:sz w:val="18"/>
              </w:rPr>
              <w:t>organisation des chantiers</w:t>
            </w:r>
          </w:p>
          <w:p w:rsidR="00BD0E9C" w:rsidRPr="00E85CAB" w:rsidRDefault="00BD0E9C" w:rsidP="0076391A">
            <w:pPr>
              <w:pStyle w:val="Paragraphedeliste"/>
              <w:numPr>
                <w:ilvl w:val="0"/>
                <w:numId w:val="18"/>
              </w:numPr>
              <w:spacing w:after="200" w:line="276" w:lineRule="auto"/>
              <w:rPr>
                <w:rFonts w:ascii="Calibri" w:hAnsi="Calibri" w:cs="Calibri"/>
                <w:b/>
                <w:u w:val="single"/>
              </w:rPr>
            </w:pPr>
            <w:r w:rsidRPr="00B139FC">
              <w:rPr>
                <w:rFonts w:ascii="Calibri" w:hAnsi="Calibri" w:cs="Calibri"/>
                <w:sz w:val="18"/>
              </w:rPr>
              <w:t>Délais : d’intervention sur le site et de prise en charge de demandes particulières du client</w:t>
            </w:r>
          </w:p>
        </w:tc>
        <w:tc>
          <w:tcPr>
            <w:tcW w:w="2551" w:type="dxa"/>
          </w:tcPr>
          <w:p w:rsidR="00BD0E9C" w:rsidRPr="007A564D" w:rsidRDefault="00BD0E9C" w:rsidP="00E85CAB">
            <w:pPr>
              <w:jc w:val="center"/>
              <w:rPr>
                <w:rFonts w:ascii="Calibri" w:hAnsi="Calibri" w:cs="Calibri"/>
              </w:rPr>
            </w:pPr>
            <w:r>
              <w:rPr>
                <w:rFonts w:ascii="Calibri" w:hAnsi="Calibri" w:cs="Calibri"/>
              </w:rPr>
              <w:t>2</w:t>
            </w:r>
            <w:r w:rsidRPr="007A564D">
              <w:rPr>
                <w:rFonts w:ascii="Calibri" w:hAnsi="Calibri" w:cs="Calibri"/>
              </w:rPr>
              <w:t>0 points</w:t>
            </w:r>
          </w:p>
          <w:p w:rsidR="00BD0E9C" w:rsidRPr="00385D62" w:rsidRDefault="00BD0E9C" w:rsidP="00E85CAB">
            <w:pPr>
              <w:jc w:val="center"/>
              <w:rPr>
                <w:rFonts w:ascii="Calibri" w:hAnsi="Calibri" w:cs="Calibri"/>
              </w:rPr>
            </w:pPr>
          </w:p>
          <w:p w:rsidR="00BD0E9C" w:rsidRDefault="00BD0E9C" w:rsidP="00E85CAB">
            <w:pPr>
              <w:jc w:val="center"/>
              <w:rPr>
                <w:rFonts w:ascii="Calibri" w:hAnsi="Calibri" w:cs="Calibri"/>
              </w:rPr>
            </w:pPr>
          </w:p>
        </w:tc>
        <w:tc>
          <w:tcPr>
            <w:tcW w:w="2127" w:type="dxa"/>
            <w:vMerge/>
          </w:tcPr>
          <w:p w:rsidR="00BD0E9C" w:rsidRDefault="00BD0E9C" w:rsidP="00E85CAB">
            <w:pPr>
              <w:jc w:val="center"/>
              <w:rPr>
                <w:rFonts w:ascii="Calibri" w:hAnsi="Calibri" w:cs="Calibri"/>
              </w:rPr>
            </w:pPr>
          </w:p>
        </w:tc>
      </w:tr>
      <w:tr w:rsidR="00BD0E9C" w:rsidTr="005E650A">
        <w:trPr>
          <w:trHeight w:val="1667"/>
        </w:trPr>
        <w:tc>
          <w:tcPr>
            <w:tcW w:w="5495" w:type="dxa"/>
          </w:tcPr>
          <w:p w:rsidR="00BD0E9C" w:rsidRPr="00E85CAB" w:rsidRDefault="00BD0E9C" w:rsidP="00E220AA">
            <w:pPr>
              <w:rPr>
                <w:rFonts w:ascii="Calibri" w:hAnsi="Calibri" w:cs="Calibri"/>
                <w:b/>
              </w:rPr>
            </w:pPr>
            <w:r w:rsidRPr="00E85CAB">
              <w:rPr>
                <w:rFonts w:ascii="Calibri" w:hAnsi="Calibri" w:cs="Calibri"/>
                <w:b/>
              </w:rPr>
              <w:t>Sous-critère n°2 : Assurance qualité</w:t>
            </w:r>
          </w:p>
          <w:p w:rsidR="00BD0E9C" w:rsidRPr="00B139FC" w:rsidRDefault="00BD0E9C" w:rsidP="0076391A">
            <w:pPr>
              <w:pStyle w:val="Paragraphedeliste"/>
              <w:numPr>
                <w:ilvl w:val="0"/>
                <w:numId w:val="18"/>
              </w:numPr>
              <w:rPr>
                <w:rFonts w:ascii="Calibri" w:hAnsi="Calibri" w:cs="Calibri"/>
                <w:sz w:val="18"/>
              </w:rPr>
            </w:pPr>
            <w:r w:rsidRPr="00B139FC">
              <w:rPr>
                <w:rFonts w:ascii="Calibri" w:hAnsi="Calibri" w:cs="Calibri"/>
                <w:sz w:val="18"/>
              </w:rPr>
              <w:t>Moyen de l’entreprise pour assurer la qualité de ses prestations, contrôles internes et externe.</w:t>
            </w:r>
          </w:p>
          <w:p w:rsidR="00BD0E9C" w:rsidRPr="00E85CAB" w:rsidRDefault="00BD0E9C" w:rsidP="0076391A">
            <w:pPr>
              <w:pStyle w:val="Paragraphedeliste"/>
              <w:numPr>
                <w:ilvl w:val="0"/>
                <w:numId w:val="18"/>
              </w:numPr>
              <w:rPr>
                <w:rFonts w:ascii="Calibri" w:hAnsi="Calibri" w:cs="Calibri"/>
                <w:b/>
                <w:u w:val="single"/>
              </w:rPr>
            </w:pPr>
            <w:r w:rsidRPr="00B139FC">
              <w:rPr>
                <w:rFonts w:ascii="Calibri" w:hAnsi="Calibri" w:cs="Calibri"/>
                <w:sz w:val="18"/>
              </w:rPr>
              <w:t>Interlocuteurs mi</w:t>
            </w:r>
            <w:r>
              <w:rPr>
                <w:rFonts w:ascii="Calibri" w:hAnsi="Calibri" w:cs="Calibri"/>
                <w:sz w:val="18"/>
              </w:rPr>
              <w:t xml:space="preserve">s à disposition pour ce marché </w:t>
            </w:r>
            <w:r w:rsidR="006F0222">
              <w:rPr>
                <w:rFonts w:ascii="Calibri" w:hAnsi="Calibri" w:cs="Calibri"/>
                <w:sz w:val="18"/>
              </w:rPr>
              <w:t>(Nombre, Disponibilités)</w:t>
            </w:r>
          </w:p>
        </w:tc>
        <w:tc>
          <w:tcPr>
            <w:tcW w:w="2551" w:type="dxa"/>
          </w:tcPr>
          <w:p w:rsidR="00BD0E9C" w:rsidRPr="007A564D" w:rsidRDefault="00BD0E9C" w:rsidP="00E85CAB">
            <w:pPr>
              <w:jc w:val="center"/>
              <w:rPr>
                <w:rFonts w:ascii="Calibri" w:hAnsi="Calibri" w:cs="Calibri"/>
              </w:rPr>
            </w:pPr>
            <w:r w:rsidRPr="007A564D">
              <w:rPr>
                <w:rFonts w:ascii="Calibri" w:hAnsi="Calibri" w:cs="Calibri"/>
              </w:rPr>
              <w:t>10 points</w:t>
            </w:r>
          </w:p>
          <w:p w:rsidR="00BD0E9C" w:rsidRDefault="00BD0E9C" w:rsidP="00E85CAB">
            <w:pPr>
              <w:jc w:val="center"/>
              <w:rPr>
                <w:rFonts w:ascii="Calibri" w:hAnsi="Calibri" w:cs="Calibri"/>
                <w:sz w:val="16"/>
              </w:rPr>
            </w:pPr>
          </w:p>
          <w:p w:rsidR="00BD0E9C" w:rsidRDefault="00BD0E9C" w:rsidP="00E85CAB">
            <w:pPr>
              <w:jc w:val="center"/>
              <w:rPr>
                <w:rFonts w:ascii="Calibri" w:hAnsi="Calibri" w:cs="Calibri"/>
              </w:rPr>
            </w:pPr>
          </w:p>
          <w:p w:rsidR="00BD0E9C" w:rsidRDefault="00BD0E9C" w:rsidP="00E85CAB">
            <w:pPr>
              <w:jc w:val="center"/>
              <w:rPr>
                <w:rFonts w:ascii="Calibri" w:hAnsi="Calibri" w:cs="Calibri"/>
              </w:rPr>
            </w:pPr>
          </w:p>
        </w:tc>
        <w:tc>
          <w:tcPr>
            <w:tcW w:w="2127" w:type="dxa"/>
            <w:vMerge/>
          </w:tcPr>
          <w:p w:rsidR="00BD0E9C" w:rsidRPr="007A564D" w:rsidRDefault="00BD0E9C" w:rsidP="00E85CAB">
            <w:pPr>
              <w:jc w:val="center"/>
              <w:rPr>
                <w:rFonts w:ascii="Calibri" w:hAnsi="Calibri" w:cs="Calibri"/>
              </w:rPr>
            </w:pPr>
          </w:p>
        </w:tc>
      </w:tr>
      <w:tr w:rsidR="00BD0E9C" w:rsidTr="005E650A">
        <w:trPr>
          <w:trHeight w:val="410"/>
        </w:trPr>
        <w:tc>
          <w:tcPr>
            <w:tcW w:w="5495" w:type="dxa"/>
          </w:tcPr>
          <w:p w:rsidR="00BD0E9C" w:rsidRPr="006D6010" w:rsidRDefault="00BD0E9C" w:rsidP="00E220AA">
            <w:pPr>
              <w:rPr>
                <w:rFonts w:ascii="Calibri" w:hAnsi="Calibri" w:cs="Calibri"/>
                <w:b/>
              </w:rPr>
            </w:pPr>
            <w:r w:rsidRPr="006D6010">
              <w:rPr>
                <w:rFonts w:ascii="Calibri" w:hAnsi="Calibri" w:cs="Calibri"/>
                <w:b/>
              </w:rPr>
              <w:t xml:space="preserve">Sous-critère n°3 : Qualité environnementale </w:t>
            </w:r>
          </w:p>
          <w:p w:rsidR="00BD0E9C" w:rsidRPr="006F0222" w:rsidRDefault="00BD0E9C" w:rsidP="0076391A">
            <w:pPr>
              <w:pStyle w:val="Paragraphedeliste"/>
              <w:numPr>
                <w:ilvl w:val="0"/>
                <w:numId w:val="18"/>
              </w:numPr>
              <w:rPr>
                <w:rFonts w:ascii="Calibri" w:hAnsi="Calibri" w:cs="Calibri"/>
                <w:b/>
                <w:u w:val="single"/>
              </w:rPr>
            </w:pPr>
            <w:r w:rsidRPr="006F0222">
              <w:rPr>
                <w:rFonts w:ascii="Calibri" w:hAnsi="Calibri" w:cs="Calibri"/>
                <w:sz w:val="18"/>
              </w:rPr>
              <w:t>Méthodologie et traitement des déchets</w:t>
            </w:r>
          </w:p>
        </w:tc>
        <w:tc>
          <w:tcPr>
            <w:tcW w:w="2551" w:type="dxa"/>
          </w:tcPr>
          <w:p w:rsidR="00BD0E9C" w:rsidRDefault="00BD0E9C" w:rsidP="00E85CAB">
            <w:pPr>
              <w:jc w:val="center"/>
              <w:rPr>
                <w:rFonts w:ascii="Calibri" w:hAnsi="Calibri" w:cs="Calibri"/>
              </w:rPr>
            </w:pPr>
            <w:r>
              <w:rPr>
                <w:rFonts w:ascii="Calibri" w:hAnsi="Calibri" w:cs="Calibri"/>
              </w:rPr>
              <w:t>10 Points</w:t>
            </w:r>
          </w:p>
        </w:tc>
        <w:tc>
          <w:tcPr>
            <w:tcW w:w="2127" w:type="dxa"/>
            <w:vMerge/>
          </w:tcPr>
          <w:p w:rsidR="00BD0E9C" w:rsidRDefault="00BD0E9C" w:rsidP="00E85CAB">
            <w:pPr>
              <w:jc w:val="center"/>
              <w:rPr>
                <w:rFonts w:ascii="Calibri" w:hAnsi="Calibri" w:cs="Calibri"/>
              </w:rPr>
            </w:pPr>
          </w:p>
        </w:tc>
      </w:tr>
    </w:tbl>
    <w:p w:rsidR="00274786" w:rsidRDefault="00274786" w:rsidP="00306352">
      <w:pPr>
        <w:rPr>
          <w:rFonts w:ascii="Calibri" w:hAnsi="Calibri" w:cs="Calibri"/>
        </w:rPr>
      </w:pPr>
    </w:p>
    <w:p w:rsidR="00274786" w:rsidRDefault="00274786" w:rsidP="00306352">
      <w:pPr>
        <w:pStyle w:val="Texte"/>
      </w:pPr>
    </w:p>
    <w:p w:rsidR="00274786" w:rsidRPr="008A3136" w:rsidRDefault="00274786" w:rsidP="00306352">
      <w:pPr>
        <w:pStyle w:val="Texte"/>
      </w:pPr>
    </w:p>
    <w:p w:rsidR="00736EDD" w:rsidRDefault="00736EDD" w:rsidP="008B64D5">
      <w:pPr>
        <w:pStyle w:val="1311"/>
        <w:numPr>
          <w:ilvl w:val="2"/>
          <w:numId w:val="24"/>
        </w:numPr>
      </w:pPr>
      <w:r>
        <w:t>Examen des offres</w:t>
      </w:r>
    </w:p>
    <w:p w:rsidR="00736EDD" w:rsidRDefault="00736EDD" w:rsidP="00306352">
      <w:pPr>
        <w:pStyle w:val="Texte"/>
      </w:pPr>
    </w:p>
    <w:p w:rsidR="00DE4F02" w:rsidRPr="00DE4F02" w:rsidRDefault="00DE4F02" w:rsidP="00306352">
      <w:pPr>
        <w:pStyle w:val="Texte"/>
      </w:pPr>
      <w:r w:rsidRPr="00D8425D">
        <w:t>En application de</w:t>
      </w:r>
      <w:r w:rsidR="00D8425D" w:rsidRPr="00D8425D">
        <w:t>s</w:t>
      </w:r>
      <w:r w:rsidRPr="00D8425D">
        <w:t xml:space="preserve"> article</w:t>
      </w:r>
      <w:r w:rsidR="00D8425D" w:rsidRPr="00D8425D">
        <w:t>s</w:t>
      </w:r>
      <w:r w:rsidRPr="00D8425D">
        <w:t xml:space="preserve"> </w:t>
      </w:r>
      <w:r w:rsidR="00D8425D" w:rsidRPr="00D8425D">
        <w:t xml:space="preserve">R. 2185-1 et R. 2185-2 du </w:t>
      </w:r>
      <w:r w:rsidR="00FA3E74">
        <w:t>code de la commande publique</w:t>
      </w:r>
      <w:r w:rsidRPr="00D8425D">
        <w:t>, la procédure peut être déclarée sans suite par le Représentant du Pouvoir Adjudicateur.</w:t>
      </w:r>
    </w:p>
    <w:p w:rsidR="00DE4F02" w:rsidRPr="00DE4F02" w:rsidRDefault="00DE4F02" w:rsidP="00306352">
      <w:pPr>
        <w:pStyle w:val="Texte"/>
      </w:pPr>
    </w:p>
    <w:p w:rsidR="002C6A9E" w:rsidRDefault="00DE4F02" w:rsidP="00306352">
      <w:pPr>
        <w:pStyle w:val="Texte"/>
      </w:pPr>
      <w:bookmarkStart w:id="79" w:name="_Hlk510538079"/>
      <w:r w:rsidRPr="00DE4F02">
        <w:t>Il est procédé à l’examen des offres de tous les candidats dont l’offre est parvenue dans les délais.</w:t>
      </w:r>
      <w:r w:rsidR="00076A27">
        <w:t xml:space="preserve"> </w:t>
      </w:r>
    </w:p>
    <w:p w:rsidR="00076A27" w:rsidRDefault="00076A27" w:rsidP="00306352">
      <w:pPr>
        <w:pStyle w:val="Texte"/>
      </w:pPr>
    </w:p>
    <w:p w:rsidR="006D790C" w:rsidRPr="004A2AE0" w:rsidRDefault="006D790C" w:rsidP="00306352">
      <w:pPr>
        <w:pStyle w:val="Texte"/>
      </w:pPr>
      <w:r w:rsidRPr="00DA517F">
        <w:t xml:space="preserve">Si le candidat n’a pas fourni l’attestation de visite sur site de chaque </w:t>
      </w:r>
      <w:r w:rsidR="004304B2" w:rsidRPr="00DA517F">
        <w:t>lieu</w:t>
      </w:r>
      <w:r w:rsidRPr="00DA517F">
        <w:t xml:space="preserve"> dûment complété</w:t>
      </w:r>
      <w:r w:rsidR="00F56721" w:rsidRPr="00DA517F">
        <w:t>e</w:t>
      </w:r>
      <w:r w:rsidRPr="00DA517F">
        <w:t xml:space="preserve"> et signé</w:t>
      </w:r>
      <w:r w:rsidR="00F56721" w:rsidRPr="00DA517F">
        <w:t>e</w:t>
      </w:r>
      <w:r w:rsidRPr="00DA517F">
        <w:t xml:space="preserve"> dans son intégralité, les opérateurs économiques verront leur offre rejetée pour offre irrégulière.</w:t>
      </w:r>
      <w:r w:rsidRPr="004A2AE0">
        <w:t xml:space="preserve">    </w:t>
      </w:r>
    </w:p>
    <w:p w:rsidR="006D790C" w:rsidRPr="004A2AE0" w:rsidRDefault="006D790C" w:rsidP="00306352">
      <w:pPr>
        <w:pStyle w:val="Texte"/>
      </w:pPr>
    </w:p>
    <w:p w:rsidR="00D35132" w:rsidRPr="004A2AE0" w:rsidRDefault="002C6A9E" w:rsidP="00306352">
      <w:pPr>
        <w:pStyle w:val="Texte"/>
      </w:pPr>
      <w:r w:rsidRPr="004A2AE0">
        <w:t>Si le cadre de réponse du mémoire technique</w:t>
      </w:r>
      <w:r w:rsidR="006F0222">
        <w:t xml:space="preserve"> (A</w:t>
      </w:r>
      <w:r w:rsidR="00871974">
        <w:t>nnexe n°3</w:t>
      </w:r>
      <w:r w:rsidR="006F0222">
        <w:t xml:space="preserve"> de l’Acte Engagement) </w:t>
      </w:r>
      <w:r w:rsidRPr="004A2AE0">
        <w:t xml:space="preserve"> </w:t>
      </w:r>
      <w:r w:rsidR="008D3847" w:rsidRPr="004A2AE0">
        <w:t>n’a pas été complété et fourni</w:t>
      </w:r>
      <w:r w:rsidRPr="004A2AE0">
        <w:t xml:space="preserve"> dans son intégralité</w:t>
      </w:r>
      <w:r w:rsidR="008D3847" w:rsidRPr="004A2AE0">
        <w:t>,</w:t>
      </w:r>
      <w:r w:rsidRPr="004A2AE0">
        <w:t xml:space="preserve"> les opérateurs économiques verront leur offre rejetée pour offre irrégulière</w:t>
      </w:r>
      <w:r w:rsidR="006F0222">
        <w:t>.</w:t>
      </w:r>
    </w:p>
    <w:bookmarkEnd w:id="79"/>
    <w:p w:rsidR="00C75542" w:rsidRDefault="00C75542" w:rsidP="00306352"/>
    <w:p w:rsidR="00274786" w:rsidRDefault="00274786" w:rsidP="00306352">
      <w:pPr>
        <w:rPr>
          <w:rFonts w:ascii="Calibri" w:hAnsi="Calibri" w:cs="Calibri"/>
        </w:rPr>
      </w:pPr>
      <w:r>
        <w:rPr>
          <w:rFonts w:ascii="Calibri" w:hAnsi="Calibri" w:cs="Calibri"/>
        </w:rPr>
        <w:lastRenderedPageBreak/>
        <w:t>Les offres inappropriées, irrégulières et inacceptables seront éliminées. Toutefois conformément aux dispositions des articles R.-2152-1 et R.2152-2 du code de la commande publique, l’acheteur se réserve la possibilité d’autoriser tous les soumissionnaires concernés à régulariser les offres irrégulières dans un délai approprié et à condition qu’elles ne soient pas anormalement basses.</w:t>
      </w:r>
    </w:p>
    <w:p w:rsidR="00274786" w:rsidRDefault="00274786" w:rsidP="00306352">
      <w:pPr>
        <w:rPr>
          <w:rFonts w:ascii="Calibri" w:hAnsi="Calibri" w:cs="Calibri"/>
        </w:rPr>
      </w:pPr>
      <w:r>
        <w:rPr>
          <w:rFonts w:ascii="Calibri" w:hAnsi="Calibri" w:cs="Calibri"/>
        </w:rPr>
        <w:t>La régularisation des offres irrégulières ne peut avoir pour effet de modifier des caractéristiques substantielles des offres.</w:t>
      </w:r>
    </w:p>
    <w:p w:rsidR="00274786" w:rsidRDefault="00274786" w:rsidP="00306352">
      <w:pPr>
        <w:rPr>
          <w:rFonts w:ascii="Calibri" w:hAnsi="Calibri" w:cs="Calibri"/>
        </w:rPr>
      </w:pPr>
    </w:p>
    <w:p w:rsidR="00E220AA" w:rsidRDefault="00274786" w:rsidP="00E220AA">
      <w:pPr>
        <w:spacing w:after="120"/>
        <w:rPr>
          <w:rFonts w:ascii="Calibri" w:hAnsi="Calibri" w:cs="Calibri"/>
        </w:rPr>
      </w:pPr>
      <w:r>
        <w:rPr>
          <w:rFonts w:ascii="Calibri" w:hAnsi="Calibri" w:cs="Calibri"/>
        </w:rPr>
        <w:t>Conformément à l’article R. 2161-5 du code de la commande publique, le pouvoir adjudicateur pourra demander aux soumissionnaires de préciser la teneur de leur offre. En aucun cas, la procédure ne pourra donner lieu à négociation.</w:t>
      </w:r>
      <w:r w:rsidR="00E220AA" w:rsidRPr="00E220AA">
        <w:rPr>
          <w:rFonts w:ascii="Calibri" w:hAnsi="Calibri" w:cs="Calibri"/>
        </w:rPr>
        <w:t xml:space="preserve"> </w:t>
      </w:r>
    </w:p>
    <w:p w:rsidR="00E220AA" w:rsidRPr="00E220AA" w:rsidRDefault="00E220AA" w:rsidP="00E220AA">
      <w:pPr>
        <w:spacing w:after="120"/>
        <w:rPr>
          <w:rFonts w:ascii="Calibri" w:hAnsi="Calibri" w:cs="Calibri"/>
        </w:rPr>
      </w:pPr>
      <w:r w:rsidRPr="00E220AA">
        <w:rPr>
          <w:rFonts w:ascii="Calibri" w:hAnsi="Calibri" w:cs="Calibri"/>
        </w:rPr>
        <w:t>Conformément à l’article R. 2144-6 du décret n°2018-1075 du 03 décembre 2018 portant partie réglementaire du  code de la commande publique, le pouvoir adjudicateur peut demander aux candidats de compléter ou d’expliquer les documents justificatifs et moyens de preuve fournis ou obtenus.</w:t>
      </w:r>
    </w:p>
    <w:p w:rsidR="00274786" w:rsidRDefault="00274786" w:rsidP="00306352">
      <w:pPr>
        <w:rPr>
          <w:rFonts w:ascii="Calibri" w:hAnsi="Calibri" w:cs="Calibri"/>
        </w:rPr>
      </w:pPr>
    </w:p>
    <w:p w:rsidR="00274786" w:rsidRDefault="00274786" w:rsidP="00306352">
      <w:pPr>
        <w:rPr>
          <w:rFonts w:ascii="Calibri" w:hAnsi="Calibri" w:cs="Calibri"/>
        </w:rPr>
      </w:pPr>
      <w:r>
        <w:rPr>
          <w:rFonts w:ascii="Calibri" w:hAnsi="Calibri" w:cs="Calibri"/>
        </w:rPr>
        <w:t>Les offres régulières, acceptables et appropriées et qui n’ont pas été rejetées en application des articles R.2152-3 à</w:t>
      </w:r>
    </w:p>
    <w:p w:rsidR="00274786" w:rsidRDefault="00274786" w:rsidP="00306352">
      <w:pPr>
        <w:rPr>
          <w:rFonts w:ascii="Calibri" w:hAnsi="Calibri" w:cs="Calibri"/>
        </w:rPr>
      </w:pPr>
      <w:r>
        <w:rPr>
          <w:rFonts w:ascii="Calibri" w:hAnsi="Calibri" w:cs="Calibri"/>
        </w:rPr>
        <w:t>R.2152-5 du décret n°2018-1075 du code de la commande publique (offre anormalement basse) sont notées et classées par ordre décroissant en appliquant les critères d’attribution précités.</w:t>
      </w:r>
    </w:p>
    <w:p w:rsidR="00274786" w:rsidRDefault="00274786" w:rsidP="00306352">
      <w:pPr>
        <w:rPr>
          <w:rFonts w:ascii="Calibri" w:hAnsi="Calibri" w:cs="Calibri"/>
        </w:rPr>
      </w:pPr>
    </w:p>
    <w:p w:rsidR="00274786" w:rsidRDefault="00274786" w:rsidP="00306352">
      <w:pPr>
        <w:spacing w:after="240"/>
        <w:rPr>
          <w:rFonts w:ascii="Calibri" w:hAnsi="Calibri" w:cs="Calibri"/>
        </w:rPr>
      </w:pPr>
      <w:r>
        <w:rPr>
          <w:rFonts w:ascii="Calibri" w:hAnsi="Calibri" w:cs="Calibri"/>
        </w:rPr>
        <w:t>Le soumissionnaire dont l’offre est la mieux notée et arrive première au classement est par principe retenu sous réserve de la conformité de sa candidature.</w:t>
      </w:r>
    </w:p>
    <w:p w:rsidR="00736EDD" w:rsidRDefault="00736EDD" w:rsidP="00306352"/>
    <w:p w:rsidR="00736EDD" w:rsidRPr="00D63C80" w:rsidRDefault="00736EDD" w:rsidP="00306352"/>
    <w:p w:rsidR="00DE4F02" w:rsidRDefault="00C51E97" w:rsidP="008B64D5">
      <w:pPr>
        <w:pStyle w:val="11"/>
      </w:pPr>
      <w:bookmarkStart w:id="80" w:name="_Toc511975044"/>
      <w:bookmarkStart w:id="81" w:name="_Toc95299513"/>
      <w:r>
        <w:t>14</w:t>
      </w:r>
      <w:r w:rsidR="00612328">
        <w:t>.2</w:t>
      </w:r>
      <w:r>
        <w:t xml:space="preserve"> </w:t>
      </w:r>
      <w:r w:rsidR="00DE4F02">
        <w:t>Modalités conditionnant l’attribution définitive du marché</w:t>
      </w:r>
      <w:bookmarkEnd w:id="80"/>
      <w:bookmarkEnd w:id="81"/>
    </w:p>
    <w:p w:rsidR="00DE4F02" w:rsidRDefault="00DE4F02" w:rsidP="00306352">
      <w:pPr>
        <w:pStyle w:val="Texte"/>
      </w:pPr>
    </w:p>
    <w:p w:rsidR="00DE4F02" w:rsidRPr="00A10B9E" w:rsidRDefault="00CC1FCF" w:rsidP="00306352">
      <w:r>
        <w:t>Documents justificatifs et autres moyens de preuve de l’absence de motifs d’exclusion</w:t>
      </w:r>
    </w:p>
    <w:p w:rsidR="00DE4F02" w:rsidRDefault="00DE4F02" w:rsidP="00306352">
      <w:pPr>
        <w:pStyle w:val="Texte"/>
      </w:pPr>
    </w:p>
    <w:p w:rsidR="00DE4F02" w:rsidRPr="00DE4F02" w:rsidRDefault="00DE4F02" w:rsidP="00306352">
      <w:pPr>
        <w:pStyle w:val="Texte"/>
      </w:pPr>
      <w:r w:rsidRPr="00DE4F02">
        <w:t xml:space="preserve">Dans tous les cas, le soumissionnaire auquel il est envisagé d'attribuer </w:t>
      </w:r>
      <w:r w:rsidR="00362B23">
        <w:t>le marché</w:t>
      </w:r>
      <w:r w:rsidRPr="00DE4F02">
        <w:t xml:space="preserve"> n'est pas tenu de fournir ces justificatifs et moyens de preuves que l'acheteur peut obtenir directement par le biais d'un système électronique de mise à disposition d'informations administré par un organisme officiel ou d'un espace de stockage numérique, à condition que figurent dans sa candidature ou son offre toutes les informations nécessaires à la consultation de ce système ou de cet espace et que l'accès soit gratuit.</w:t>
      </w:r>
    </w:p>
    <w:p w:rsidR="00DE4F02" w:rsidRPr="00DE4F02" w:rsidRDefault="00DE4F02" w:rsidP="00306352">
      <w:pPr>
        <w:pStyle w:val="Texte"/>
      </w:pPr>
    </w:p>
    <w:p w:rsidR="00DE4F02" w:rsidRPr="00DE4F02" w:rsidRDefault="00CC1FCF" w:rsidP="00306352">
      <w:pPr>
        <w:pStyle w:val="Texte"/>
      </w:pPr>
      <w:r>
        <w:t>Conformément à l’article R2144-4 du code de la commande publique, l</w:t>
      </w:r>
      <w:r w:rsidR="00DE4F02" w:rsidRPr="00DE4F02">
        <w:t>e marché ne pourra être attribué définitivement au candidat retenu que si celui-ci produit</w:t>
      </w:r>
      <w:r>
        <w:t xml:space="preserve"> les documents de preuves de l’absence de motifs d’exclusion listés ci-dessous</w:t>
      </w:r>
      <w:r w:rsidR="00DE4F02" w:rsidRPr="00DE4F02">
        <w:t xml:space="preserve"> </w:t>
      </w:r>
      <w:r w:rsidR="00DE4F02" w:rsidRPr="00A00A5E">
        <w:rPr>
          <w:b/>
        </w:rPr>
        <w:t>dans un délai de 10 jours</w:t>
      </w:r>
      <w:r w:rsidR="00DE4F02" w:rsidRPr="00DE4F02">
        <w:rPr>
          <w:b/>
        </w:rPr>
        <w:t xml:space="preserve"> francs</w:t>
      </w:r>
      <w:r w:rsidR="00DE4F02" w:rsidRPr="00DE4F02">
        <w:t xml:space="preserve"> à compter de la demande notifiée par le pouvoir adjudicateur :</w:t>
      </w:r>
    </w:p>
    <w:p w:rsidR="00DE4F02" w:rsidRPr="00DE4F02" w:rsidRDefault="00DE4F02" w:rsidP="00306352">
      <w:pPr>
        <w:pStyle w:val="Texte"/>
      </w:pPr>
    </w:p>
    <w:p w:rsidR="007F05E1" w:rsidRDefault="007F05E1" w:rsidP="00306352">
      <w:pPr>
        <w:pStyle w:val="Texte"/>
        <w:numPr>
          <w:ilvl w:val="0"/>
          <w:numId w:val="9"/>
        </w:numPr>
        <w:tabs>
          <w:tab w:val="left" w:pos="6237"/>
        </w:tabs>
      </w:pPr>
      <w:r>
        <w:t xml:space="preserve">Une </w:t>
      </w:r>
      <w:r w:rsidRPr="00CA04F8">
        <w:rPr>
          <w:b/>
        </w:rPr>
        <w:t>déclaration sur l’honneur</w:t>
      </w:r>
      <w:r>
        <w:t xml:space="preserve"> qu’il ne se trouve pas dans un cas d’interdiction de soumissionner mentionné aux articles L. 2141-1 et aux 1° et 3° de l’article L.2141-4 </w:t>
      </w:r>
      <w:r w:rsidR="00CA04F8">
        <w:t>du code de la commande publique.</w:t>
      </w:r>
    </w:p>
    <w:p w:rsidR="007F05E1" w:rsidRDefault="007F05E1" w:rsidP="00306352">
      <w:pPr>
        <w:pStyle w:val="Texte"/>
        <w:ind w:left="720"/>
      </w:pPr>
    </w:p>
    <w:p w:rsidR="00CA04F8" w:rsidRDefault="00CA04F8" w:rsidP="00306352">
      <w:pPr>
        <w:pStyle w:val="Texte"/>
        <w:numPr>
          <w:ilvl w:val="0"/>
          <w:numId w:val="9"/>
        </w:numPr>
      </w:pPr>
      <w:r w:rsidRPr="00E32C30">
        <w:t xml:space="preserve">Les </w:t>
      </w:r>
      <w:r w:rsidRPr="00CA04F8">
        <w:rPr>
          <w:b/>
        </w:rPr>
        <w:t>certificats délivrés par les administrations et organismes compétents</w:t>
      </w:r>
      <w:r w:rsidRPr="00E32C30">
        <w:t xml:space="preserve"> dont la liste est fixée par </w:t>
      </w:r>
      <w:r>
        <w:t>l’a</w:t>
      </w:r>
      <w:r w:rsidRPr="00CA04F8">
        <w:rPr>
          <w:bCs/>
        </w:rPr>
        <w:t>rrêté du 22 mars 2019 fixant la liste des impôts, taxes, contributions ou cotisations sociales donnant lieu à la délivrance de certificats pour l'attribution des contrats de la commande publique</w:t>
      </w:r>
      <w:r w:rsidRPr="00CA04F8">
        <w:t xml:space="preserve"> </w:t>
      </w:r>
      <w:r w:rsidRPr="00E32C30">
        <w:t xml:space="preserve">à savoir : </w:t>
      </w:r>
    </w:p>
    <w:p w:rsidR="00CA04F8" w:rsidRDefault="00CA04F8" w:rsidP="00306352">
      <w:pPr>
        <w:pStyle w:val="Paragraphedeliste"/>
      </w:pPr>
    </w:p>
    <w:p w:rsidR="00CA04F8" w:rsidRDefault="00CA04F8" w:rsidP="00306352">
      <w:pPr>
        <w:pStyle w:val="Texte"/>
        <w:numPr>
          <w:ilvl w:val="1"/>
          <w:numId w:val="7"/>
        </w:numPr>
      </w:pPr>
      <w:r w:rsidRPr="00E32C30">
        <w:t xml:space="preserve">l’attestation de régularité fiscale (accessible depuis le site </w:t>
      </w:r>
      <w:hyperlink r:id="rId15" w:history="1">
        <w:r w:rsidRPr="00E32C30">
          <w:t>http://www.impots.gouv.fr</w:t>
        </w:r>
      </w:hyperlink>
      <w:r>
        <w:t>)</w:t>
      </w:r>
    </w:p>
    <w:p w:rsidR="00135527" w:rsidRDefault="00CA04F8" w:rsidP="00306352">
      <w:pPr>
        <w:pStyle w:val="Texte"/>
        <w:numPr>
          <w:ilvl w:val="1"/>
          <w:numId w:val="7"/>
        </w:numPr>
      </w:pPr>
      <w:r w:rsidRPr="00E32C30">
        <w:t xml:space="preserve">le certificat social (accessible sur le site </w:t>
      </w:r>
      <w:hyperlink r:id="rId16" w:history="1">
        <w:r w:rsidRPr="00E32C30">
          <w:t>https://mon.urssaf.fr</w:t>
        </w:r>
      </w:hyperlink>
      <w:r w:rsidRPr="00E32C30">
        <w:t>)</w:t>
      </w:r>
      <w:r w:rsidR="00135527">
        <w:t xml:space="preserve"> (</w:t>
      </w:r>
      <w:r w:rsidR="00135527" w:rsidRPr="00CA04F8">
        <w:rPr>
          <w:b/>
        </w:rPr>
        <w:t>datant de moins de 6 mois</w:t>
      </w:r>
      <w:r w:rsidR="00135527">
        <w:t>)</w:t>
      </w:r>
    </w:p>
    <w:p w:rsidR="00CA04F8" w:rsidRPr="00E32C30" w:rsidRDefault="00135527" w:rsidP="00306352">
      <w:pPr>
        <w:pStyle w:val="Texte"/>
        <w:numPr>
          <w:ilvl w:val="1"/>
          <w:numId w:val="7"/>
        </w:numPr>
      </w:pPr>
      <w:r w:rsidRPr="00135527">
        <w:t xml:space="preserve">certificat attestant la régularité de la situation de l'employeur au regard de l'obligation d'emploi des travailleurs handicapés prévue aux articles L. </w:t>
      </w:r>
      <w:r>
        <w:t>5212-2 à L. 5212-5 du code du travail.</w:t>
      </w:r>
    </w:p>
    <w:p w:rsidR="00CA04F8" w:rsidRDefault="00CA04F8" w:rsidP="00306352">
      <w:pPr>
        <w:pStyle w:val="Texte"/>
        <w:ind w:left="720"/>
      </w:pPr>
    </w:p>
    <w:p w:rsidR="00135527" w:rsidRDefault="00135527" w:rsidP="00306352">
      <w:pPr>
        <w:pStyle w:val="Texte"/>
        <w:numPr>
          <w:ilvl w:val="0"/>
          <w:numId w:val="10"/>
        </w:numPr>
      </w:pPr>
      <w:r w:rsidRPr="00DE4F02">
        <w:t xml:space="preserve">la </w:t>
      </w:r>
      <w:r w:rsidRPr="00DE4F02">
        <w:rPr>
          <w:b/>
        </w:rPr>
        <w:t>liste nominative des salariés étrangers</w:t>
      </w:r>
      <w:r w:rsidRPr="00DE4F02">
        <w:t xml:space="preserve"> employés par l’entrepreneur et soumis à autorisation de travail, conformément aux articles D 8254-2, D 8254-3, D 8254-4, D 8254-5 du code du travail. Cette liste doit préciser, pour chaque salarié, sa date d’embauche, sa nationalité ainsi que le type et le numéro d’ordre du titre valant autorisation de travail. Cette liste est également exigée en cas de sous-traitance.</w:t>
      </w:r>
    </w:p>
    <w:p w:rsidR="00F5740A" w:rsidRPr="00DE4F02" w:rsidRDefault="00F5740A" w:rsidP="00306352">
      <w:pPr>
        <w:pStyle w:val="Texte"/>
      </w:pPr>
    </w:p>
    <w:p w:rsidR="00DE4F02" w:rsidRPr="00DE4F02" w:rsidRDefault="00DE4F02" w:rsidP="00306352">
      <w:pPr>
        <w:pStyle w:val="Texte"/>
        <w:numPr>
          <w:ilvl w:val="0"/>
          <w:numId w:val="9"/>
        </w:numPr>
      </w:pPr>
      <w:r w:rsidRPr="00757BDC">
        <w:rPr>
          <w:b/>
        </w:rPr>
        <w:t>lorsque l’immatriculation du candidat au registre de commerce et des sociétés ou au répertoire des métiers est obligatoire ou lorsqu’il s’agit d’une profession réglementée</w:t>
      </w:r>
      <w:r w:rsidRPr="00DE4F02">
        <w:t>, le candidat doit fournir l’un des documents mentionnés à l’article D 8222-5 du Code du travail :</w:t>
      </w:r>
    </w:p>
    <w:p w:rsidR="00DE4F02" w:rsidRPr="00DE4F02" w:rsidRDefault="00DE4F02" w:rsidP="00306352">
      <w:pPr>
        <w:pStyle w:val="Texte"/>
        <w:numPr>
          <w:ilvl w:val="0"/>
          <w:numId w:val="8"/>
        </w:numPr>
      </w:pPr>
      <w:r w:rsidRPr="00DE4F02">
        <w:lastRenderedPageBreak/>
        <w:t xml:space="preserve">un extrait de l’inscription au registre du commerce et des sociétés (K ou </w:t>
      </w:r>
      <w:proofErr w:type="spellStart"/>
      <w:r w:rsidRPr="00DE4F02">
        <w:t>Kbis</w:t>
      </w:r>
      <w:proofErr w:type="spellEnd"/>
      <w:r w:rsidRPr="00DE4F02">
        <w:t xml:space="preserve">), </w:t>
      </w:r>
      <w:r w:rsidRPr="00DE4F02">
        <w:rPr>
          <w:b/>
        </w:rPr>
        <w:t>ou</w:t>
      </w:r>
    </w:p>
    <w:p w:rsidR="00DE4F02" w:rsidRPr="00DE4F02" w:rsidRDefault="00DE4F02" w:rsidP="00306352">
      <w:pPr>
        <w:pStyle w:val="Texte"/>
        <w:numPr>
          <w:ilvl w:val="0"/>
          <w:numId w:val="8"/>
        </w:numPr>
      </w:pPr>
      <w:r w:rsidRPr="00DE4F02">
        <w:t xml:space="preserve">une carte d’identification justifiant de l’inscription au répertoire des métiers, </w:t>
      </w:r>
      <w:r w:rsidRPr="00DE4F02">
        <w:rPr>
          <w:b/>
        </w:rPr>
        <w:t>ou</w:t>
      </w:r>
    </w:p>
    <w:p w:rsidR="00DE4F02" w:rsidRPr="008D3847" w:rsidRDefault="00DE4F02" w:rsidP="00306352">
      <w:pPr>
        <w:pStyle w:val="Texte"/>
        <w:numPr>
          <w:ilvl w:val="0"/>
          <w:numId w:val="8"/>
        </w:numPr>
      </w:pPr>
      <w:r w:rsidRPr="00DE4F02">
        <w:t>un devis, un document publicitaire ou une correspondance professionnelle,</w:t>
      </w:r>
      <w:r w:rsidR="002D31D9">
        <w:t xml:space="preserve"> à </w:t>
      </w:r>
      <w:r w:rsidRPr="00DE4F02">
        <w:t xml:space="preserve">condition qu’y soient mentionnés le nom ou la dénomination sociale, l’adresse complète et le numéro d’immatriculation au registre du commerce et des sociétés ou au répertoire des métiers ou à une liste ou à un tableau d’un ordre professionnel, ou la référence de l’agrément délivré par l’autorité compétente, </w:t>
      </w:r>
      <w:r w:rsidRPr="008D3847">
        <w:rPr>
          <w:b/>
        </w:rPr>
        <w:t>ou</w:t>
      </w:r>
    </w:p>
    <w:p w:rsidR="00DE4F02" w:rsidRDefault="00DE4F02" w:rsidP="00306352">
      <w:pPr>
        <w:pStyle w:val="Texte"/>
        <w:numPr>
          <w:ilvl w:val="0"/>
          <w:numId w:val="8"/>
        </w:numPr>
      </w:pPr>
      <w:r w:rsidRPr="00DE4F02">
        <w:t>un récépissé du dépôt de déclaration auprès d’un centre de formalités des entreprises pour les personnes physiques ou morales en cours d’inscription.</w:t>
      </w:r>
    </w:p>
    <w:p w:rsidR="00F5740A" w:rsidRPr="00DE4F02" w:rsidRDefault="00F5740A" w:rsidP="00306352">
      <w:pPr>
        <w:pStyle w:val="Texte"/>
      </w:pPr>
    </w:p>
    <w:p w:rsidR="00AB1FDF" w:rsidRDefault="00F5740A" w:rsidP="00306352">
      <w:pPr>
        <w:pStyle w:val="Texte"/>
        <w:numPr>
          <w:ilvl w:val="0"/>
          <w:numId w:val="10"/>
        </w:numPr>
      </w:pPr>
      <w:r w:rsidRPr="00AB1FDF">
        <w:t>U</w:t>
      </w:r>
      <w:r w:rsidR="00AB1FDF" w:rsidRPr="00AB1FDF">
        <w:t>ne</w:t>
      </w:r>
      <w:r>
        <w:t xml:space="preserve"> </w:t>
      </w:r>
      <w:r w:rsidRPr="00F5740A">
        <w:rPr>
          <w:b/>
        </w:rPr>
        <w:t>attestation d’</w:t>
      </w:r>
      <w:r w:rsidR="00AB1FDF" w:rsidRPr="00F5740A">
        <w:rPr>
          <w:b/>
        </w:rPr>
        <w:t>assurance responsabilité civile professionnelle</w:t>
      </w:r>
      <w:r w:rsidR="00AB1FDF" w:rsidRPr="00AB1FDF">
        <w:t xml:space="preserve"> garantissant les tiers en cas d'accidents ou de dommages de toute nature (corporels, matériels et immatér</w:t>
      </w:r>
      <w:r w:rsidR="00757BDC">
        <w:t>iels) causés par l'exécution de la prestation objet du marché</w:t>
      </w:r>
      <w:r w:rsidR="00AB1FDF" w:rsidRPr="00AB1FDF">
        <w:t>. Cette attestation doit préciser le montant plafond des garanties, la ou les franchises ;</w:t>
      </w:r>
    </w:p>
    <w:p w:rsidR="00F5740A" w:rsidRPr="00AB1FDF" w:rsidRDefault="00F5740A" w:rsidP="00306352">
      <w:pPr>
        <w:pStyle w:val="Texte"/>
      </w:pPr>
    </w:p>
    <w:p w:rsidR="00DE4F02" w:rsidRPr="00DE4F02" w:rsidRDefault="00DE4F02" w:rsidP="00306352">
      <w:pPr>
        <w:pStyle w:val="Texte"/>
      </w:pPr>
      <w:r w:rsidRPr="00DE4F02">
        <w:t>Le candidat établi dans un Etat membre de la Communauté européenne autre que la France doit produire un certificat établi par les administrations et organismes du pays d'origine, selon les mêmes modalités que celles qui sont prévues ci-dessus pour le candidat établi en France. Si le pays ne peut fournir ces certificats, le candidat étranger produira une déclaration sous serment ou dans les Etats où un tel serment n’existe pas, par une déclaration solennelle faite par l’intéressé devant l’autorité judiciaire ou autorité administrative compétente, un notaire ou un organisme professionnel qualifié du pays</w:t>
      </w:r>
    </w:p>
    <w:p w:rsidR="00DE4F02" w:rsidRPr="00DE4F02" w:rsidRDefault="00DE4F02" w:rsidP="00306352">
      <w:pPr>
        <w:pStyle w:val="Texte"/>
      </w:pPr>
    </w:p>
    <w:p w:rsidR="00DE4F02" w:rsidRPr="00DE4F02" w:rsidRDefault="00DE4F02" w:rsidP="00306352">
      <w:pPr>
        <w:pStyle w:val="Texte"/>
      </w:pPr>
      <w:r w:rsidRPr="00DE4F02">
        <w:t>Si l’attributaire provisoire est dans l’impossibilité de présenter ces documents ou s’il ne les a pas présenté dans le délai imparti, son offre est rejetée et la candidature éliminée.</w:t>
      </w:r>
    </w:p>
    <w:p w:rsidR="00DE4F02" w:rsidRPr="00DE4F02" w:rsidRDefault="00DE4F02" w:rsidP="00306352">
      <w:pPr>
        <w:pStyle w:val="Texte"/>
      </w:pPr>
    </w:p>
    <w:p w:rsidR="00D63C80" w:rsidRDefault="00DE4F02" w:rsidP="00306352">
      <w:pPr>
        <w:pStyle w:val="Texte"/>
      </w:pPr>
      <w:r w:rsidRPr="00DE4F02">
        <w:t>En ce cas le candidat dont l’offre a été classée immédiatement après la sienne est sollicité pour produire les certificats et attestations nécessaires pour que le marché lui soit attribué. Il sera procédé ainsi dans l’ordre de classement jusqu’à ce que l’un des candidats classés remette effectivement ces documents.</w:t>
      </w:r>
    </w:p>
    <w:p w:rsidR="005761BA" w:rsidRDefault="005761BA" w:rsidP="00306352"/>
    <w:p w:rsidR="00DE4F02" w:rsidRDefault="00DE4F02" w:rsidP="00306352">
      <w:pPr>
        <w:pStyle w:val="Texte"/>
      </w:pPr>
    </w:p>
    <w:p w:rsidR="00F23600" w:rsidRDefault="00DE4F02" w:rsidP="00306352">
      <w:pPr>
        <w:pStyle w:val="Texte"/>
      </w:pPr>
      <w:r w:rsidRPr="00DE4F02">
        <w:t xml:space="preserve">Conformément à l'article </w:t>
      </w:r>
      <w:r w:rsidR="004B6084" w:rsidRPr="004B6084">
        <w:t>R. 2152-13</w:t>
      </w:r>
      <w:r w:rsidR="0021033A">
        <w:t xml:space="preserve"> du code de la commande publique</w:t>
      </w:r>
      <w:r w:rsidRPr="00DE4F02">
        <w:t xml:space="preserve">, il peut être demandé au soumissionnaire auquel il est envisagé d'attribuer </w:t>
      </w:r>
      <w:r w:rsidR="00F5740A">
        <w:t>le marché</w:t>
      </w:r>
      <w:r w:rsidRPr="00DE4F02">
        <w:t xml:space="preserve"> de clarifier les aspects de son offre ou de confirmer les engagements figurant dans celle-ci. Cette demande ne peut avoir pour objet de modifier des él</w:t>
      </w:r>
      <w:r w:rsidR="00D63C80">
        <w:t>éments substantiels de l'offre.</w:t>
      </w:r>
    </w:p>
    <w:p w:rsidR="00F23600" w:rsidRDefault="00F23600" w:rsidP="00306352">
      <w:pPr>
        <w:pStyle w:val="Texte"/>
      </w:pPr>
    </w:p>
    <w:p w:rsidR="00F23600" w:rsidRDefault="00F23600" w:rsidP="00306352">
      <w:pPr>
        <w:pStyle w:val="Texte"/>
      </w:pPr>
    </w:p>
    <w:p w:rsidR="00F23600" w:rsidRPr="00FA6C53" w:rsidRDefault="00F23600" w:rsidP="00F23600">
      <w:pPr>
        <w:pStyle w:val="Texte"/>
      </w:pPr>
    </w:p>
    <w:p w:rsidR="00F23600" w:rsidRPr="0035405F" w:rsidRDefault="00F23600" w:rsidP="00F23600">
      <w:pPr>
        <w:pStyle w:val="ARTICLECCAPCCTP"/>
      </w:pPr>
      <w:bookmarkStart w:id="82" w:name="_Toc95299514"/>
      <w:r>
        <w:t xml:space="preserve">Article 15  </w:t>
      </w:r>
      <w:r w:rsidRPr="0035405F">
        <w:t>Visite des sites</w:t>
      </w:r>
      <w:bookmarkEnd w:id="82"/>
    </w:p>
    <w:p w:rsidR="00F23600" w:rsidRDefault="00F23600" w:rsidP="00F23600">
      <w:pPr>
        <w:pStyle w:val="Texte"/>
      </w:pPr>
    </w:p>
    <w:p w:rsidR="008623B7" w:rsidRDefault="0069692A" w:rsidP="008B64D5">
      <w:pPr>
        <w:pStyle w:val="11"/>
      </w:pPr>
      <w:bookmarkStart w:id="83" w:name="_Toc95299515"/>
      <w:r>
        <w:t>15.1 M</w:t>
      </w:r>
      <w:r w:rsidR="008623B7">
        <w:t>odalités</w:t>
      </w:r>
      <w:bookmarkEnd w:id="83"/>
      <w:r w:rsidR="008623B7">
        <w:t xml:space="preserve"> </w:t>
      </w:r>
    </w:p>
    <w:p w:rsidR="0069692A" w:rsidRDefault="0069692A" w:rsidP="009640B7"/>
    <w:p w:rsidR="00F23600" w:rsidRPr="00AB32F0" w:rsidRDefault="00F23600" w:rsidP="00F23600">
      <w:r w:rsidRPr="00AB32F0">
        <w:t xml:space="preserve">Les opérateurs économiques devront assister </w:t>
      </w:r>
      <w:r w:rsidRPr="00DA517F">
        <w:rPr>
          <w:b/>
          <w:u w:val="single"/>
        </w:rPr>
        <w:t>obligatoirement</w:t>
      </w:r>
      <w:r w:rsidRPr="00AB32F0">
        <w:t xml:space="preserve"> à une visite sur le site qui fera l’objet de la prestation afin d’en évaluer objectivement les difficultés et particularités.</w:t>
      </w:r>
    </w:p>
    <w:p w:rsidR="00F23600" w:rsidRDefault="00F23600" w:rsidP="00F23600">
      <w:pPr>
        <w:pStyle w:val="Texte"/>
      </w:pPr>
    </w:p>
    <w:p w:rsidR="00F23600" w:rsidRPr="00AB32F0" w:rsidRDefault="00F23600" w:rsidP="00F23600">
      <w:r w:rsidRPr="00AB32F0">
        <w:t xml:space="preserve">Lors des visites, les candidats devront porter une attention particulière sur </w:t>
      </w:r>
      <w:r>
        <w:t xml:space="preserve">le type de canalisation et d’évacuation des eaux, à savoir fosse septique, ou raccordement aux  réseaux des eaux usés. </w:t>
      </w:r>
      <w:r w:rsidRPr="00357A6C">
        <w:rPr>
          <w:shd w:val="clear" w:color="auto" w:fill="FFFFFF" w:themeFill="background1"/>
        </w:rPr>
        <w:t>Ils sont réputés avoir pris connaissance de toutes les conditions pouvant, en quelque manière que ce soit, avoir une influence sur l’exécution, les délais, ainsi que sur les quantités et les prix des prestations à réaliser.</w:t>
      </w:r>
    </w:p>
    <w:p w:rsidR="00F23600" w:rsidRPr="00AB32F0" w:rsidRDefault="00F23600" w:rsidP="00F23600"/>
    <w:p w:rsidR="00F23600" w:rsidRPr="007B2690" w:rsidRDefault="00F23600" w:rsidP="00F23600">
      <w:pPr>
        <w:shd w:val="clear" w:color="auto" w:fill="FFFFFF" w:themeFill="background1"/>
      </w:pPr>
      <w:r w:rsidRPr="007B2690">
        <w:t xml:space="preserve">Les opérateurs économiques devront prendre les dispositions nécessaires pour y assister ou s’y faire représenter et devront prendre un rendez-vous préalable auprès de : </w:t>
      </w:r>
    </w:p>
    <w:p w:rsidR="00F23600" w:rsidRPr="007B2690" w:rsidRDefault="00F23600" w:rsidP="00F23600">
      <w:pPr>
        <w:shd w:val="clear" w:color="auto" w:fill="FFFFFF" w:themeFill="background1"/>
      </w:pPr>
    </w:p>
    <w:p w:rsidR="00F23600" w:rsidRPr="007B2690" w:rsidRDefault="00EF24C1" w:rsidP="006833A2">
      <w:pPr>
        <w:pStyle w:val="Paragraphedeliste"/>
        <w:numPr>
          <w:ilvl w:val="1"/>
          <w:numId w:val="7"/>
        </w:numPr>
        <w:shd w:val="clear" w:color="auto" w:fill="FFFFFF" w:themeFill="background1"/>
      </w:pPr>
      <w:hyperlink r:id="rId17" w:history="1">
        <w:r w:rsidR="006833A2" w:rsidRPr="000F79BD">
          <w:rPr>
            <w:rStyle w:val="Lienhypertexte"/>
          </w:rPr>
          <w:t>achat-marche.cpam-gironde@assurance-maladie.fr</w:t>
        </w:r>
      </w:hyperlink>
    </w:p>
    <w:p w:rsidR="00F23600" w:rsidRPr="007B2690" w:rsidRDefault="00F23600" w:rsidP="00F23600">
      <w:pPr>
        <w:pStyle w:val="Paragraphedeliste"/>
        <w:numPr>
          <w:ilvl w:val="1"/>
          <w:numId w:val="7"/>
        </w:numPr>
        <w:shd w:val="clear" w:color="auto" w:fill="FFFFFF" w:themeFill="background1"/>
      </w:pPr>
      <w:r w:rsidRPr="007B2690">
        <w:t>gestpatrimoine.cpam-bordeaux@assurance-maladie.fr</w:t>
      </w:r>
    </w:p>
    <w:p w:rsidR="00F23600" w:rsidRPr="00AB32F0" w:rsidRDefault="00F23600" w:rsidP="00F23600"/>
    <w:p w:rsidR="00F23600" w:rsidRPr="00AB32F0" w:rsidRDefault="00F23600" w:rsidP="00F23600">
      <w:r w:rsidRPr="009C495B">
        <w:t>Afin de prendre rendez-vous, l’opérateur économique devra choisir un des créneaux de visite proposé, un retour leur sera fait pour valider les dates de visites ou les modifier.</w:t>
      </w:r>
    </w:p>
    <w:p w:rsidR="00F23600" w:rsidRDefault="00F23600" w:rsidP="00F23600"/>
    <w:p w:rsidR="00F23600" w:rsidRPr="00AB32F0" w:rsidRDefault="00F23600" w:rsidP="00F23600">
      <w:r w:rsidRPr="00AB32F0">
        <w:lastRenderedPageBreak/>
        <w:t>Il sera dressé un procès-verbal de présence qui listera les opérateurs économiques dûment représentés, les représentants ayant signé ledit procès-verbal, ainsi que ceux qui, nonobstant l’obligation de venir à cette visite, ne seront pas venus et ne se seront pas fait représentés.</w:t>
      </w:r>
    </w:p>
    <w:p w:rsidR="00F23600" w:rsidRDefault="00F23600" w:rsidP="00F23600"/>
    <w:p w:rsidR="00F23600" w:rsidRPr="00357A6C" w:rsidRDefault="00F23600" w:rsidP="00F23600">
      <w:pPr>
        <w:rPr>
          <w:b/>
        </w:rPr>
      </w:pPr>
      <w:r w:rsidRPr="00357A6C">
        <w:rPr>
          <w:b/>
        </w:rPr>
        <w:t>Aucune réponse à des questions techniques ou administratives ne sera fournie lors des visites. Celles-ci devront être transmises via la plateforme Achatpublic</w:t>
      </w:r>
      <w:r>
        <w:rPr>
          <w:b/>
        </w:rPr>
        <w:t>.com (profil acheteur du pouvoir adjudicateur).</w:t>
      </w:r>
    </w:p>
    <w:p w:rsidR="00F23600" w:rsidRDefault="00F23600" w:rsidP="00F23600"/>
    <w:p w:rsidR="00F23600" w:rsidRPr="00DA517F" w:rsidRDefault="00F23600" w:rsidP="00F23600">
      <w:pPr>
        <w:pStyle w:val="Texte"/>
        <w:rPr>
          <w:b/>
        </w:rPr>
      </w:pPr>
      <w:r w:rsidRPr="00DA517F">
        <w:rPr>
          <w:b/>
        </w:rPr>
        <w:t>Si le candidat n’a pas fourni l’attestation d</w:t>
      </w:r>
      <w:r w:rsidR="00A85E98" w:rsidRPr="00DA517F">
        <w:rPr>
          <w:b/>
        </w:rPr>
        <w:t xml:space="preserve">e visite sur site </w:t>
      </w:r>
      <w:r w:rsidRPr="00DA517F">
        <w:rPr>
          <w:b/>
        </w:rPr>
        <w:t xml:space="preserve">dûment complété et signé </w:t>
      </w:r>
      <w:r w:rsidR="00871974">
        <w:rPr>
          <w:b/>
        </w:rPr>
        <w:t xml:space="preserve">(Annexe 1 du CCP) </w:t>
      </w:r>
      <w:r w:rsidRPr="00DA517F">
        <w:rPr>
          <w:b/>
        </w:rPr>
        <w:t xml:space="preserve">dans son intégralité, son offre sera rejetée car considérée comme offre irrégulière.    </w:t>
      </w:r>
    </w:p>
    <w:p w:rsidR="008623B7" w:rsidRDefault="008623B7" w:rsidP="00F23600">
      <w:pPr>
        <w:pStyle w:val="Texte"/>
      </w:pPr>
    </w:p>
    <w:p w:rsidR="008623B7" w:rsidRDefault="008623B7" w:rsidP="008B64D5">
      <w:pPr>
        <w:pStyle w:val="11"/>
      </w:pPr>
      <w:bookmarkStart w:id="84" w:name="_Toc95299516"/>
      <w:r>
        <w:t>15.2 Planning</w:t>
      </w:r>
      <w:bookmarkEnd w:id="84"/>
      <w:r>
        <w:t xml:space="preserve"> </w:t>
      </w:r>
    </w:p>
    <w:p w:rsidR="008623B7" w:rsidRDefault="008623B7" w:rsidP="00306352">
      <w:pPr>
        <w:pStyle w:val="Texte"/>
      </w:pPr>
    </w:p>
    <w:p w:rsidR="0069692A" w:rsidRDefault="0069692A" w:rsidP="00306352">
      <w:pPr>
        <w:pStyle w:val="Texte"/>
      </w:pPr>
      <w:r>
        <w:t>Le planning ci-dessous reprend les créneaux de visites obligatoires.</w:t>
      </w:r>
    </w:p>
    <w:p w:rsidR="00686ADC" w:rsidRDefault="0069692A" w:rsidP="00306352">
      <w:pPr>
        <w:pStyle w:val="Texte"/>
      </w:pPr>
      <w:r>
        <w:t xml:space="preserve">Chaque candidat </w:t>
      </w:r>
      <w:r w:rsidRPr="00686ADC">
        <w:rPr>
          <w:u w:val="single"/>
        </w:rPr>
        <w:t xml:space="preserve">devra </w:t>
      </w:r>
      <w:r w:rsidR="009850DB" w:rsidRPr="00686ADC">
        <w:rPr>
          <w:u w:val="single"/>
        </w:rPr>
        <w:t xml:space="preserve">impérativement </w:t>
      </w:r>
      <w:r w:rsidR="00641883" w:rsidRPr="00686ADC">
        <w:rPr>
          <w:u w:val="single"/>
        </w:rPr>
        <w:t xml:space="preserve">participer </w:t>
      </w:r>
      <w:r w:rsidR="009850DB" w:rsidRPr="00686ADC">
        <w:rPr>
          <w:u w:val="single"/>
        </w:rPr>
        <w:t>à la visite de tous les sites suivant le calendrier ci-dessous</w:t>
      </w:r>
      <w:r w:rsidR="009850DB">
        <w:t>.</w:t>
      </w:r>
    </w:p>
    <w:p w:rsidR="009850DB" w:rsidRDefault="00641883" w:rsidP="00306352">
      <w:pPr>
        <w:pStyle w:val="Texte"/>
      </w:pPr>
      <w:r>
        <w:t xml:space="preserve"> A l’issu des visites, l’attestation de visite nécessaire à la présentation de votre offre, vous sera remis.</w:t>
      </w:r>
      <w:r w:rsidR="009850DB">
        <w:t xml:space="preserve"> Le candidat choisira parmi les propositions ci-dessous en envoyant au  service de gestion patrimoine </w:t>
      </w:r>
      <w:r w:rsidR="00DA517F">
        <w:t xml:space="preserve">et au service achats-marchés </w:t>
      </w:r>
      <w:r w:rsidR="009850DB">
        <w:t>ses disponibilités.</w:t>
      </w:r>
    </w:p>
    <w:p w:rsidR="009850DB" w:rsidRDefault="009850DB" w:rsidP="00306352">
      <w:pPr>
        <w:pStyle w:val="Texte"/>
      </w:pPr>
    </w:p>
    <w:p w:rsidR="00686ADC" w:rsidRPr="00E52377" w:rsidRDefault="00686ADC" w:rsidP="00E52377">
      <w:pPr>
        <w:pStyle w:val="Texte"/>
        <w:rPr>
          <w:b/>
        </w:rPr>
      </w:pPr>
      <w:r>
        <w:t xml:space="preserve">La visite de tous les sites présentant des spécificités se </w:t>
      </w:r>
      <w:r w:rsidR="00DA517F">
        <w:t>déroulera</w:t>
      </w:r>
      <w:r>
        <w:t xml:space="preserve"> sur une </w:t>
      </w:r>
      <w:r w:rsidRPr="00686ADC">
        <w:rPr>
          <w:b/>
          <w:u w:val="single"/>
        </w:rPr>
        <w:t>seule</w:t>
      </w:r>
      <w:r w:rsidR="006833A2">
        <w:t xml:space="preserve"> journée: </w:t>
      </w:r>
      <w:r w:rsidR="0053408F">
        <w:rPr>
          <w:b/>
        </w:rPr>
        <w:t>entre le 10 et le 13 mars 2025</w:t>
      </w:r>
      <w:bookmarkStart w:id="85" w:name="_GoBack"/>
      <w:bookmarkEnd w:id="85"/>
    </w:p>
    <w:p w:rsidR="009850DB" w:rsidRDefault="009850DB" w:rsidP="00306352">
      <w:pPr>
        <w:pStyle w:val="Texte"/>
      </w:pPr>
    </w:p>
    <w:p w:rsidR="00DA517F" w:rsidRDefault="003D49BD" w:rsidP="00306352">
      <w:pPr>
        <w:pStyle w:val="Texte"/>
      </w:pPr>
      <w:r>
        <w:t>Chaque candidat devra envoyer</w:t>
      </w:r>
      <w:r w:rsidR="00686ADC">
        <w:t xml:space="preserve"> au mail </w:t>
      </w:r>
      <w:r>
        <w:t>confirmant la visite au service:</w:t>
      </w:r>
    </w:p>
    <w:p w:rsidR="00DA517F" w:rsidRPr="007B2690" w:rsidRDefault="00686ADC" w:rsidP="00DA517F">
      <w:pPr>
        <w:pStyle w:val="Paragraphedeliste"/>
        <w:numPr>
          <w:ilvl w:val="1"/>
          <w:numId w:val="7"/>
        </w:numPr>
        <w:shd w:val="clear" w:color="auto" w:fill="FFFFFF" w:themeFill="background1"/>
      </w:pPr>
      <w:r>
        <w:t>de gestion patrimoine</w:t>
      </w:r>
      <w:r w:rsidR="00DA517F">
        <w:t xml:space="preserve"> : </w:t>
      </w:r>
      <w:r w:rsidR="00DA517F" w:rsidRPr="007B2690">
        <w:t>gestpatrimoine.cpam-bordeaux@assurance-maladie.fr</w:t>
      </w:r>
    </w:p>
    <w:p w:rsidR="006833A2" w:rsidRDefault="00686ADC" w:rsidP="006833A2">
      <w:pPr>
        <w:pStyle w:val="Texte"/>
        <w:numPr>
          <w:ilvl w:val="1"/>
          <w:numId w:val="7"/>
        </w:numPr>
      </w:pPr>
      <w:r>
        <w:t>le service achat marché</w:t>
      </w:r>
      <w:r w:rsidR="006833A2">
        <w:t xml:space="preserve"> : </w:t>
      </w:r>
      <w:r w:rsidR="006833A2" w:rsidRPr="006833A2">
        <w:t>achat-marche.cpam-gironde@assurance-maladie.fr</w:t>
      </w:r>
      <w:r>
        <w:t xml:space="preserve"> </w:t>
      </w:r>
    </w:p>
    <w:p w:rsidR="006833A2" w:rsidRDefault="006833A2" w:rsidP="006833A2">
      <w:pPr>
        <w:pStyle w:val="Texte"/>
      </w:pPr>
    </w:p>
    <w:p w:rsidR="00DA517F" w:rsidRDefault="00DA517F" w:rsidP="006833A2">
      <w:pPr>
        <w:pStyle w:val="Texte"/>
      </w:pPr>
      <w:r>
        <w:t>L’adresse des différents sites est précisée dans l’Annexe n°2 du CCP.</w:t>
      </w:r>
    </w:p>
    <w:p w:rsidR="009850DB" w:rsidRDefault="009850DB" w:rsidP="00306352">
      <w:pPr>
        <w:pStyle w:val="Texte"/>
      </w:pPr>
    </w:p>
    <w:p w:rsidR="0069692A" w:rsidRDefault="0069692A" w:rsidP="00306352">
      <w:pPr>
        <w:pStyle w:val="Texte"/>
      </w:pPr>
    </w:p>
    <w:p w:rsidR="003A0E96" w:rsidRDefault="00357A6C" w:rsidP="00306352">
      <w:pPr>
        <w:pStyle w:val="Texte"/>
      </w:pPr>
      <w:r>
        <w:br w:type="page"/>
      </w:r>
    </w:p>
    <w:p w:rsidR="00D35132" w:rsidRPr="00AB32F0" w:rsidRDefault="00D35132" w:rsidP="00306352"/>
    <w:p w:rsidR="00D63C80" w:rsidRDefault="00D63C80" w:rsidP="00306352"/>
    <w:p w:rsidR="00DE4F02" w:rsidRPr="00FA6C53" w:rsidRDefault="00C51E97" w:rsidP="00612328">
      <w:pPr>
        <w:pStyle w:val="ARTICLECCAPCCTP"/>
      </w:pPr>
      <w:bookmarkStart w:id="86" w:name="_Toc511975047"/>
      <w:bookmarkStart w:id="87" w:name="_Toc95299517"/>
      <w:r>
        <w:t>Article 16</w:t>
      </w:r>
      <w:r w:rsidR="00612328">
        <w:t xml:space="preserve"> </w:t>
      </w:r>
      <w:r w:rsidR="00FA6C53" w:rsidRPr="00FA6C53">
        <w:t>Renseignements complémentaires</w:t>
      </w:r>
      <w:bookmarkEnd w:id="86"/>
      <w:bookmarkEnd w:id="87"/>
    </w:p>
    <w:p w:rsidR="00DE4F02" w:rsidRDefault="00DE4F02" w:rsidP="00306352">
      <w:pPr>
        <w:pStyle w:val="Texte"/>
      </w:pPr>
    </w:p>
    <w:p w:rsidR="008D0641" w:rsidRPr="0021696E" w:rsidRDefault="008D0641" w:rsidP="00306352">
      <w:pPr>
        <w:pStyle w:val="Texte"/>
        <w:rPr>
          <w:bCs/>
        </w:rPr>
      </w:pPr>
      <w:r w:rsidRPr="0021696E">
        <w:rPr>
          <w:bCs/>
        </w:rPr>
        <w:t>Dès la consultation du dossier et avant remise de l’offre, le candidat prendra soin de signaler par écrit au coordonnateur, toute anomalie ou insuffisance constatée sur l’ensemble des documents du marché.</w:t>
      </w:r>
      <w:r>
        <w:rPr>
          <w:bCs/>
        </w:rPr>
        <w:t xml:space="preserve"> </w:t>
      </w:r>
      <w:r w:rsidRPr="0021696E">
        <w:rPr>
          <w:bCs/>
        </w:rPr>
        <w:t>En aucun cas, il pourra arguer des imprécisions, erreurs ou omissions figurant dans les pièces du présent marché, pour justifier une demande de supplément.</w:t>
      </w:r>
    </w:p>
    <w:p w:rsidR="008D0641" w:rsidRDefault="008D0641" w:rsidP="00306352">
      <w:pPr>
        <w:pStyle w:val="Texte"/>
      </w:pPr>
    </w:p>
    <w:p w:rsidR="00471E5A" w:rsidRPr="00FA6C53" w:rsidRDefault="00FA6C53" w:rsidP="00471E5A">
      <w:pPr>
        <w:pStyle w:val="Texte"/>
      </w:pPr>
      <w:r w:rsidRPr="00FA6C53">
        <w:t xml:space="preserve">Pendant la phase de consultation, les candidats peuvent faire parvenir leurs questions et les demandes de renseignements complémentaires sur la plate-forme suivante : </w:t>
      </w:r>
      <w:r w:rsidR="00471E5A">
        <w:rPr>
          <w:bCs/>
        </w:rPr>
        <w:t xml:space="preserve">https: </w:t>
      </w:r>
      <w:hyperlink r:id="rId18" w:history="1">
        <w:r w:rsidR="00471E5A" w:rsidRPr="00B72E02">
          <w:rPr>
            <w:color w:val="0000FF" w:themeColor="hyperlink"/>
            <w:u w:val="single"/>
          </w:rPr>
          <w:t>https://www.marche-publics.gouv.fr</w:t>
        </w:r>
      </w:hyperlink>
    </w:p>
    <w:p w:rsidR="00FA6C53" w:rsidRPr="00FA6C53" w:rsidRDefault="00FA6C53" w:rsidP="00306352">
      <w:pPr>
        <w:pStyle w:val="Texte"/>
      </w:pPr>
    </w:p>
    <w:p w:rsidR="00DE4F02" w:rsidRDefault="00DE4F02" w:rsidP="00306352">
      <w:pPr>
        <w:pStyle w:val="Texte"/>
      </w:pPr>
    </w:p>
    <w:p w:rsidR="00FA6C53" w:rsidRPr="00FA6C53" w:rsidRDefault="00FA6C53" w:rsidP="00306352">
      <w:pPr>
        <w:pStyle w:val="Texte"/>
      </w:pPr>
      <w:r w:rsidRPr="00FA6C53">
        <w:t xml:space="preserve">Les renseignements complémentaires sont envoyés aux candidats qui les demandent en </w:t>
      </w:r>
      <w:r w:rsidRPr="0035405F">
        <w:t xml:space="preserve">temps utile au plus tard </w:t>
      </w:r>
      <w:r w:rsidR="00AF29C7" w:rsidRPr="0035405F">
        <w:t>1</w:t>
      </w:r>
      <w:r w:rsidR="006F738A" w:rsidRPr="0035405F">
        <w:t>0</w:t>
      </w:r>
      <w:r w:rsidR="00AF29C7" w:rsidRPr="0035405F">
        <w:t xml:space="preserve"> </w:t>
      </w:r>
      <w:r w:rsidRPr="0035405F">
        <w:t>jours avant la date limite de remise des offres.</w:t>
      </w:r>
    </w:p>
    <w:p w:rsidR="00FA6C53" w:rsidRPr="00FA6C53" w:rsidRDefault="00FA6C53" w:rsidP="00306352">
      <w:pPr>
        <w:pStyle w:val="Texte"/>
      </w:pPr>
    </w:p>
    <w:p w:rsidR="00FA6C53" w:rsidRPr="00FA6C53" w:rsidRDefault="00FA6C53" w:rsidP="00306352">
      <w:pPr>
        <w:pStyle w:val="Texte"/>
      </w:pPr>
      <w:r w:rsidRPr="00FA6C53">
        <w:t>Afin de respecter l’égalité des candidats devant l’accès à l’information, toute demande de renseignement recevable formulée par un candidat, sous réserve que cette demande ne contiennent pas d’informations qui relèveraient du secret industriel et commercial ou de la vie privée, ainsi que la réponse qui lui est transmise le sera aussi auprès des autres candidats.</w:t>
      </w:r>
    </w:p>
    <w:p w:rsidR="00DE4F02" w:rsidRDefault="00DE4F02" w:rsidP="00306352">
      <w:pPr>
        <w:pStyle w:val="Texte"/>
      </w:pPr>
    </w:p>
    <w:p w:rsidR="00B460DD" w:rsidRDefault="00B460DD" w:rsidP="00306352">
      <w:pPr>
        <w:pStyle w:val="Texte"/>
      </w:pPr>
    </w:p>
    <w:p w:rsidR="00FA6C53" w:rsidRPr="00FA6C53" w:rsidRDefault="00C51E97" w:rsidP="00612328">
      <w:pPr>
        <w:pStyle w:val="ARTICLECCAPCCTP"/>
        <w:tabs>
          <w:tab w:val="clear" w:pos="1440"/>
        </w:tabs>
        <w:ind w:firstLine="0"/>
      </w:pPr>
      <w:bookmarkStart w:id="88" w:name="_Toc511975048"/>
      <w:bookmarkStart w:id="89" w:name="_Toc95299518"/>
      <w:r>
        <w:t xml:space="preserve">Article 17 </w:t>
      </w:r>
      <w:r w:rsidR="00FA6C53" w:rsidRPr="00FA6C53">
        <w:t>Délai de validité des offres</w:t>
      </w:r>
      <w:bookmarkEnd w:id="88"/>
      <w:bookmarkEnd w:id="89"/>
    </w:p>
    <w:p w:rsidR="00FA6C53" w:rsidRDefault="00FA6C53" w:rsidP="00306352">
      <w:pPr>
        <w:pStyle w:val="Texte"/>
      </w:pPr>
    </w:p>
    <w:p w:rsidR="00FA6C53" w:rsidRPr="00FA6C53" w:rsidRDefault="00FA6C53" w:rsidP="00306352">
      <w:pPr>
        <w:pStyle w:val="Texte"/>
      </w:pPr>
      <w:r w:rsidRPr="00FA6C53">
        <w:t xml:space="preserve">Le délai de validité des offres est fixé à </w:t>
      </w:r>
      <w:r w:rsidRPr="00FA6C53">
        <w:rPr>
          <w:b/>
        </w:rPr>
        <w:t>120 jours</w:t>
      </w:r>
      <w:r w:rsidRPr="00FA6C53">
        <w:t xml:space="preserve"> à compter de la date limite de remise des offres.</w:t>
      </w:r>
    </w:p>
    <w:p w:rsidR="00FA6C53" w:rsidRPr="00FA6C53" w:rsidRDefault="00FA6C53" w:rsidP="00306352">
      <w:pPr>
        <w:pStyle w:val="Texte"/>
      </w:pPr>
    </w:p>
    <w:p w:rsidR="00FA6C53" w:rsidRDefault="00FA6C53" w:rsidP="00306352">
      <w:pPr>
        <w:pStyle w:val="Texte"/>
      </w:pPr>
      <w:r w:rsidRPr="00FA6C53">
        <w:t xml:space="preserve">Pendant toute cette période, l’opérateur économique ne pourra se soustraire à ses engagements, l’acte d’engagement constituant une promesse unilatérale de contrat à laquelle la signature par le pouvoir adjudicateur donne force de contrat et dont la notification rend l’acte exécutoire et opposable à l’opérateur cocontractant. </w:t>
      </w:r>
    </w:p>
    <w:p w:rsidR="00433FB9" w:rsidRDefault="00433FB9" w:rsidP="00306352">
      <w:pPr>
        <w:pStyle w:val="Texte"/>
      </w:pPr>
    </w:p>
    <w:p w:rsidR="00433FB9" w:rsidRPr="00FA6C53" w:rsidRDefault="00433FB9" w:rsidP="00306352">
      <w:pPr>
        <w:pStyle w:val="Texte"/>
      </w:pPr>
      <w:r>
        <w:t>Si le représentant du pouvoir adjudicateur n’a pu attribuer le marché public au terme de ce délai, il se réserve la possibilité de demander à chaque candidat une prolongation du délai de validité de son offre.</w:t>
      </w:r>
    </w:p>
    <w:p w:rsidR="00FA6C53" w:rsidRPr="00FA6C53" w:rsidRDefault="00FA6C53" w:rsidP="00306352">
      <w:pPr>
        <w:pStyle w:val="Texte"/>
      </w:pPr>
    </w:p>
    <w:p w:rsidR="00FA6C53" w:rsidRPr="00FA6C53" w:rsidRDefault="00FA6C53" w:rsidP="00306352">
      <w:pPr>
        <w:pStyle w:val="Texte"/>
      </w:pPr>
      <w:r w:rsidRPr="00FA6C53">
        <w:t xml:space="preserve">Au-delà du délai de validité, les opérateurs économiques seront libérés de leur engagement. </w:t>
      </w:r>
    </w:p>
    <w:p w:rsidR="00FA6C53" w:rsidRDefault="00FA6C53" w:rsidP="00306352">
      <w:pPr>
        <w:pStyle w:val="Texte"/>
      </w:pPr>
    </w:p>
    <w:p w:rsidR="00FA6C53" w:rsidRPr="00FA6C53" w:rsidRDefault="00C51E97" w:rsidP="00612328">
      <w:pPr>
        <w:pStyle w:val="ARTICLECCAPCCTP"/>
        <w:tabs>
          <w:tab w:val="clear" w:pos="1440"/>
        </w:tabs>
        <w:ind w:firstLine="0"/>
      </w:pPr>
      <w:bookmarkStart w:id="90" w:name="_Toc511975049"/>
      <w:bookmarkStart w:id="91" w:name="_Toc95299519"/>
      <w:r>
        <w:t>Article 18</w:t>
      </w:r>
      <w:r w:rsidR="00612328">
        <w:t xml:space="preserve"> </w:t>
      </w:r>
      <w:r w:rsidR="00FA6C53" w:rsidRPr="00FA6C53">
        <w:t>Voies de recours</w:t>
      </w:r>
      <w:bookmarkEnd w:id="90"/>
      <w:bookmarkEnd w:id="91"/>
    </w:p>
    <w:p w:rsidR="00FA6C53" w:rsidRDefault="00FA6C53" w:rsidP="00306352">
      <w:pPr>
        <w:pStyle w:val="Texte"/>
      </w:pPr>
    </w:p>
    <w:p w:rsidR="00FA6C53" w:rsidRPr="00FA6C53" w:rsidRDefault="00FA6C53" w:rsidP="00306352">
      <w:pPr>
        <w:pStyle w:val="Texte"/>
      </w:pPr>
      <w:r w:rsidRPr="00FA6C53">
        <w:t>Le service auprès duquel des renseignements peuvent être obtenus concernant l’introduction des recours est le suivant :</w:t>
      </w:r>
    </w:p>
    <w:p w:rsidR="00FA6C53" w:rsidRPr="00FA6C53" w:rsidRDefault="00FA6C53" w:rsidP="00306352">
      <w:pPr>
        <w:pStyle w:val="Texte"/>
      </w:pPr>
    </w:p>
    <w:p w:rsidR="00FA6C53" w:rsidRPr="00FA6C53" w:rsidRDefault="00354174" w:rsidP="00306352">
      <w:pPr>
        <w:pStyle w:val="Texte"/>
      </w:pPr>
      <w:r>
        <w:t>TJ</w:t>
      </w:r>
      <w:r w:rsidR="00FA6C53" w:rsidRPr="00FA6C53">
        <w:t xml:space="preserve"> de Bordeaux – 30 Rue des Frères Bonie, 33000 Bordeaux</w:t>
      </w:r>
    </w:p>
    <w:p w:rsidR="00FA6C53" w:rsidRPr="00FA6C53" w:rsidRDefault="00FA6C53" w:rsidP="00306352">
      <w:pPr>
        <w:pStyle w:val="Texte"/>
      </w:pPr>
      <w:r w:rsidRPr="00FA6C53">
        <w:t xml:space="preserve">Téléphone : </w:t>
      </w:r>
      <w:r w:rsidR="00EF1EBB" w:rsidRPr="00EF1EBB">
        <w:t>05 47 33 90 00</w:t>
      </w:r>
    </w:p>
    <w:p w:rsidR="00FA6C53" w:rsidRPr="00FA6C53" w:rsidRDefault="00FA6C53" w:rsidP="00306352">
      <w:pPr>
        <w:pStyle w:val="Texte"/>
      </w:pPr>
    </w:p>
    <w:p w:rsidR="00F5740A" w:rsidRDefault="00FA6C53" w:rsidP="00306352">
      <w:pPr>
        <w:pStyle w:val="Texte"/>
      </w:pPr>
      <w:r w:rsidRPr="00FA6C53">
        <w:t>Les candidats disposent de la possibilité d'introduire un référé précontractuel et un référé contractuel à l'encontre de la présente procédure dans les conditions prévues à l'article 1441-1 et suivants du Code de procédure civile.</w:t>
      </w:r>
    </w:p>
    <w:sectPr w:rsidR="00F5740A" w:rsidSect="00630505">
      <w:pgSz w:w="11906" w:h="16838" w:code="9"/>
      <w:pgMar w:top="1134" w:right="1134" w:bottom="1134" w:left="1134"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364A" w:rsidRDefault="004B364A" w:rsidP="00E86BC0">
      <w:r>
        <w:separator/>
      </w:r>
    </w:p>
    <w:p w:rsidR="004B364A" w:rsidRDefault="004B364A" w:rsidP="00E86BC0"/>
  </w:endnote>
  <w:endnote w:type="continuationSeparator" w:id="0">
    <w:p w:rsidR="004B364A" w:rsidRDefault="004B364A" w:rsidP="00E86BC0">
      <w:r>
        <w:continuationSeparator/>
      </w:r>
    </w:p>
    <w:p w:rsidR="004B364A" w:rsidRDefault="004B364A" w:rsidP="00E86B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81" w:type="dxa"/>
      <w:tblInd w:w="108" w:type="dxa"/>
      <w:tblBorders>
        <w:top w:val="single" w:sz="8" w:space="0" w:color="auto"/>
      </w:tblBorders>
      <w:tblLayout w:type="fixed"/>
      <w:tblLook w:val="04A0" w:firstRow="1" w:lastRow="0" w:firstColumn="1" w:lastColumn="0" w:noHBand="0" w:noVBand="1"/>
    </w:tblPr>
    <w:tblGrid>
      <w:gridCol w:w="1701"/>
      <w:gridCol w:w="8080"/>
    </w:tblGrid>
    <w:tr w:rsidR="004B364A" w:rsidRPr="0028267B" w:rsidTr="00EF40DD">
      <w:trPr>
        <w:trHeight w:val="983"/>
      </w:trPr>
      <w:tc>
        <w:tcPr>
          <w:tcW w:w="1701" w:type="dxa"/>
          <w:shd w:val="clear" w:color="auto" w:fill="auto"/>
          <w:vAlign w:val="center"/>
        </w:tcPr>
        <w:p w:rsidR="004B364A" w:rsidRPr="0028267B" w:rsidRDefault="004B364A" w:rsidP="00EF40DD">
          <w:pPr>
            <w:pStyle w:val="Pieddepage"/>
            <w:tabs>
              <w:tab w:val="clear" w:pos="9072"/>
              <w:tab w:val="right" w:pos="9639"/>
            </w:tabs>
            <w:rPr>
              <w:rFonts w:cs="Calibri"/>
              <w:sz w:val="12"/>
              <w:szCs w:val="12"/>
            </w:rPr>
          </w:pPr>
          <w:r>
            <w:rPr>
              <w:noProof/>
            </w:rPr>
            <w:drawing>
              <wp:anchor distT="0" distB="0" distL="114300" distR="114300" simplePos="0" relativeHeight="251660288" behindDoc="0" locked="0" layoutInCell="1" allowOverlap="1" wp14:anchorId="7B8FFF32" wp14:editId="5E3E1933">
                <wp:simplePos x="0" y="0"/>
                <wp:positionH relativeFrom="column">
                  <wp:posOffset>-41275</wp:posOffset>
                </wp:positionH>
                <wp:positionV relativeFrom="paragraph">
                  <wp:posOffset>7620</wp:posOffset>
                </wp:positionV>
                <wp:extent cx="990600" cy="542925"/>
                <wp:effectExtent l="0" t="0" r="0" b="9525"/>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0600" cy="5429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8080" w:type="dxa"/>
        </w:tcPr>
        <w:p w:rsidR="004B364A" w:rsidRDefault="004B364A" w:rsidP="00EF40DD">
          <w:pPr>
            <w:jc w:val="right"/>
            <w:rPr>
              <w:sz w:val="12"/>
              <w:szCs w:val="12"/>
            </w:rPr>
          </w:pPr>
        </w:p>
        <w:p w:rsidR="004B364A" w:rsidRPr="00392137" w:rsidRDefault="004B364A" w:rsidP="00A3240B">
          <w:pPr>
            <w:ind w:left="-108"/>
            <w:contextualSpacing/>
            <w:jc w:val="right"/>
            <w:rPr>
              <w:rFonts w:cs="Calibri"/>
              <w:b/>
              <w:bCs/>
              <w:i/>
              <w:sz w:val="12"/>
              <w:szCs w:val="12"/>
            </w:rPr>
          </w:pPr>
          <w:r>
            <w:rPr>
              <w:rFonts w:cs="Calibri"/>
              <w:b/>
              <w:bCs/>
              <w:i/>
              <w:sz w:val="12"/>
              <w:szCs w:val="12"/>
            </w:rPr>
            <w:t>Curage et Débouchage des canalisations des différents sites de la CPAM  de la Gironde</w:t>
          </w:r>
        </w:p>
        <w:p w:rsidR="004B364A" w:rsidRDefault="004B364A" w:rsidP="00A3240B">
          <w:pPr>
            <w:pStyle w:val="Pieddepage"/>
            <w:contextualSpacing/>
            <w:jc w:val="right"/>
            <w:rPr>
              <w:rFonts w:cs="Calibri"/>
              <w:sz w:val="12"/>
              <w:szCs w:val="12"/>
            </w:rPr>
          </w:pPr>
          <w:proofErr w:type="gramStart"/>
          <w:r>
            <w:rPr>
              <w:rFonts w:cs="Calibri"/>
              <w:b/>
              <w:bCs/>
              <w:i/>
              <w:sz w:val="12"/>
              <w:szCs w:val="12"/>
            </w:rPr>
            <w:t>MAPA</w:t>
          </w:r>
          <w:r w:rsidRPr="00392137">
            <w:rPr>
              <w:rFonts w:cs="Calibri"/>
              <w:b/>
              <w:bCs/>
              <w:i/>
              <w:sz w:val="12"/>
              <w:szCs w:val="12"/>
            </w:rPr>
            <w:t xml:space="preserve">  N</w:t>
          </w:r>
          <w:proofErr w:type="gramEnd"/>
          <w:r w:rsidRPr="00392137">
            <w:rPr>
              <w:rFonts w:cs="Calibri"/>
              <w:b/>
              <w:bCs/>
              <w:i/>
              <w:sz w:val="12"/>
              <w:szCs w:val="12"/>
            </w:rPr>
            <w:t xml:space="preserve">° </w:t>
          </w:r>
          <w:r>
            <w:rPr>
              <w:rFonts w:cs="Calibri"/>
              <w:b/>
              <w:bCs/>
              <w:i/>
              <w:sz w:val="12"/>
              <w:szCs w:val="12"/>
            </w:rPr>
            <w:t>07_2025PS</w:t>
          </w:r>
          <w:r>
            <w:rPr>
              <w:rFonts w:cs="Calibri"/>
              <w:sz w:val="12"/>
              <w:szCs w:val="12"/>
            </w:rPr>
            <w:t xml:space="preserve"> </w:t>
          </w:r>
        </w:p>
        <w:p w:rsidR="004B364A" w:rsidRPr="00392137" w:rsidRDefault="004B364A" w:rsidP="00A3240B">
          <w:pPr>
            <w:pStyle w:val="Pieddepage"/>
            <w:contextualSpacing/>
            <w:jc w:val="right"/>
            <w:rPr>
              <w:rFonts w:cs="Calibri"/>
              <w:sz w:val="12"/>
              <w:szCs w:val="12"/>
            </w:rPr>
          </w:pPr>
          <w:r>
            <w:rPr>
              <w:rFonts w:cs="Calibri"/>
              <w:sz w:val="12"/>
              <w:szCs w:val="12"/>
            </w:rPr>
            <w:t>Règlement de la Consultation</w:t>
          </w:r>
          <w:r w:rsidRPr="00392137">
            <w:rPr>
              <w:rFonts w:cs="Calibri"/>
              <w:sz w:val="12"/>
              <w:szCs w:val="12"/>
            </w:rPr>
            <w:t xml:space="preserve"> (</w:t>
          </w:r>
          <w:r>
            <w:rPr>
              <w:rFonts w:cs="Calibri"/>
              <w:sz w:val="12"/>
              <w:szCs w:val="12"/>
            </w:rPr>
            <w:t>RC</w:t>
          </w:r>
          <w:r w:rsidRPr="00392137">
            <w:rPr>
              <w:rFonts w:cs="Calibri"/>
              <w:sz w:val="12"/>
              <w:szCs w:val="12"/>
            </w:rPr>
            <w:t>)</w:t>
          </w:r>
        </w:p>
        <w:p w:rsidR="004B364A" w:rsidRPr="00501A7C" w:rsidRDefault="004B364A" w:rsidP="00A3240B">
          <w:pPr>
            <w:jc w:val="right"/>
            <w:rPr>
              <w:rFonts w:cs="Calibri"/>
              <w:bCs/>
              <w:sz w:val="12"/>
              <w:szCs w:val="12"/>
            </w:rPr>
          </w:pPr>
          <w:r w:rsidRPr="00392137">
            <w:rPr>
              <w:rFonts w:cs="Calibri"/>
              <w:sz w:val="12"/>
              <w:szCs w:val="12"/>
            </w:rPr>
            <w:t xml:space="preserve">Page </w:t>
          </w:r>
          <w:r w:rsidRPr="00392137">
            <w:rPr>
              <w:rFonts w:cs="Calibri"/>
              <w:sz w:val="12"/>
              <w:szCs w:val="12"/>
            </w:rPr>
            <w:fldChar w:fldCharType="begin"/>
          </w:r>
          <w:r w:rsidRPr="00392137">
            <w:rPr>
              <w:rFonts w:cs="Calibri"/>
              <w:sz w:val="12"/>
              <w:szCs w:val="12"/>
            </w:rPr>
            <w:instrText xml:space="preserve"> PAGE </w:instrText>
          </w:r>
          <w:r w:rsidRPr="00392137">
            <w:rPr>
              <w:rFonts w:cs="Calibri"/>
              <w:sz w:val="12"/>
              <w:szCs w:val="12"/>
            </w:rPr>
            <w:fldChar w:fldCharType="separate"/>
          </w:r>
          <w:r w:rsidR="00EF24C1">
            <w:rPr>
              <w:rFonts w:cs="Calibri"/>
              <w:noProof/>
              <w:sz w:val="12"/>
              <w:szCs w:val="12"/>
            </w:rPr>
            <w:t>8</w:t>
          </w:r>
          <w:r w:rsidRPr="00392137">
            <w:rPr>
              <w:rFonts w:cs="Calibri"/>
              <w:sz w:val="12"/>
              <w:szCs w:val="12"/>
            </w:rPr>
            <w:fldChar w:fldCharType="end"/>
          </w:r>
          <w:r w:rsidRPr="00392137">
            <w:rPr>
              <w:rFonts w:cs="Calibri"/>
              <w:sz w:val="12"/>
              <w:szCs w:val="12"/>
            </w:rPr>
            <w:t>/</w:t>
          </w:r>
          <w:r w:rsidRPr="00392137">
            <w:rPr>
              <w:rFonts w:cs="Calibri"/>
              <w:sz w:val="12"/>
              <w:szCs w:val="12"/>
            </w:rPr>
            <w:fldChar w:fldCharType="begin"/>
          </w:r>
          <w:r w:rsidRPr="00392137">
            <w:rPr>
              <w:rFonts w:cs="Calibri"/>
              <w:sz w:val="12"/>
              <w:szCs w:val="12"/>
            </w:rPr>
            <w:instrText xml:space="preserve"> NUMPAGES </w:instrText>
          </w:r>
          <w:r w:rsidRPr="00392137">
            <w:rPr>
              <w:rFonts w:cs="Calibri"/>
              <w:sz w:val="12"/>
              <w:szCs w:val="12"/>
            </w:rPr>
            <w:fldChar w:fldCharType="separate"/>
          </w:r>
          <w:r w:rsidR="00EF24C1">
            <w:rPr>
              <w:rFonts w:cs="Calibri"/>
              <w:noProof/>
              <w:sz w:val="12"/>
              <w:szCs w:val="12"/>
            </w:rPr>
            <w:t>22</w:t>
          </w:r>
          <w:r w:rsidRPr="00392137">
            <w:rPr>
              <w:rFonts w:cs="Calibri"/>
              <w:sz w:val="12"/>
              <w:szCs w:val="12"/>
            </w:rPr>
            <w:fldChar w:fldCharType="end"/>
          </w:r>
        </w:p>
      </w:tc>
    </w:tr>
  </w:tbl>
  <w:p w:rsidR="004B364A" w:rsidRPr="00A56CC0" w:rsidRDefault="004B364A">
    <w:pPr>
      <w:pStyle w:val="Pieddepage"/>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364A" w:rsidRDefault="004B364A" w:rsidP="00E86BC0">
      <w:r>
        <w:separator/>
      </w:r>
    </w:p>
    <w:p w:rsidR="004B364A" w:rsidRDefault="004B364A" w:rsidP="00E86BC0"/>
  </w:footnote>
  <w:footnote w:type="continuationSeparator" w:id="0">
    <w:p w:rsidR="004B364A" w:rsidRDefault="004B364A" w:rsidP="00E86BC0">
      <w:r>
        <w:continuationSeparator/>
      </w:r>
    </w:p>
    <w:p w:rsidR="004B364A" w:rsidRDefault="004B364A" w:rsidP="00E86BC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64A" w:rsidRDefault="004B364A">
    <w:pPr>
      <w:pStyle w:val="En-tte"/>
    </w:pPr>
    <w:r>
      <w:rPr>
        <w:noProof/>
      </w:rPr>
      <w:drawing>
        <wp:anchor distT="0" distB="0" distL="114300" distR="114300" simplePos="0" relativeHeight="251659264" behindDoc="1" locked="0" layoutInCell="1" allowOverlap="0" wp14:anchorId="506BBCC1" wp14:editId="50351A92">
          <wp:simplePos x="0" y="0"/>
          <wp:positionH relativeFrom="column">
            <wp:posOffset>0</wp:posOffset>
          </wp:positionH>
          <wp:positionV relativeFrom="paragraph">
            <wp:posOffset>0</wp:posOffset>
          </wp:positionV>
          <wp:extent cx="1962000" cy="1080000"/>
          <wp:effectExtent l="0" t="0" r="635" b="6350"/>
          <wp:wrapNone/>
          <wp:docPr id="9" name="Image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000" cy="108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64A" w:rsidRDefault="004B364A" w:rsidP="00E86BC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381635"/>
    <w:multiLevelType w:val="hybridMultilevel"/>
    <w:tmpl w:val="FBA23828"/>
    <w:lvl w:ilvl="0" w:tplc="040C0017">
      <w:start w:val="1"/>
      <w:numFmt w:val="lowerLetter"/>
      <w:lvlText w:val="%1)"/>
      <w:lvlJc w:val="left"/>
      <w:pPr>
        <w:tabs>
          <w:tab w:val="num" w:pos="1068"/>
        </w:tabs>
        <w:ind w:left="1068" w:hanging="360"/>
      </w:pPr>
      <w:rPr>
        <w:rFonts w:hint="default"/>
      </w:rPr>
    </w:lvl>
    <w:lvl w:ilvl="1" w:tplc="040C0019" w:tentative="1">
      <w:start w:val="1"/>
      <w:numFmt w:val="lowerLetter"/>
      <w:lvlText w:val="%2."/>
      <w:lvlJc w:val="left"/>
      <w:pPr>
        <w:tabs>
          <w:tab w:val="num" w:pos="1788"/>
        </w:tabs>
        <w:ind w:left="1788" w:hanging="360"/>
      </w:pPr>
    </w:lvl>
    <w:lvl w:ilvl="2" w:tplc="040C001B" w:tentative="1">
      <w:start w:val="1"/>
      <w:numFmt w:val="lowerRoman"/>
      <w:lvlText w:val="%3."/>
      <w:lvlJc w:val="right"/>
      <w:pPr>
        <w:tabs>
          <w:tab w:val="num" w:pos="2508"/>
        </w:tabs>
        <w:ind w:left="2508" w:hanging="180"/>
      </w:pPr>
    </w:lvl>
    <w:lvl w:ilvl="3" w:tplc="040C000F" w:tentative="1">
      <w:start w:val="1"/>
      <w:numFmt w:val="decimal"/>
      <w:lvlText w:val="%4."/>
      <w:lvlJc w:val="left"/>
      <w:pPr>
        <w:tabs>
          <w:tab w:val="num" w:pos="3228"/>
        </w:tabs>
        <w:ind w:left="3228" w:hanging="360"/>
      </w:pPr>
    </w:lvl>
    <w:lvl w:ilvl="4" w:tplc="040C0019" w:tentative="1">
      <w:start w:val="1"/>
      <w:numFmt w:val="lowerLetter"/>
      <w:lvlText w:val="%5."/>
      <w:lvlJc w:val="left"/>
      <w:pPr>
        <w:tabs>
          <w:tab w:val="num" w:pos="3948"/>
        </w:tabs>
        <w:ind w:left="3948" w:hanging="360"/>
      </w:pPr>
    </w:lvl>
    <w:lvl w:ilvl="5" w:tplc="040C001B" w:tentative="1">
      <w:start w:val="1"/>
      <w:numFmt w:val="lowerRoman"/>
      <w:lvlText w:val="%6."/>
      <w:lvlJc w:val="right"/>
      <w:pPr>
        <w:tabs>
          <w:tab w:val="num" w:pos="4668"/>
        </w:tabs>
        <w:ind w:left="4668" w:hanging="180"/>
      </w:pPr>
    </w:lvl>
    <w:lvl w:ilvl="6" w:tplc="040C000F" w:tentative="1">
      <w:start w:val="1"/>
      <w:numFmt w:val="decimal"/>
      <w:lvlText w:val="%7."/>
      <w:lvlJc w:val="left"/>
      <w:pPr>
        <w:tabs>
          <w:tab w:val="num" w:pos="5388"/>
        </w:tabs>
        <w:ind w:left="5388" w:hanging="360"/>
      </w:pPr>
    </w:lvl>
    <w:lvl w:ilvl="7" w:tplc="040C0019" w:tentative="1">
      <w:start w:val="1"/>
      <w:numFmt w:val="lowerLetter"/>
      <w:lvlText w:val="%8."/>
      <w:lvlJc w:val="left"/>
      <w:pPr>
        <w:tabs>
          <w:tab w:val="num" w:pos="6108"/>
        </w:tabs>
        <w:ind w:left="6108" w:hanging="360"/>
      </w:pPr>
    </w:lvl>
    <w:lvl w:ilvl="8" w:tplc="040C001B" w:tentative="1">
      <w:start w:val="1"/>
      <w:numFmt w:val="lowerRoman"/>
      <w:lvlText w:val="%9."/>
      <w:lvlJc w:val="right"/>
      <w:pPr>
        <w:tabs>
          <w:tab w:val="num" w:pos="6828"/>
        </w:tabs>
        <w:ind w:left="6828" w:hanging="180"/>
      </w:pPr>
    </w:lvl>
  </w:abstractNum>
  <w:abstractNum w:abstractNumId="1" w15:restartNumberingAfterBreak="0">
    <w:nsid w:val="118727F6"/>
    <w:multiLevelType w:val="hybridMultilevel"/>
    <w:tmpl w:val="B4046C46"/>
    <w:lvl w:ilvl="0" w:tplc="29BC755C">
      <w:numFmt w:val="bullet"/>
      <w:lvlText w:val="-"/>
      <w:lvlJc w:val="left"/>
      <w:pPr>
        <w:ind w:left="720" w:hanging="360"/>
      </w:pPr>
      <w:rPr>
        <w:rFonts w:ascii="Calibri" w:eastAsia="Times New Roman" w:hAnsi="Calibri" w:cs="Times New Roman" w:hint="default"/>
      </w:rPr>
    </w:lvl>
    <w:lvl w:ilvl="1" w:tplc="29BC755C">
      <w:numFmt w:val="bullet"/>
      <w:lvlText w:val="-"/>
      <w:lvlJc w:val="left"/>
      <w:pPr>
        <w:ind w:left="1440" w:hanging="360"/>
      </w:pPr>
      <w:rPr>
        <w:rFonts w:ascii="Calibri" w:eastAsia="Times New Roman" w:hAnsi="Calibri"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25759EE"/>
    <w:multiLevelType w:val="hybridMultilevel"/>
    <w:tmpl w:val="AC54A6D0"/>
    <w:lvl w:ilvl="0" w:tplc="DBF03E44">
      <w:start w:val="2"/>
      <w:numFmt w:val="bullet"/>
      <w:lvlText w:val="-"/>
      <w:lvlJc w:val="left"/>
      <w:pPr>
        <w:tabs>
          <w:tab w:val="num" w:pos="780"/>
        </w:tabs>
        <w:ind w:left="780" w:hanging="42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42A3806"/>
    <w:multiLevelType w:val="multilevel"/>
    <w:tmpl w:val="193C9BDA"/>
    <w:lvl w:ilvl="0">
      <w:start w:val="14"/>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 w15:restartNumberingAfterBreak="0">
    <w:nsid w:val="14EA1149"/>
    <w:multiLevelType w:val="hybridMultilevel"/>
    <w:tmpl w:val="B9383CC8"/>
    <w:lvl w:ilvl="0" w:tplc="29BC755C">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3D06B6"/>
    <w:multiLevelType w:val="hybridMultilevel"/>
    <w:tmpl w:val="DFA4384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8FE0B06"/>
    <w:multiLevelType w:val="hybridMultilevel"/>
    <w:tmpl w:val="D2627BFA"/>
    <w:lvl w:ilvl="0" w:tplc="0144055C">
      <w:start w:val="16"/>
      <w:numFmt w:val="bullet"/>
      <w:lvlText w:val=""/>
      <w:lvlJc w:val="left"/>
      <w:pPr>
        <w:ind w:left="1069" w:hanging="360"/>
      </w:pPr>
      <w:rPr>
        <w:rFonts w:ascii="Wingdings" w:eastAsia="Times New Roman" w:hAnsi="Wingdings" w:cstheme="minorHAnsi"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7" w15:restartNumberingAfterBreak="0">
    <w:nsid w:val="1D156B81"/>
    <w:multiLevelType w:val="multilevel"/>
    <w:tmpl w:val="23D89734"/>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EC34C95"/>
    <w:multiLevelType w:val="hybridMultilevel"/>
    <w:tmpl w:val="67327802"/>
    <w:lvl w:ilvl="0" w:tplc="3EF24F8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1BF5545"/>
    <w:multiLevelType w:val="hybridMultilevel"/>
    <w:tmpl w:val="A7FCE7E8"/>
    <w:lvl w:ilvl="0" w:tplc="040C0005">
      <w:start w:val="1"/>
      <w:numFmt w:val="bullet"/>
      <w:lvlText w:val=""/>
      <w:lvlJc w:val="left"/>
      <w:pPr>
        <w:ind w:left="720" w:hanging="360"/>
      </w:pPr>
      <w:rPr>
        <w:rFonts w:ascii="Wingdings" w:hAnsi="Wingdings" w:hint="default"/>
      </w:rPr>
    </w:lvl>
    <w:lvl w:ilvl="1" w:tplc="3F58636E">
      <w:start w:val="1"/>
      <w:numFmt w:val="bullet"/>
      <w:lvlText w:val="-"/>
      <w:lvlJc w:val="left"/>
      <w:pPr>
        <w:ind w:left="1440" w:hanging="360"/>
      </w:pPr>
      <w:rPr>
        <w:rFonts w:ascii="Arial Narrow" w:eastAsia="Calibri" w:hAnsi="Arial Narrow" w:cs="Calibri" w:hint="default"/>
      </w:rPr>
    </w:lvl>
    <w:lvl w:ilvl="2" w:tplc="3F58636E">
      <w:start w:val="1"/>
      <w:numFmt w:val="bullet"/>
      <w:lvlText w:val="-"/>
      <w:lvlJc w:val="left"/>
      <w:pPr>
        <w:ind w:left="2160" w:hanging="360"/>
      </w:pPr>
      <w:rPr>
        <w:rFonts w:ascii="Arial Narrow" w:eastAsia="Calibri" w:hAnsi="Arial Narrow" w:cs="Calibri" w:hint="default"/>
      </w:rPr>
    </w:lvl>
    <w:lvl w:ilvl="3" w:tplc="3F58636E">
      <w:start w:val="1"/>
      <w:numFmt w:val="bullet"/>
      <w:lvlText w:val="-"/>
      <w:lvlJc w:val="left"/>
      <w:pPr>
        <w:ind w:left="2880" w:hanging="360"/>
      </w:pPr>
      <w:rPr>
        <w:rFonts w:ascii="Arial Narrow" w:eastAsia="Calibri" w:hAnsi="Arial Narrow" w:cs="Calibri"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33908B4"/>
    <w:multiLevelType w:val="hybridMultilevel"/>
    <w:tmpl w:val="26E238F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A0E1B00"/>
    <w:multiLevelType w:val="hybridMultilevel"/>
    <w:tmpl w:val="1EA044D6"/>
    <w:lvl w:ilvl="0" w:tplc="3C4A3184">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A536519"/>
    <w:multiLevelType w:val="hybridMultilevel"/>
    <w:tmpl w:val="8BFCC94C"/>
    <w:lvl w:ilvl="0" w:tplc="4D90DC5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B6B69FA"/>
    <w:multiLevelType w:val="hybridMultilevel"/>
    <w:tmpl w:val="79AC3C4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09C077A"/>
    <w:multiLevelType w:val="hybridMultilevel"/>
    <w:tmpl w:val="0044B2E6"/>
    <w:lvl w:ilvl="0" w:tplc="B39CD5C4">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15F33FB"/>
    <w:multiLevelType w:val="hybridMultilevel"/>
    <w:tmpl w:val="A60A684C"/>
    <w:lvl w:ilvl="0" w:tplc="22BCEA92">
      <w:numFmt w:val="bullet"/>
      <w:lvlText w:val=""/>
      <w:lvlJc w:val="left"/>
      <w:pPr>
        <w:ind w:left="720" w:hanging="360"/>
      </w:pPr>
      <w:rPr>
        <w:rFonts w:ascii="Wingdings" w:eastAsia="Times New Roman"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526349D"/>
    <w:multiLevelType w:val="multilevel"/>
    <w:tmpl w:val="2D8489DA"/>
    <w:lvl w:ilvl="0">
      <w:start w:val="4"/>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3A5768C2"/>
    <w:multiLevelType w:val="hybridMultilevel"/>
    <w:tmpl w:val="310AB65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B7C384E"/>
    <w:multiLevelType w:val="hybridMultilevel"/>
    <w:tmpl w:val="629ED478"/>
    <w:lvl w:ilvl="0" w:tplc="A44CA810">
      <w:start w:val="1"/>
      <w:numFmt w:val="decimal"/>
      <w:lvlText w:val="%1."/>
      <w:lvlJc w:val="left"/>
      <w:pPr>
        <w:ind w:left="720" w:hanging="360"/>
      </w:pPr>
      <w:rPr>
        <w:rFonts w:hint="default"/>
        <w:b/>
      </w:rPr>
    </w:lvl>
    <w:lvl w:ilvl="1" w:tplc="040C000B">
      <w:start w:val="1"/>
      <w:numFmt w:val="bullet"/>
      <w:lvlText w:val=""/>
      <w:lvlJc w:val="left"/>
      <w:pPr>
        <w:ind w:left="1440" w:hanging="360"/>
      </w:pPr>
      <w:rPr>
        <w:rFonts w:ascii="Wingdings" w:hAnsi="Wingdings" w:hint="default"/>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EAB6C63"/>
    <w:multiLevelType w:val="hybridMultilevel"/>
    <w:tmpl w:val="320A2B44"/>
    <w:lvl w:ilvl="0" w:tplc="4D90DC5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BF11F87"/>
    <w:multiLevelType w:val="hybridMultilevel"/>
    <w:tmpl w:val="4B986412"/>
    <w:lvl w:ilvl="0" w:tplc="29BC755C">
      <w:numFmt w:val="bullet"/>
      <w:lvlText w:val="-"/>
      <w:lvlJc w:val="left"/>
      <w:pPr>
        <w:ind w:left="1429" w:hanging="360"/>
      </w:pPr>
      <w:rPr>
        <w:rFonts w:ascii="Calibri" w:eastAsia="Times New Roman" w:hAnsi="Calibri" w:cs="Times New Roman"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1" w15:restartNumberingAfterBreak="0">
    <w:nsid w:val="4FA93FC5"/>
    <w:multiLevelType w:val="hybridMultilevel"/>
    <w:tmpl w:val="35BE198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2C52747"/>
    <w:multiLevelType w:val="multilevel"/>
    <w:tmpl w:val="BE4A9978"/>
    <w:lvl w:ilvl="0">
      <w:start w:val="3"/>
      <w:numFmt w:val="decimal"/>
      <w:lvlText w:val="%1"/>
      <w:lvlJc w:val="left"/>
      <w:pPr>
        <w:ind w:left="792" w:hanging="360"/>
      </w:pPr>
      <w:rPr>
        <w:rFonts w:hint="default"/>
      </w:rPr>
    </w:lvl>
    <w:lvl w:ilvl="1">
      <w:start w:val="1"/>
      <w:numFmt w:val="decimal"/>
      <w:isLgl/>
      <w:lvlText w:val="%1.%2"/>
      <w:lvlJc w:val="left"/>
      <w:pPr>
        <w:ind w:left="936"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584" w:hanging="720"/>
      </w:pPr>
      <w:rPr>
        <w:rFonts w:hint="default"/>
      </w:rPr>
    </w:lvl>
    <w:lvl w:ilvl="4">
      <w:start w:val="1"/>
      <w:numFmt w:val="decimal"/>
      <w:isLgl/>
      <w:lvlText w:val="%1.%2.%3.%4.%5"/>
      <w:lvlJc w:val="left"/>
      <w:pPr>
        <w:ind w:left="2088" w:hanging="1080"/>
      </w:pPr>
      <w:rPr>
        <w:rFonts w:hint="default"/>
      </w:rPr>
    </w:lvl>
    <w:lvl w:ilvl="5">
      <w:start w:val="1"/>
      <w:numFmt w:val="decimal"/>
      <w:isLgl/>
      <w:lvlText w:val="%1.%2.%3.%4.%5.%6"/>
      <w:lvlJc w:val="left"/>
      <w:pPr>
        <w:ind w:left="2232" w:hanging="1080"/>
      </w:pPr>
      <w:rPr>
        <w:rFonts w:hint="default"/>
      </w:rPr>
    </w:lvl>
    <w:lvl w:ilvl="6">
      <w:start w:val="1"/>
      <w:numFmt w:val="decimal"/>
      <w:isLgl/>
      <w:lvlText w:val="%1.%2.%3.%4.%5.%6.%7"/>
      <w:lvlJc w:val="left"/>
      <w:pPr>
        <w:ind w:left="2736"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384" w:hanging="1800"/>
      </w:pPr>
      <w:rPr>
        <w:rFonts w:hint="default"/>
      </w:rPr>
    </w:lvl>
  </w:abstractNum>
  <w:abstractNum w:abstractNumId="23" w15:restartNumberingAfterBreak="0">
    <w:nsid w:val="546608AF"/>
    <w:multiLevelType w:val="multilevel"/>
    <w:tmpl w:val="C31EF768"/>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62535092"/>
    <w:multiLevelType w:val="hybridMultilevel"/>
    <w:tmpl w:val="9072CDF2"/>
    <w:lvl w:ilvl="0" w:tplc="3506B7A6">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53F6E26"/>
    <w:multiLevelType w:val="hybridMultilevel"/>
    <w:tmpl w:val="24B81C10"/>
    <w:lvl w:ilvl="0" w:tplc="307433A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A0C2DD1"/>
    <w:multiLevelType w:val="multilevel"/>
    <w:tmpl w:val="D5409E46"/>
    <w:lvl w:ilvl="0">
      <w:start w:val="5"/>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6AA45D18"/>
    <w:multiLevelType w:val="hybridMultilevel"/>
    <w:tmpl w:val="7300404A"/>
    <w:lvl w:ilvl="0" w:tplc="B39CD5C4">
      <w:start w:val="1"/>
      <w:numFmt w:val="bullet"/>
      <w:lvlText w:val=""/>
      <w:lvlJc w:val="left"/>
      <w:pPr>
        <w:ind w:left="720" w:hanging="360"/>
      </w:pPr>
      <w:rPr>
        <w:rFonts w:ascii="Wingdings" w:hAnsi="Wingdings" w:hint="default"/>
      </w:rPr>
    </w:lvl>
    <w:lvl w:ilvl="1" w:tplc="3F58636E">
      <w:start w:val="1"/>
      <w:numFmt w:val="bullet"/>
      <w:lvlText w:val="-"/>
      <w:lvlJc w:val="left"/>
      <w:pPr>
        <w:ind w:left="1440" w:hanging="360"/>
      </w:pPr>
      <w:rPr>
        <w:rFonts w:ascii="Arial Narrow" w:eastAsia="Calibri" w:hAnsi="Arial Narrow" w:cs="Calibri" w:hint="default"/>
      </w:rPr>
    </w:lvl>
    <w:lvl w:ilvl="2" w:tplc="3F58636E">
      <w:start w:val="1"/>
      <w:numFmt w:val="bullet"/>
      <w:lvlText w:val="-"/>
      <w:lvlJc w:val="left"/>
      <w:pPr>
        <w:ind w:left="2160" w:hanging="360"/>
      </w:pPr>
      <w:rPr>
        <w:rFonts w:ascii="Arial Narrow" w:eastAsia="Calibri" w:hAnsi="Arial Narrow" w:cs="Calibri" w:hint="default"/>
      </w:rPr>
    </w:lvl>
    <w:lvl w:ilvl="3" w:tplc="3F58636E">
      <w:start w:val="1"/>
      <w:numFmt w:val="bullet"/>
      <w:lvlText w:val="-"/>
      <w:lvlJc w:val="left"/>
      <w:pPr>
        <w:ind w:left="2880" w:hanging="360"/>
      </w:pPr>
      <w:rPr>
        <w:rFonts w:ascii="Arial Narrow" w:eastAsia="Calibri" w:hAnsi="Arial Narrow" w:cs="Calibri"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03D16D2"/>
    <w:multiLevelType w:val="multilevel"/>
    <w:tmpl w:val="483EFD36"/>
    <w:lvl w:ilvl="0">
      <w:start w:val="1"/>
      <w:numFmt w:val="decimal"/>
      <w:lvlText w:val="Article %1"/>
      <w:lvlJc w:val="left"/>
      <w:pPr>
        <w:tabs>
          <w:tab w:val="num" w:pos="1440"/>
        </w:tabs>
        <w:ind w:left="432" w:hanging="432"/>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576"/>
        </w:tabs>
        <w:ind w:left="576" w:hanging="576"/>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744A0EEA"/>
    <w:multiLevelType w:val="hybridMultilevel"/>
    <w:tmpl w:val="C6F8C27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86A5CC1"/>
    <w:multiLevelType w:val="hybridMultilevel"/>
    <w:tmpl w:val="B410732C"/>
    <w:lvl w:ilvl="0" w:tplc="01EC17A0">
      <w:start w:val="1"/>
      <w:numFmt w:val="decimal"/>
      <w:pStyle w:val="1311"/>
      <w:lvlText w:val="8.3.%1."/>
      <w:lvlJc w:val="left"/>
      <w:pPr>
        <w:ind w:left="72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9B57319"/>
    <w:multiLevelType w:val="hybridMultilevel"/>
    <w:tmpl w:val="86829C22"/>
    <w:lvl w:ilvl="0" w:tplc="3F646BBA">
      <w:numFmt w:val="bullet"/>
      <w:lvlText w:val="-"/>
      <w:lvlJc w:val="left"/>
      <w:pPr>
        <w:ind w:left="2138" w:hanging="360"/>
      </w:pPr>
      <w:rPr>
        <w:rFonts w:ascii="Calibri" w:eastAsiaTheme="minorHAnsi" w:hAnsi="Calibri" w:cs="Calibri"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32" w15:restartNumberingAfterBreak="0">
    <w:nsid w:val="7EC529B8"/>
    <w:multiLevelType w:val="multilevel"/>
    <w:tmpl w:val="427CDDB2"/>
    <w:lvl w:ilvl="0">
      <w:start w:val="7"/>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28"/>
  </w:num>
  <w:num w:numId="2">
    <w:abstractNumId w:val="1"/>
  </w:num>
  <w:num w:numId="3">
    <w:abstractNumId w:val="30"/>
  </w:num>
  <w:num w:numId="4">
    <w:abstractNumId w:val="24"/>
  </w:num>
  <w:num w:numId="5">
    <w:abstractNumId w:val="5"/>
  </w:num>
  <w:num w:numId="6">
    <w:abstractNumId w:val="2"/>
  </w:num>
  <w:num w:numId="7">
    <w:abstractNumId w:val="9"/>
  </w:num>
  <w:num w:numId="8">
    <w:abstractNumId w:val="0"/>
  </w:num>
  <w:num w:numId="9">
    <w:abstractNumId w:val="13"/>
  </w:num>
  <w:num w:numId="10">
    <w:abstractNumId w:val="10"/>
  </w:num>
  <w:num w:numId="11">
    <w:abstractNumId w:val="15"/>
  </w:num>
  <w:num w:numId="12">
    <w:abstractNumId w:val="29"/>
  </w:num>
  <w:num w:numId="13">
    <w:abstractNumId w:val="8"/>
  </w:num>
  <w:num w:numId="14">
    <w:abstractNumId w:val="14"/>
  </w:num>
  <w:num w:numId="15">
    <w:abstractNumId w:val="27"/>
  </w:num>
  <w:num w:numId="16">
    <w:abstractNumId w:val="6"/>
  </w:num>
  <w:num w:numId="17">
    <w:abstractNumId w:val="18"/>
  </w:num>
  <w:num w:numId="18">
    <w:abstractNumId w:val="19"/>
  </w:num>
  <w:num w:numId="19">
    <w:abstractNumId w:val="31"/>
  </w:num>
  <w:num w:numId="20">
    <w:abstractNumId w:val="4"/>
  </w:num>
  <w:num w:numId="21">
    <w:abstractNumId w:val="20"/>
  </w:num>
  <w:num w:numId="22">
    <w:abstractNumId w:val="11"/>
  </w:num>
  <w:num w:numId="23">
    <w:abstractNumId w:val="22"/>
  </w:num>
  <w:num w:numId="24">
    <w:abstractNumId w:val="3"/>
  </w:num>
  <w:num w:numId="25">
    <w:abstractNumId w:val="7"/>
  </w:num>
  <w:num w:numId="26">
    <w:abstractNumId w:val="26"/>
  </w:num>
  <w:num w:numId="27">
    <w:abstractNumId w:val="23"/>
  </w:num>
  <w:num w:numId="28">
    <w:abstractNumId w:val="32"/>
  </w:num>
  <w:num w:numId="29">
    <w:abstractNumId w:val="21"/>
  </w:num>
  <w:num w:numId="30">
    <w:abstractNumId w:val="17"/>
  </w:num>
  <w:num w:numId="31">
    <w:abstractNumId w:val="16"/>
  </w:num>
  <w:num w:numId="32">
    <w:abstractNumId w:val="12"/>
  </w:num>
  <w:num w:numId="33">
    <w:abstractNumId w:val="2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1064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6CC0"/>
    <w:rsid w:val="00002B13"/>
    <w:rsid w:val="00002B6E"/>
    <w:rsid w:val="00007115"/>
    <w:rsid w:val="00007A30"/>
    <w:rsid w:val="00007A5D"/>
    <w:rsid w:val="00014886"/>
    <w:rsid w:val="00015AE3"/>
    <w:rsid w:val="00023679"/>
    <w:rsid w:val="00030F9B"/>
    <w:rsid w:val="00035145"/>
    <w:rsid w:val="000455A0"/>
    <w:rsid w:val="0005099C"/>
    <w:rsid w:val="0005285E"/>
    <w:rsid w:val="000537CB"/>
    <w:rsid w:val="00054D7B"/>
    <w:rsid w:val="000553DD"/>
    <w:rsid w:val="00056F3E"/>
    <w:rsid w:val="00062091"/>
    <w:rsid w:val="00064B20"/>
    <w:rsid w:val="000656F4"/>
    <w:rsid w:val="00066559"/>
    <w:rsid w:val="00067FAC"/>
    <w:rsid w:val="00071D8E"/>
    <w:rsid w:val="00072440"/>
    <w:rsid w:val="00076A27"/>
    <w:rsid w:val="00077CD3"/>
    <w:rsid w:val="00081D8D"/>
    <w:rsid w:val="0008593A"/>
    <w:rsid w:val="00086B68"/>
    <w:rsid w:val="00090FD6"/>
    <w:rsid w:val="000929A2"/>
    <w:rsid w:val="00094A59"/>
    <w:rsid w:val="000A35C6"/>
    <w:rsid w:val="000A5C07"/>
    <w:rsid w:val="000B782C"/>
    <w:rsid w:val="000C0EB7"/>
    <w:rsid w:val="000C1968"/>
    <w:rsid w:val="000C31F0"/>
    <w:rsid w:val="000C7A8A"/>
    <w:rsid w:val="000D136D"/>
    <w:rsid w:val="000D13A8"/>
    <w:rsid w:val="000D670E"/>
    <w:rsid w:val="000D6F4D"/>
    <w:rsid w:val="000E0525"/>
    <w:rsid w:val="000E10BB"/>
    <w:rsid w:val="000F0CBB"/>
    <w:rsid w:val="000F32FB"/>
    <w:rsid w:val="000F3FA2"/>
    <w:rsid w:val="000F67E7"/>
    <w:rsid w:val="0010155B"/>
    <w:rsid w:val="00101FB1"/>
    <w:rsid w:val="00102424"/>
    <w:rsid w:val="001037FD"/>
    <w:rsid w:val="00103881"/>
    <w:rsid w:val="00105E11"/>
    <w:rsid w:val="00106F16"/>
    <w:rsid w:val="00116F98"/>
    <w:rsid w:val="0012059D"/>
    <w:rsid w:val="0012066C"/>
    <w:rsid w:val="001209D0"/>
    <w:rsid w:val="0012290C"/>
    <w:rsid w:val="00124695"/>
    <w:rsid w:val="0012504D"/>
    <w:rsid w:val="00125353"/>
    <w:rsid w:val="00125455"/>
    <w:rsid w:val="00126A29"/>
    <w:rsid w:val="00127F55"/>
    <w:rsid w:val="00132249"/>
    <w:rsid w:val="00135527"/>
    <w:rsid w:val="00142C36"/>
    <w:rsid w:val="001467E2"/>
    <w:rsid w:val="001468E6"/>
    <w:rsid w:val="001548B1"/>
    <w:rsid w:val="001565DD"/>
    <w:rsid w:val="00157AA2"/>
    <w:rsid w:val="00163D47"/>
    <w:rsid w:val="00164378"/>
    <w:rsid w:val="001661A1"/>
    <w:rsid w:val="001764D7"/>
    <w:rsid w:val="001853DC"/>
    <w:rsid w:val="00185409"/>
    <w:rsid w:val="00186491"/>
    <w:rsid w:val="00187E93"/>
    <w:rsid w:val="00191C06"/>
    <w:rsid w:val="00197778"/>
    <w:rsid w:val="00197F93"/>
    <w:rsid w:val="001A3068"/>
    <w:rsid w:val="001A66B2"/>
    <w:rsid w:val="001A7D27"/>
    <w:rsid w:val="001B1540"/>
    <w:rsid w:val="001B5F6A"/>
    <w:rsid w:val="001B66C4"/>
    <w:rsid w:val="001B7517"/>
    <w:rsid w:val="001C0D8F"/>
    <w:rsid w:val="001C2677"/>
    <w:rsid w:val="001D54B9"/>
    <w:rsid w:val="001E2826"/>
    <w:rsid w:val="001E79EE"/>
    <w:rsid w:val="001E7A03"/>
    <w:rsid w:val="001F0E34"/>
    <w:rsid w:val="001F6728"/>
    <w:rsid w:val="0021033A"/>
    <w:rsid w:val="00210E62"/>
    <w:rsid w:val="00211C51"/>
    <w:rsid w:val="00213C82"/>
    <w:rsid w:val="00222D61"/>
    <w:rsid w:val="002272AF"/>
    <w:rsid w:val="00232597"/>
    <w:rsid w:val="002335EF"/>
    <w:rsid w:val="00234FBD"/>
    <w:rsid w:val="00235826"/>
    <w:rsid w:val="00237CB7"/>
    <w:rsid w:val="002439BF"/>
    <w:rsid w:val="0025079D"/>
    <w:rsid w:val="00253031"/>
    <w:rsid w:val="00253E88"/>
    <w:rsid w:val="002570BF"/>
    <w:rsid w:val="00262F64"/>
    <w:rsid w:val="002655A1"/>
    <w:rsid w:val="002663B5"/>
    <w:rsid w:val="00267572"/>
    <w:rsid w:val="0027010D"/>
    <w:rsid w:val="002723BD"/>
    <w:rsid w:val="00273B0F"/>
    <w:rsid w:val="00274281"/>
    <w:rsid w:val="00274786"/>
    <w:rsid w:val="002778D9"/>
    <w:rsid w:val="002826B8"/>
    <w:rsid w:val="00286255"/>
    <w:rsid w:val="00287C4E"/>
    <w:rsid w:val="00292B5B"/>
    <w:rsid w:val="00294686"/>
    <w:rsid w:val="002A0BDF"/>
    <w:rsid w:val="002A1A4A"/>
    <w:rsid w:val="002A24BB"/>
    <w:rsid w:val="002A675F"/>
    <w:rsid w:val="002B35B6"/>
    <w:rsid w:val="002B5EC2"/>
    <w:rsid w:val="002C1200"/>
    <w:rsid w:val="002C69E4"/>
    <w:rsid w:val="002C6A9E"/>
    <w:rsid w:val="002C7192"/>
    <w:rsid w:val="002D1A6D"/>
    <w:rsid w:val="002D31D9"/>
    <w:rsid w:val="002D4271"/>
    <w:rsid w:val="002E20F1"/>
    <w:rsid w:val="002E3A33"/>
    <w:rsid w:val="002E6344"/>
    <w:rsid w:val="002F18C7"/>
    <w:rsid w:val="002F2DBD"/>
    <w:rsid w:val="002F616A"/>
    <w:rsid w:val="00300CBB"/>
    <w:rsid w:val="0030559B"/>
    <w:rsid w:val="00306352"/>
    <w:rsid w:val="003102DF"/>
    <w:rsid w:val="0031266D"/>
    <w:rsid w:val="00312C72"/>
    <w:rsid w:val="00313373"/>
    <w:rsid w:val="00315789"/>
    <w:rsid w:val="00315FF9"/>
    <w:rsid w:val="0031664C"/>
    <w:rsid w:val="00326994"/>
    <w:rsid w:val="00326CFB"/>
    <w:rsid w:val="00336B11"/>
    <w:rsid w:val="00341FDA"/>
    <w:rsid w:val="003460CC"/>
    <w:rsid w:val="0035405F"/>
    <w:rsid w:val="00354174"/>
    <w:rsid w:val="00355FC1"/>
    <w:rsid w:val="00357A6C"/>
    <w:rsid w:val="00361C5B"/>
    <w:rsid w:val="00362B23"/>
    <w:rsid w:val="0036354D"/>
    <w:rsid w:val="0036400F"/>
    <w:rsid w:val="003643FD"/>
    <w:rsid w:val="00365041"/>
    <w:rsid w:val="003659A7"/>
    <w:rsid w:val="00365C94"/>
    <w:rsid w:val="0037178C"/>
    <w:rsid w:val="00373134"/>
    <w:rsid w:val="003751B1"/>
    <w:rsid w:val="00375F4F"/>
    <w:rsid w:val="003763B3"/>
    <w:rsid w:val="00380AF9"/>
    <w:rsid w:val="0038781F"/>
    <w:rsid w:val="00396390"/>
    <w:rsid w:val="00397337"/>
    <w:rsid w:val="003A0E96"/>
    <w:rsid w:val="003A1136"/>
    <w:rsid w:val="003A36F7"/>
    <w:rsid w:val="003A3FF6"/>
    <w:rsid w:val="003A526D"/>
    <w:rsid w:val="003A5B24"/>
    <w:rsid w:val="003A5F24"/>
    <w:rsid w:val="003B32DE"/>
    <w:rsid w:val="003B40B5"/>
    <w:rsid w:val="003B633D"/>
    <w:rsid w:val="003C04B0"/>
    <w:rsid w:val="003C28D9"/>
    <w:rsid w:val="003C38F8"/>
    <w:rsid w:val="003C40AF"/>
    <w:rsid w:val="003C688E"/>
    <w:rsid w:val="003D33C7"/>
    <w:rsid w:val="003D3B73"/>
    <w:rsid w:val="003D49BD"/>
    <w:rsid w:val="003D7273"/>
    <w:rsid w:val="003E0B15"/>
    <w:rsid w:val="003E49E9"/>
    <w:rsid w:val="003E4F75"/>
    <w:rsid w:val="003E7086"/>
    <w:rsid w:val="003F1450"/>
    <w:rsid w:val="003F2614"/>
    <w:rsid w:val="00411604"/>
    <w:rsid w:val="004133F0"/>
    <w:rsid w:val="00415C20"/>
    <w:rsid w:val="00420319"/>
    <w:rsid w:val="0042318B"/>
    <w:rsid w:val="0042403E"/>
    <w:rsid w:val="0042667A"/>
    <w:rsid w:val="00426799"/>
    <w:rsid w:val="004304B2"/>
    <w:rsid w:val="004326D7"/>
    <w:rsid w:val="00433FB9"/>
    <w:rsid w:val="00435358"/>
    <w:rsid w:val="00442345"/>
    <w:rsid w:val="00446D94"/>
    <w:rsid w:val="0044734E"/>
    <w:rsid w:val="00450502"/>
    <w:rsid w:val="00453BDE"/>
    <w:rsid w:val="00454010"/>
    <w:rsid w:val="00455C63"/>
    <w:rsid w:val="00456D15"/>
    <w:rsid w:val="00461B34"/>
    <w:rsid w:val="00466332"/>
    <w:rsid w:val="00471715"/>
    <w:rsid w:val="00471E5A"/>
    <w:rsid w:val="0047469C"/>
    <w:rsid w:val="004802C0"/>
    <w:rsid w:val="00483461"/>
    <w:rsid w:val="00484EB9"/>
    <w:rsid w:val="00487170"/>
    <w:rsid w:val="00493BC3"/>
    <w:rsid w:val="00496077"/>
    <w:rsid w:val="004A2AE0"/>
    <w:rsid w:val="004B2FD6"/>
    <w:rsid w:val="004B3188"/>
    <w:rsid w:val="004B364A"/>
    <w:rsid w:val="004B3C8A"/>
    <w:rsid w:val="004B513A"/>
    <w:rsid w:val="004B6084"/>
    <w:rsid w:val="004B638F"/>
    <w:rsid w:val="004B71B5"/>
    <w:rsid w:val="004C53AD"/>
    <w:rsid w:val="004D2F56"/>
    <w:rsid w:val="004D42E6"/>
    <w:rsid w:val="004D5E03"/>
    <w:rsid w:val="004D7CD5"/>
    <w:rsid w:val="004E3EBC"/>
    <w:rsid w:val="004E60D1"/>
    <w:rsid w:val="004E6B6B"/>
    <w:rsid w:val="004E7414"/>
    <w:rsid w:val="004E7B28"/>
    <w:rsid w:val="004F7449"/>
    <w:rsid w:val="00500ECF"/>
    <w:rsid w:val="00501F58"/>
    <w:rsid w:val="005034CF"/>
    <w:rsid w:val="005040A4"/>
    <w:rsid w:val="00507D6D"/>
    <w:rsid w:val="00520A36"/>
    <w:rsid w:val="0052341F"/>
    <w:rsid w:val="00524DF7"/>
    <w:rsid w:val="00526DB9"/>
    <w:rsid w:val="005307C9"/>
    <w:rsid w:val="00530BBC"/>
    <w:rsid w:val="00531651"/>
    <w:rsid w:val="00532C46"/>
    <w:rsid w:val="0053408F"/>
    <w:rsid w:val="00540A1C"/>
    <w:rsid w:val="00546139"/>
    <w:rsid w:val="0055038D"/>
    <w:rsid w:val="005504F5"/>
    <w:rsid w:val="00553176"/>
    <w:rsid w:val="005623CA"/>
    <w:rsid w:val="00566A4D"/>
    <w:rsid w:val="00567167"/>
    <w:rsid w:val="00570AF6"/>
    <w:rsid w:val="00571E2F"/>
    <w:rsid w:val="00571E44"/>
    <w:rsid w:val="00572998"/>
    <w:rsid w:val="00575F2E"/>
    <w:rsid w:val="005761BA"/>
    <w:rsid w:val="0057683A"/>
    <w:rsid w:val="005770A9"/>
    <w:rsid w:val="005774C1"/>
    <w:rsid w:val="00581BE6"/>
    <w:rsid w:val="00584858"/>
    <w:rsid w:val="00585AC3"/>
    <w:rsid w:val="0058684F"/>
    <w:rsid w:val="00591D7A"/>
    <w:rsid w:val="005973A2"/>
    <w:rsid w:val="005A1C0A"/>
    <w:rsid w:val="005B02CC"/>
    <w:rsid w:val="005B0C46"/>
    <w:rsid w:val="005B11A1"/>
    <w:rsid w:val="005B432D"/>
    <w:rsid w:val="005B64FB"/>
    <w:rsid w:val="005B7790"/>
    <w:rsid w:val="005C64F9"/>
    <w:rsid w:val="005C7C0D"/>
    <w:rsid w:val="005D0FAB"/>
    <w:rsid w:val="005D4356"/>
    <w:rsid w:val="005D6857"/>
    <w:rsid w:val="005D6ABA"/>
    <w:rsid w:val="005E26A2"/>
    <w:rsid w:val="005E5F6D"/>
    <w:rsid w:val="005E650A"/>
    <w:rsid w:val="005E70B6"/>
    <w:rsid w:val="005F0CC3"/>
    <w:rsid w:val="005F2B1C"/>
    <w:rsid w:val="005F780D"/>
    <w:rsid w:val="0060068F"/>
    <w:rsid w:val="00604BCF"/>
    <w:rsid w:val="00610833"/>
    <w:rsid w:val="00612328"/>
    <w:rsid w:val="00613F56"/>
    <w:rsid w:val="00625834"/>
    <w:rsid w:val="00627528"/>
    <w:rsid w:val="00630505"/>
    <w:rsid w:val="006316F4"/>
    <w:rsid w:val="00641883"/>
    <w:rsid w:val="006443EC"/>
    <w:rsid w:val="0065317F"/>
    <w:rsid w:val="00663520"/>
    <w:rsid w:val="00673355"/>
    <w:rsid w:val="00673E7B"/>
    <w:rsid w:val="006757AA"/>
    <w:rsid w:val="00676D91"/>
    <w:rsid w:val="0068268A"/>
    <w:rsid w:val="006833A2"/>
    <w:rsid w:val="00686ADC"/>
    <w:rsid w:val="00686FD2"/>
    <w:rsid w:val="0069692A"/>
    <w:rsid w:val="006A2564"/>
    <w:rsid w:val="006A6755"/>
    <w:rsid w:val="006A7A47"/>
    <w:rsid w:val="006A7BA7"/>
    <w:rsid w:val="006B1AD1"/>
    <w:rsid w:val="006C0AD8"/>
    <w:rsid w:val="006C6A13"/>
    <w:rsid w:val="006C78B5"/>
    <w:rsid w:val="006D2CB2"/>
    <w:rsid w:val="006D2D6E"/>
    <w:rsid w:val="006D4C64"/>
    <w:rsid w:val="006D6010"/>
    <w:rsid w:val="006D790C"/>
    <w:rsid w:val="006D7A2D"/>
    <w:rsid w:val="006E1E1B"/>
    <w:rsid w:val="006E219F"/>
    <w:rsid w:val="006F0222"/>
    <w:rsid w:val="006F07BD"/>
    <w:rsid w:val="006F1931"/>
    <w:rsid w:val="006F3612"/>
    <w:rsid w:val="006F3B03"/>
    <w:rsid w:val="006F4C08"/>
    <w:rsid w:val="006F738A"/>
    <w:rsid w:val="0070484F"/>
    <w:rsid w:val="0071048B"/>
    <w:rsid w:val="007125FB"/>
    <w:rsid w:val="00712BCB"/>
    <w:rsid w:val="007138E0"/>
    <w:rsid w:val="007147EF"/>
    <w:rsid w:val="00714C66"/>
    <w:rsid w:val="007203D0"/>
    <w:rsid w:val="0072189E"/>
    <w:rsid w:val="00722325"/>
    <w:rsid w:val="00722766"/>
    <w:rsid w:val="0072280E"/>
    <w:rsid w:val="00722A0E"/>
    <w:rsid w:val="007266F8"/>
    <w:rsid w:val="007278CE"/>
    <w:rsid w:val="00733F30"/>
    <w:rsid w:val="00735E4A"/>
    <w:rsid w:val="00736EDD"/>
    <w:rsid w:val="00745D05"/>
    <w:rsid w:val="00745F1F"/>
    <w:rsid w:val="00754610"/>
    <w:rsid w:val="00755A2F"/>
    <w:rsid w:val="00757BDC"/>
    <w:rsid w:val="0076391A"/>
    <w:rsid w:val="00765106"/>
    <w:rsid w:val="00766292"/>
    <w:rsid w:val="00771B96"/>
    <w:rsid w:val="00771C95"/>
    <w:rsid w:val="00773CF3"/>
    <w:rsid w:val="00773E30"/>
    <w:rsid w:val="0077537C"/>
    <w:rsid w:val="00780147"/>
    <w:rsid w:val="00783921"/>
    <w:rsid w:val="00793152"/>
    <w:rsid w:val="007931E8"/>
    <w:rsid w:val="00796CBB"/>
    <w:rsid w:val="007A29E3"/>
    <w:rsid w:val="007A564D"/>
    <w:rsid w:val="007A5A9F"/>
    <w:rsid w:val="007B2690"/>
    <w:rsid w:val="007B26FA"/>
    <w:rsid w:val="007B628E"/>
    <w:rsid w:val="007C04BD"/>
    <w:rsid w:val="007C15EC"/>
    <w:rsid w:val="007C1916"/>
    <w:rsid w:val="007C3B4F"/>
    <w:rsid w:val="007C56AA"/>
    <w:rsid w:val="007C68D9"/>
    <w:rsid w:val="007D0B35"/>
    <w:rsid w:val="007D1FB5"/>
    <w:rsid w:val="007D221C"/>
    <w:rsid w:val="007E0A90"/>
    <w:rsid w:val="007E2756"/>
    <w:rsid w:val="007E76BF"/>
    <w:rsid w:val="007F05E1"/>
    <w:rsid w:val="007F288F"/>
    <w:rsid w:val="007F5432"/>
    <w:rsid w:val="007F565E"/>
    <w:rsid w:val="00801FE4"/>
    <w:rsid w:val="0081458D"/>
    <w:rsid w:val="008153FF"/>
    <w:rsid w:val="008155F5"/>
    <w:rsid w:val="00821C0E"/>
    <w:rsid w:val="00822C96"/>
    <w:rsid w:val="00822FD7"/>
    <w:rsid w:val="00823AA2"/>
    <w:rsid w:val="00830832"/>
    <w:rsid w:val="008329EE"/>
    <w:rsid w:val="00837F67"/>
    <w:rsid w:val="00840144"/>
    <w:rsid w:val="008454C9"/>
    <w:rsid w:val="0084621B"/>
    <w:rsid w:val="008623B7"/>
    <w:rsid w:val="00862C01"/>
    <w:rsid w:val="0086533B"/>
    <w:rsid w:val="008703CC"/>
    <w:rsid w:val="00871974"/>
    <w:rsid w:val="00874EE6"/>
    <w:rsid w:val="00876ED8"/>
    <w:rsid w:val="00877B5A"/>
    <w:rsid w:val="008816F7"/>
    <w:rsid w:val="00886902"/>
    <w:rsid w:val="00886C50"/>
    <w:rsid w:val="00886D8F"/>
    <w:rsid w:val="008A3136"/>
    <w:rsid w:val="008A5AA6"/>
    <w:rsid w:val="008B2174"/>
    <w:rsid w:val="008B2369"/>
    <w:rsid w:val="008B4CEE"/>
    <w:rsid w:val="008B5519"/>
    <w:rsid w:val="008B64D5"/>
    <w:rsid w:val="008B7CE9"/>
    <w:rsid w:val="008C011E"/>
    <w:rsid w:val="008C1CF9"/>
    <w:rsid w:val="008C26C6"/>
    <w:rsid w:val="008C45F8"/>
    <w:rsid w:val="008C7B2A"/>
    <w:rsid w:val="008D0641"/>
    <w:rsid w:val="008D1EA2"/>
    <w:rsid w:val="008D3847"/>
    <w:rsid w:val="008E4075"/>
    <w:rsid w:val="008E477A"/>
    <w:rsid w:val="008E5643"/>
    <w:rsid w:val="008E5E3F"/>
    <w:rsid w:val="008F18B7"/>
    <w:rsid w:val="008F57C8"/>
    <w:rsid w:val="00903FC1"/>
    <w:rsid w:val="00912021"/>
    <w:rsid w:val="009174FA"/>
    <w:rsid w:val="00933850"/>
    <w:rsid w:val="00936E5E"/>
    <w:rsid w:val="00937569"/>
    <w:rsid w:val="00937FA4"/>
    <w:rsid w:val="009419CF"/>
    <w:rsid w:val="009538A4"/>
    <w:rsid w:val="00963885"/>
    <w:rsid w:val="009640B7"/>
    <w:rsid w:val="009718E1"/>
    <w:rsid w:val="009747FA"/>
    <w:rsid w:val="00974868"/>
    <w:rsid w:val="009750F5"/>
    <w:rsid w:val="0098220A"/>
    <w:rsid w:val="009850DB"/>
    <w:rsid w:val="0098686F"/>
    <w:rsid w:val="0099306A"/>
    <w:rsid w:val="0099315B"/>
    <w:rsid w:val="00996E91"/>
    <w:rsid w:val="009A5E7A"/>
    <w:rsid w:val="009A73FE"/>
    <w:rsid w:val="009A7AAF"/>
    <w:rsid w:val="009B339C"/>
    <w:rsid w:val="009C2BE6"/>
    <w:rsid w:val="009C41C3"/>
    <w:rsid w:val="009C495B"/>
    <w:rsid w:val="009D1E42"/>
    <w:rsid w:val="009E3DA1"/>
    <w:rsid w:val="009F6AD6"/>
    <w:rsid w:val="00A00A5E"/>
    <w:rsid w:val="00A02AF6"/>
    <w:rsid w:val="00A032C7"/>
    <w:rsid w:val="00A03C0A"/>
    <w:rsid w:val="00A045A8"/>
    <w:rsid w:val="00A10B9E"/>
    <w:rsid w:val="00A17981"/>
    <w:rsid w:val="00A21C8E"/>
    <w:rsid w:val="00A23D6D"/>
    <w:rsid w:val="00A31987"/>
    <w:rsid w:val="00A3240B"/>
    <w:rsid w:val="00A327A2"/>
    <w:rsid w:val="00A33117"/>
    <w:rsid w:val="00A34308"/>
    <w:rsid w:val="00A3576E"/>
    <w:rsid w:val="00A35852"/>
    <w:rsid w:val="00A3735C"/>
    <w:rsid w:val="00A42F8E"/>
    <w:rsid w:val="00A45FDC"/>
    <w:rsid w:val="00A509B0"/>
    <w:rsid w:val="00A52FED"/>
    <w:rsid w:val="00A53CB3"/>
    <w:rsid w:val="00A544F7"/>
    <w:rsid w:val="00A56CC0"/>
    <w:rsid w:val="00A62046"/>
    <w:rsid w:val="00A621EC"/>
    <w:rsid w:val="00A62366"/>
    <w:rsid w:val="00A62E46"/>
    <w:rsid w:val="00A67F6F"/>
    <w:rsid w:val="00A70496"/>
    <w:rsid w:val="00A75E68"/>
    <w:rsid w:val="00A75F26"/>
    <w:rsid w:val="00A769B8"/>
    <w:rsid w:val="00A80C57"/>
    <w:rsid w:val="00A85E98"/>
    <w:rsid w:val="00A908F6"/>
    <w:rsid w:val="00A92C82"/>
    <w:rsid w:val="00A93CE4"/>
    <w:rsid w:val="00A940EB"/>
    <w:rsid w:val="00AB06BD"/>
    <w:rsid w:val="00AB1ECB"/>
    <w:rsid w:val="00AB1FDF"/>
    <w:rsid w:val="00AB32F0"/>
    <w:rsid w:val="00AB3D31"/>
    <w:rsid w:val="00AB5E48"/>
    <w:rsid w:val="00AB67A5"/>
    <w:rsid w:val="00AB6F3E"/>
    <w:rsid w:val="00AB7208"/>
    <w:rsid w:val="00AB746C"/>
    <w:rsid w:val="00AC13AD"/>
    <w:rsid w:val="00AD2502"/>
    <w:rsid w:val="00AD3FFE"/>
    <w:rsid w:val="00AD673A"/>
    <w:rsid w:val="00AE0B40"/>
    <w:rsid w:val="00AE2DC4"/>
    <w:rsid w:val="00AE6D4A"/>
    <w:rsid w:val="00AF16ED"/>
    <w:rsid w:val="00AF29C7"/>
    <w:rsid w:val="00AF3048"/>
    <w:rsid w:val="00AF51FD"/>
    <w:rsid w:val="00B0056C"/>
    <w:rsid w:val="00B068FB"/>
    <w:rsid w:val="00B07C8F"/>
    <w:rsid w:val="00B10148"/>
    <w:rsid w:val="00B12679"/>
    <w:rsid w:val="00B139FC"/>
    <w:rsid w:val="00B1414B"/>
    <w:rsid w:val="00B216D0"/>
    <w:rsid w:val="00B2333F"/>
    <w:rsid w:val="00B23975"/>
    <w:rsid w:val="00B40B67"/>
    <w:rsid w:val="00B43E5F"/>
    <w:rsid w:val="00B4536C"/>
    <w:rsid w:val="00B460DD"/>
    <w:rsid w:val="00B507A0"/>
    <w:rsid w:val="00B55B62"/>
    <w:rsid w:val="00B55E50"/>
    <w:rsid w:val="00B55FEA"/>
    <w:rsid w:val="00B63369"/>
    <w:rsid w:val="00B63770"/>
    <w:rsid w:val="00B6389D"/>
    <w:rsid w:val="00B7052D"/>
    <w:rsid w:val="00B73646"/>
    <w:rsid w:val="00B75369"/>
    <w:rsid w:val="00B7579E"/>
    <w:rsid w:val="00B76701"/>
    <w:rsid w:val="00B77B7B"/>
    <w:rsid w:val="00B77FD0"/>
    <w:rsid w:val="00B87EA8"/>
    <w:rsid w:val="00B92B13"/>
    <w:rsid w:val="00B957ED"/>
    <w:rsid w:val="00BA036C"/>
    <w:rsid w:val="00BA38A2"/>
    <w:rsid w:val="00BA5364"/>
    <w:rsid w:val="00BB2887"/>
    <w:rsid w:val="00BB2C9B"/>
    <w:rsid w:val="00BB3568"/>
    <w:rsid w:val="00BB5284"/>
    <w:rsid w:val="00BC31E2"/>
    <w:rsid w:val="00BD0E9C"/>
    <w:rsid w:val="00BD1E29"/>
    <w:rsid w:val="00BD283E"/>
    <w:rsid w:val="00BD53FD"/>
    <w:rsid w:val="00BE0A75"/>
    <w:rsid w:val="00BE0CAB"/>
    <w:rsid w:val="00BE19D6"/>
    <w:rsid w:val="00BE2A56"/>
    <w:rsid w:val="00BE464F"/>
    <w:rsid w:val="00BE48BE"/>
    <w:rsid w:val="00BE5054"/>
    <w:rsid w:val="00BE597D"/>
    <w:rsid w:val="00BE775A"/>
    <w:rsid w:val="00BF2433"/>
    <w:rsid w:val="00BF5D0D"/>
    <w:rsid w:val="00C014D3"/>
    <w:rsid w:val="00C043BC"/>
    <w:rsid w:val="00C06197"/>
    <w:rsid w:val="00C13805"/>
    <w:rsid w:val="00C13DF5"/>
    <w:rsid w:val="00C16EA9"/>
    <w:rsid w:val="00C17DEB"/>
    <w:rsid w:val="00C24A62"/>
    <w:rsid w:val="00C31A39"/>
    <w:rsid w:val="00C36162"/>
    <w:rsid w:val="00C36BC0"/>
    <w:rsid w:val="00C41A1B"/>
    <w:rsid w:val="00C46043"/>
    <w:rsid w:val="00C51396"/>
    <w:rsid w:val="00C514AD"/>
    <w:rsid w:val="00C51E97"/>
    <w:rsid w:val="00C52D96"/>
    <w:rsid w:val="00C54058"/>
    <w:rsid w:val="00C55AD2"/>
    <w:rsid w:val="00C563D7"/>
    <w:rsid w:val="00C57E05"/>
    <w:rsid w:val="00C6020D"/>
    <w:rsid w:val="00C7018E"/>
    <w:rsid w:val="00C70D91"/>
    <w:rsid w:val="00C72FF8"/>
    <w:rsid w:val="00C7319C"/>
    <w:rsid w:val="00C73FA6"/>
    <w:rsid w:val="00C75542"/>
    <w:rsid w:val="00C777ED"/>
    <w:rsid w:val="00C80FC9"/>
    <w:rsid w:val="00C81011"/>
    <w:rsid w:val="00C87A9A"/>
    <w:rsid w:val="00C92D9E"/>
    <w:rsid w:val="00C92DF4"/>
    <w:rsid w:val="00C978A8"/>
    <w:rsid w:val="00C97F0E"/>
    <w:rsid w:val="00CA04F8"/>
    <w:rsid w:val="00CB41C8"/>
    <w:rsid w:val="00CB663A"/>
    <w:rsid w:val="00CC1FB0"/>
    <w:rsid w:val="00CC1FCF"/>
    <w:rsid w:val="00CC20DE"/>
    <w:rsid w:val="00CC4062"/>
    <w:rsid w:val="00CC412C"/>
    <w:rsid w:val="00CC5203"/>
    <w:rsid w:val="00CD3CF5"/>
    <w:rsid w:val="00CE21B9"/>
    <w:rsid w:val="00CE7B23"/>
    <w:rsid w:val="00CE7BFF"/>
    <w:rsid w:val="00CF303A"/>
    <w:rsid w:val="00CF4752"/>
    <w:rsid w:val="00CF5DD8"/>
    <w:rsid w:val="00D015A1"/>
    <w:rsid w:val="00D13775"/>
    <w:rsid w:val="00D1473F"/>
    <w:rsid w:val="00D24029"/>
    <w:rsid w:val="00D25AC6"/>
    <w:rsid w:val="00D31925"/>
    <w:rsid w:val="00D33026"/>
    <w:rsid w:val="00D34372"/>
    <w:rsid w:val="00D35132"/>
    <w:rsid w:val="00D35C51"/>
    <w:rsid w:val="00D45A83"/>
    <w:rsid w:val="00D46234"/>
    <w:rsid w:val="00D462DF"/>
    <w:rsid w:val="00D500D6"/>
    <w:rsid w:val="00D5464C"/>
    <w:rsid w:val="00D5547C"/>
    <w:rsid w:val="00D6201B"/>
    <w:rsid w:val="00D62564"/>
    <w:rsid w:val="00D63C80"/>
    <w:rsid w:val="00D64747"/>
    <w:rsid w:val="00D729F4"/>
    <w:rsid w:val="00D762A3"/>
    <w:rsid w:val="00D77005"/>
    <w:rsid w:val="00D7761F"/>
    <w:rsid w:val="00D77E26"/>
    <w:rsid w:val="00D8425D"/>
    <w:rsid w:val="00D876BF"/>
    <w:rsid w:val="00D87B53"/>
    <w:rsid w:val="00D900EA"/>
    <w:rsid w:val="00D92BB1"/>
    <w:rsid w:val="00DA2EFF"/>
    <w:rsid w:val="00DA3FF8"/>
    <w:rsid w:val="00DA517F"/>
    <w:rsid w:val="00DA526C"/>
    <w:rsid w:val="00DA56B1"/>
    <w:rsid w:val="00DA6504"/>
    <w:rsid w:val="00DA6B06"/>
    <w:rsid w:val="00DB11DB"/>
    <w:rsid w:val="00DB45FE"/>
    <w:rsid w:val="00DC0C4A"/>
    <w:rsid w:val="00DD2923"/>
    <w:rsid w:val="00DD51B9"/>
    <w:rsid w:val="00DD72F6"/>
    <w:rsid w:val="00DE2C83"/>
    <w:rsid w:val="00DE3CD4"/>
    <w:rsid w:val="00DE4F02"/>
    <w:rsid w:val="00DE53DA"/>
    <w:rsid w:val="00DE639B"/>
    <w:rsid w:val="00DF306C"/>
    <w:rsid w:val="00DF730B"/>
    <w:rsid w:val="00E01A27"/>
    <w:rsid w:val="00E03322"/>
    <w:rsid w:val="00E115C6"/>
    <w:rsid w:val="00E11C52"/>
    <w:rsid w:val="00E1644B"/>
    <w:rsid w:val="00E17059"/>
    <w:rsid w:val="00E220AA"/>
    <w:rsid w:val="00E2223C"/>
    <w:rsid w:val="00E3560C"/>
    <w:rsid w:val="00E37EC3"/>
    <w:rsid w:val="00E42377"/>
    <w:rsid w:val="00E42DA2"/>
    <w:rsid w:val="00E448F0"/>
    <w:rsid w:val="00E455E9"/>
    <w:rsid w:val="00E52377"/>
    <w:rsid w:val="00E54DB6"/>
    <w:rsid w:val="00E60EBF"/>
    <w:rsid w:val="00E617AC"/>
    <w:rsid w:val="00E72CBA"/>
    <w:rsid w:val="00E73103"/>
    <w:rsid w:val="00E76929"/>
    <w:rsid w:val="00E815D3"/>
    <w:rsid w:val="00E85CAB"/>
    <w:rsid w:val="00E86472"/>
    <w:rsid w:val="00E866D6"/>
    <w:rsid w:val="00E86BC0"/>
    <w:rsid w:val="00E94C30"/>
    <w:rsid w:val="00E94C86"/>
    <w:rsid w:val="00E96AC8"/>
    <w:rsid w:val="00E97890"/>
    <w:rsid w:val="00EA460D"/>
    <w:rsid w:val="00EA5D77"/>
    <w:rsid w:val="00EA77DA"/>
    <w:rsid w:val="00EA7F25"/>
    <w:rsid w:val="00EB1A8A"/>
    <w:rsid w:val="00EB5723"/>
    <w:rsid w:val="00EB73E6"/>
    <w:rsid w:val="00ED2EF3"/>
    <w:rsid w:val="00ED7861"/>
    <w:rsid w:val="00EE025B"/>
    <w:rsid w:val="00EE369A"/>
    <w:rsid w:val="00EF01F1"/>
    <w:rsid w:val="00EF034D"/>
    <w:rsid w:val="00EF0CC1"/>
    <w:rsid w:val="00EF133D"/>
    <w:rsid w:val="00EF1EBB"/>
    <w:rsid w:val="00EF24C1"/>
    <w:rsid w:val="00EF300C"/>
    <w:rsid w:val="00EF40DD"/>
    <w:rsid w:val="00EF49D1"/>
    <w:rsid w:val="00EF4C80"/>
    <w:rsid w:val="00EF5116"/>
    <w:rsid w:val="00F03901"/>
    <w:rsid w:val="00F04295"/>
    <w:rsid w:val="00F10536"/>
    <w:rsid w:val="00F10CEE"/>
    <w:rsid w:val="00F10D82"/>
    <w:rsid w:val="00F127F9"/>
    <w:rsid w:val="00F13442"/>
    <w:rsid w:val="00F17D0A"/>
    <w:rsid w:val="00F23600"/>
    <w:rsid w:val="00F24BA2"/>
    <w:rsid w:val="00F27C70"/>
    <w:rsid w:val="00F343DC"/>
    <w:rsid w:val="00F34BCC"/>
    <w:rsid w:val="00F40142"/>
    <w:rsid w:val="00F401F5"/>
    <w:rsid w:val="00F41BF2"/>
    <w:rsid w:val="00F4420F"/>
    <w:rsid w:val="00F47536"/>
    <w:rsid w:val="00F56721"/>
    <w:rsid w:val="00F56D45"/>
    <w:rsid w:val="00F5740A"/>
    <w:rsid w:val="00F67AD7"/>
    <w:rsid w:val="00F7198E"/>
    <w:rsid w:val="00F72139"/>
    <w:rsid w:val="00F72E3F"/>
    <w:rsid w:val="00F77C54"/>
    <w:rsid w:val="00F80D39"/>
    <w:rsid w:val="00F83DFD"/>
    <w:rsid w:val="00FA29F8"/>
    <w:rsid w:val="00FA2BF7"/>
    <w:rsid w:val="00FA3E74"/>
    <w:rsid w:val="00FA6C53"/>
    <w:rsid w:val="00FB2101"/>
    <w:rsid w:val="00FC355C"/>
    <w:rsid w:val="00FC7B70"/>
    <w:rsid w:val="00FD0E28"/>
    <w:rsid w:val="00FD3485"/>
    <w:rsid w:val="00FD47AB"/>
    <w:rsid w:val="00FD5D34"/>
    <w:rsid w:val="00FD7265"/>
    <w:rsid w:val="00FE7795"/>
    <w:rsid w:val="00FF7A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14:docId w14:val="5E51CCD3"/>
  <w15:docId w15:val="{EA85D89F-9668-4292-A902-0FF0D4CB9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before="120"/>
        <w:ind w:left="284" w:hanging="284"/>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6BC0"/>
    <w:pPr>
      <w:spacing w:before="0"/>
      <w:ind w:left="0" w:firstLine="0"/>
    </w:pPr>
    <w:rPr>
      <w:rFonts w:eastAsia="Times New Roman" w:cstheme="minorHAnsi"/>
      <w:sz w:val="20"/>
      <w:szCs w:val="20"/>
      <w:lang w:eastAsia="fr-FR"/>
    </w:rPr>
  </w:style>
  <w:style w:type="paragraph" w:styleId="Titre1">
    <w:name w:val="heading 1"/>
    <w:basedOn w:val="Normal"/>
    <w:next w:val="Normal"/>
    <w:link w:val="Titre1Car"/>
    <w:uiPriority w:val="9"/>
    <w:qFormat/>
    <w:rsid w:val="00002B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semiHidden/>
    <w:unhideWhenUsed/>
    <w:qFormat/>
    <w:rsid w:val="000E10B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qFormat/>
    <w:rsid w:val="00AF16ED"/>
    <w:pPr>
      <w:keepNext/>
      <w:overflowPunct w:val="0"/>
      <w:autoSpaceDE w:val="0"/>
      <w:autoSpaceDN w:val="0"/>
      <w:adjustRightInd w:val="0"/>
      <w:ind w:right="-1"/>
      <w:outlineLvl w:val="2"/>
    </w:pPr>
    <w:rPr>
      <w:rFonts w:ascii="Arial" w:hAnsi="Arial" w:cs="Arial"/>
      <w:sz w:val="24"/>
      <w:szCs w:val="24"/>
    </w:rPr>
  </w:style>
  <w:style w:type="paragraph" w:styleId="Titre4">
    <w:name w:val="heading 4"/>
    <w:basedOn w:val="Normal"/>
    <w:next w:val="Normal"/>
    <w:link w:val="Titre4Car"/>
    <w:uiPriority w:val="9"/>
    <w:unhideWhenUsed/>
    <w:qFormat/>
    <w:rsid w:val="004D2F56"/>
    <w:pPr>
      <w:keepNext/>
      <w:keepLines/>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3D49BD"/>
    <w:pPr>
      <w:keepNext/>
      <w:keepLines/>
      <w:widowControl w:val="0"/>
      <w:overflowPunct w:val="0"/>
      <w:adjustRightInd w:val="0"/>
      <w:spacing w:before="200"/>
      <w:jc w:val="left"/>
      <w:outlineLvl w:val="4"/>
    </w:pPr>
    <w:rPr>
      <w:rFonts w:asciiTheme="majorHAnsi" w:eastAsiaTheme="majorEastAsia" w:hAnsiTheme="majorHAnsi" w:cstheme="majorBidi"/>
      <w:color w:val="243F60" w:themeColor="accent1" w:themeShade="7F"/>
      <w:kern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11">
    <w:name w:val="1.1"/>
    <w:basedOn w:val="Paragraphedeliste"/>
    <w:link w:val="11Car"/>
    <w:autoRedefine/>
    <w:qFormat/>
    <w:rsid w:val="008B64D5"/>
    <w:pPr>
      <w:keepNext/>
      <w:ind w:left="708" w:firstLine="0"/>
      <w:outlineLvl w:val="1"/>
    </w:pPr>
    <w:rPr>
      <w:rFonts w:ascii="Calibri" w:eastAsia="Times New Roman" w:hAnsi="Calibri" w:cs="Calibri"/>
      <w:b/>
      <w:bCs/>
      <w:iCs/>
      <w:sz w:val="22"/>
    </w:rPr>
  </w:style>
  <w:style w:type="character" w:customStyle="1" w:styleId="11Car">
    <w:name w:val="1.1 Car"/>
    <w:basedOn w:val="Policepardfaut"/>
    <w:link w:val="11"/>
    <w:rsid w:val="008B64D5"/>
    <w:rPr>
      <w:rFonts w:ascii="Calibri" w:eastAsia="Times New Roman" w:hAnsi="Calibri" w:cs="Calibri"/>
      <w:b/>
      <w:bCs/>
      <w:iCs/>
    </w:rPr>
  </w:style>
  <w:style w:type="paragraph" w:styleId="Paragraphedeliste">
    <w:name w:val="List Paragraph"/>
    <w:basedOn w:val="Normal"/>
    <w:link w:val="ParagraphedelisteCar"/>
    <w:uiPriority w:val="34"/>
    <w:qFormat/>
    <w:rsid w:val="00EB5723"/>
    <w:pPr>
      <w:ind w:left="720" w:hanging="284"/>
      <w:contextualSpacing/>
    </w:pPr>
    <w:rPr>
      <w:rFonts w:eastAsiaTheme="minorHAnsi" w:cstheme="minorBidi"/>
      <w:szCs w:val="22"/>
      <w:lang w:eastAsia="en-US"/>
    </w:rPr>
  </w:style>
  <w:style w:type="paragraph" w:styleId="En-tte">
    <w:name w:val="header"/>
    <w:basedOn w:val="Normal"/>
    <w:link w:val="En-tteCar"/>
    <w:uiPriority w:val="99"/>
    <w:unhideWhenUsed/>
    <w:rsid w:val="00A56CC0"/>
    <w:pPr>
      <w:tabs>
        <w:tab w:val="center" w:pos="4536"/>
        <w:tab w:val="right" w:pos="9072"/>
      </w:tabs>
    </w:pPr>
  </w:style>
  <w:style w:type="character" w:customStyle="1" w:styleId="En-tteCar">
    <w:name w:val="En-tête Car"/>
    <w:basedOn w:val="Policepardfaut"/>
    <w:link w:val="En-tte"/>
    <w:uiPriority w:val="99"/>
    <w:rsid w:val="00A56CC0"/>
    <w:rPr>
      <w:rFonts w:ascii="Calibri" w:eastAsia="Times New Roman" w:hAnsi="Calibri" w:cs="Times New Roman"/>
      <w:sz w:val="20"/>
      <w:szCs w:val="20"/>
      <w:lang w:eastAsia="fr-FR"/>
    </w:rPr>
  </w:style>
  <w:style w:type="paragraph" w:styleId="Pieddepage">
    <w:name w:val="footer"/>
    <w:basedOn w:val="Normal"/>
    <w:link w:val="PieddepageCar"/>
    <w:uiPriority w:val="99"/>
    <w:unhideWhenUsed/>
    <w:rsid w:val="00A56CC0"/>
    <w:pPr>
      <w:tabs>
        <w:tab w:val="center" w:pos="4536"/>
        <w:tab w:val="right" w:pos="9072"/>
      </w:tabs>
    </w:pPr>
  </w:style>
  <w:style w:type="character" w:customStyle="1" w:styleId="PieddepageCar">
    <w:name w:val="Pied de page Car"/>
    <w:basedOn w:val="Policepardfaut"/>
    <w:link w:val="Pieddepage"/>
    <w:uiPriority w:val="99"/>
    <w:rsid w:val="00A56CC0"/>
    <w:rPr>
      <w:rFonts w:ascii="Calibri" w:eastAsia="Times New Roman" w:hAnsi="Calibri" w:cs="Times New Roman"/>
      <w:sz w:val="20"/>
      <w:szCs w:val="20"/>
      <w:lang w:eastAsia="fr-FR"/>
    </w:rPr>
  </w:style>
  <w:style w:type="paragraph" w:styleId="Textedebulles">
    <w:name w:val="Balloon Text"/>
    <w:basedOn w:val="Normal"/>
    <w:link w:val="TextedebullesCar"/>
    <w:uiPriority w:val="99"/>
    <w:semiHidden/>
    <w:unhideWhenUsed/>
    <w:rsid w:val="00630505"/>
    <w:rPr>
      <w:rFonts w:ascii="Tahoma" w:hAnsi="Tahoma" w:cs="Tahoma"/>
      <w:sz w:val="16"/>
      <w:szCs w:val="16"/>
    </w:rPr>
  </w:style>
  <w:style w:type="character" w:customStyle="1" w:styleId="TextedebullesCar">
    <w:name w:val="Texte de bulles Car"/>
    <w:basedOn w:val="Policepardfaut"/>
    <w:link w:val="Textedebulles"/>
    <w:uiPriority w:val="99"/>
    <w:semiHidden/>
    <w:rsid w:val="00630505"/>
    <w:rPr>
      <w:rFonts w:ascii="Tahoma" w:eastAsia="Times New Roman" w:hAnsi="Tahoma" w:cs="Tahoma"/>
      <w:sz w:val="16"/>
      <w:szCs w:val="16"/>
      <w:lang w:eastAsia="fr-FR"/>
    </w:rPr>
  </w:style>
  <w:style w:type="paragraph" w:styleId="Corpsdetexte">
    <w:name w:val="Body Text"/>
    <w:basedOn w:val="Normal"/>
    <w:link w:val="CorpsdetexteCar"/>
    <w:rsid w:val="00630505"/>
    <w:pPr>
      <w:tabs>
        <w:tab w:val="left" w:pos="4962"/>
      </w:tabs>
      <w:overflowPunct w:val="0"/>
      <w:autoSpaceDE w:val="0"/>
      <w:autoSpaceDN w:val="0"/>
      <w:adjustRightInd w:val="0"/>
    </w:pPr>
    <w:rPr>
      <w:rFonts w:ascii="Arial" w:hAnsi="Arial" w:cs="Arial"/>
      <w:sz w:val="24"/>
      <w:szCs w:val="24"/>
    </w:rPr>
  </w:style>
  <w:style w:type="character" w:customStyle="1" w:styleId="CorpsdetexteCar">
    <w:name w:val="Corps de texte Car"/>
    <w:basedOn w:val="Policepardfaut"/>
    <w:link w:val="Corpsdetexte"/>
    <w:rsid w:val="00630505"/>
    <w:rPr>
      <w:rFonts w:ascii="Arial" w:eastAsia="Times New Roman" w:hAnsi="Arial" w:cs="Arial"/>
      <w:sz w:val="24"/>
      <w:szCs w:val="24"/>
      <w:lang w:eastAsia="fr-FR"/>
    </w:rPr>
  </w:style>
  <w:style w:type="paragraph" w:customStyle="1" w:styleId="ARTICLECCAPCCTP">
    <w:name w:val="ARTICLE CCAP/CCTP..."/>
    <w:basedOn w:val="Normal"/>
    <w:link w:val="ARTICLECCAPCCTPCar"/>
    <w:qFormat/>
    <w:rsid w:val="000F0CBB"/>
    <w:pPr>
      <w:keepNext/>
      <w:pBdr>
        <w:top w:val="single" w:sz="12" w:space="4" w:color="auto"/>
        <w:left w:val="single" w:sz="12" w:space="4" w:color="auto"/>
        <w:bottom w:val="single" w:sz="12" w:space="4" w:color="auto"/>
        <w:right w:val="single" w:sz="12" w:space="4" w:color="auto"/>
      </w:pBdr>
      <w:shd w:val="clear" w:color="auto" w:fill="FFFFFF" w:themeFill="background1"/>
      <w:tabs>
        <w:tab w:val="left" w:pos="1134"/>
        <w:tab w:val="num" w:pos="1440"/>
      </w:tabs>
      <w:ind w:left="432" w:hanging="432"/>
      <w:outlineLvl w:val="0"/>
    </w:pPr>
    <w:rPr>
      <w:rFonts w:cs="Calibri"/>
      <w:b/>
      <w:bCs/>
      <w:caps/>
      <w:kern w:val="32"/>
      <w:sz w:val="24"/>
      <w:szCs w:val="24"/>
    </w:rPr>
  </w:style>
  <w:style w:type="character" w:customStyle="1" w:styleId="ARTICLECCAPCCTPCar">
    <w:name w:val="ARTICLE CCAP/CCTP... Car"/>
    <w:link w:val="ARTICLECCAPCCTP"/>
    <w:rsid w:val="000F0CBB"/>
    <w:rPr>
      <w:rFonts w:ascii="Calibri" w:eastAsia="Times New Roman" w:hAnsi="Calibri" w:cs="Calibri"/>
      <w:b/>
      <w:bCs/>
      <w:caps/>
      <w:kern w:val="32"/>
      <w:sz w:val="24"/>
      <w:szCs w:val="24"/>
      <w:shd w:val="clear" w:color="auto" w:fill="FFFFFF" w:themeFill="background1"/>
      <w:lang w:eastAsia="fr-FR"/>
    </w:rPr>
  </w:style>
  <w:style w:type="paragraph" w:customStyle="1" w:styleId="Texte">
    <w:name w:val="Texte"/>
    <w:basedOn w:val="Texte1"/>
    <w:link w:val="TexteCar"/>
    <w:qFormat/>
    <w:rsid w:val="000F0CBB"/>
  </w:style>
  <w:style w:type="paragraph" w:customStyle="1" w:styleId="Texte1">
    <w:name w:val="Texte 1"/>
    <w:basedOn w:val="Corpsdetexte"/>
    <w:link w:val="Texte1Car"/>
    <w:qFormat/>
    <w:rsid w:val="000F0CBB"/>
    <w:pPr>
      <w:tabs>
        <w:tab w:val="clear" w:pos="4962"/>
      </w:tabs>
    </w:pPr>
    <w:rPr>
      <w:rFonts w:asciiTheme="minorHAnsi" w:hAnsiTheme="minorHAnsi" w:cstheme="minorHAnsi"/>
      <w:sz w:val="20"/>
      <w:szCs w:val="20"/>
    </w:rPr>
  </w:style>
  <w:style w:type="character" w:customStyle="1" w:styleId="TexteCar">
    <w:name w:val="Texte Car"/>
    <w:basedOn w:val="Policepardfaut"/>
    <w:link w:val="Texte"/>
    <w:rsid w:val="000F0CBB"/>
    <w:rPr>
      <w:rFonts w:eastAsia="Times New Roman" w:cstheme="minorHAnsi"/>
      <w:sz w:val="20"/>
      <w:szCs w:val="20"/>
      <w:lang w:eastAsia="fr-FR"/>
    </w:rPr>
  </w:style>
  <w:style w:type="character" w:styleId="Marquedecommentaire">
    <w:name w:val="annotation reference"/>
    <w:uiPriority w:val="99"/>
    <w:rsid w:val="000F0CBB"/>
    <w:rPr>
      <w:sz w:val="16"/>
      <w:szCs w:val="16"/>
    </w:rPr>
  </w:style>
  <w:style w:type="character" w:customStyle="1" w:styleId="Texte1Car">
    <w:name w:val="Texte 1 Car"/>
    <w:basedOn w:val="CorpsdetexteCar"/>
    <w:link w:val="Texte1"/>
    <w:rsid w:val="000F0CBB"/>
    <w:rPr>
      <w:rFonts w:ascii="Arial" w:eastAsia="Times New Roman" w:hAnsi="Arial" w:cstheme="minorHAnsi"/>
      <w:sz w:val="20"/>
      <w:szCs w:val="20"/>
      <w:lang w:eastAsia="fr-FR"/>
    </w:rPr>
  </w:style>
  <w:style w:type="paragraph" w:styleId="Commentaire">
    <w:name w:val="annotation text"/>
    <w:basedOn w:val="Normal"/>
    <w:link w:val="CommentaireCar"/>
    <w:uiPriority w:val="99"/>
    <w:rsid w:val="000F0CBB"/>
    <w:pPr>
      <w:overflowPunct w:val="0"/>
      <w:autoSpaceDE w:val="0"/>
      <w:autoSpaceDN w:val="0"/>
      <w:adjustRightInd w:val="0"/>
    </w:pPr>
    <w:rPr>
      <w:rFonts w:ascii="Times New Roman" w:hAnsi="Times New Roman"/>
    </w:rPr>
  </w:style>
  <w:style w:type="character" w:customStyle="1" w:styleId="CommentaireCar">
    <w:name w:val="Commentaire Car"/>
    <w:basedOn w:val="Policepardfaut"/>
    <w:link w:val="Commentaire"/>
    <w:uiPriority w:val="99"/>
    <w:rsid w:val="000F0CBB"/>
    <w:rPr>
      <w:rFonts w:ascii="Times New Roman" w:eastAsia="Times New Roman" w:hAnsi="Times New Roman" w:cs="Times New Roman"/>
      <w:sz w:val="20"/>
      <w:szCs w:val="20"/>
      <w:lang w:eastAsia="fr-FR"/>
    </w:rPr>
  </w:style>
  <w:style w:type="table" w:styleId="Grilledutableau">
    <w:name w:val="Table Grid"/>
    <w:basedOn w:val="TableauNormal"/>
    <w:rsid w:val="000F0CBB"/>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link w:val="Corpsdetexte2Car"/>
    <w:uiPriority w:val="99"/>
    <w:semiHidden/>
    <w:unhideWhenUsed/>
    <w:rsid w:val="00AF16ED"/>
    <w:pPr>
      <w:spacing w:after="120" w:line="480" w:lineRule="auto"/>
    </w:pPr>
  </w:style>
  <w:style w:type="character" w:customStyle="1" w:styleId="Corpsdetexte2Car">
    <w:name w:val="Corps de texte 2 Car"/>
    <w:basedOn w:val="Policepardfaut"/>
    <w:link w:val="Corpsdetexte2"/>
    <w:uiPriority w:val="99"/>
    <w:semiHidden/>
    <w:rsid w:val="00AF16ED"/>
    <w:rPr>
      <w:rFonts w:ascii="Calibri" w:eastAsia="Times New Roman" w:hAnsi="Calibri" w:cs="Times New Roman"/>
      <w:sz w:val="20"/>
      <w:szCs w:val="20"/>
      <w:lang w:eastAsia="fr-FR"/>
    </w:rPr>
  </w:style>
  <w:style w:type="paragraph" w:styleId="Corpsdetexte3">
    <w:name w:val="Body Text 3"/>
    <w:basedOn w:val="Normal"/>
    <w:link w:val="Corpsdetexte3Car"/>
    <w:uiPriority w:val="99"/>
    <w:semiHidden/>
    <w:unhideWhenUsed/>
    <w:rsid w:val="00AF16ED"/>
    <w:pPr>
      <w:spacing w:after="120"/>
    </w:pPr>
    <w:rPr>
      <w:sz w:val="16"/>
      <w:szCs w:val="16"/>
    </w:rPr>
  </w:style>
  <w:style w:type="character" w:customStyle="1" w:styleId="Corpsdetexte3Car">
    <w:name w:val="Corps de texte 3 Car"/>
    <w:basedOn w:val="Policepardfaut"/>
    <w:link w:val="Corpsdetexte3"/>
    <w:uiPriority w:val="99"/>
    <w:semiHidden/>
    <w:rsid w:val="00AF16ED"/>
    <w:rPr>
      <w:rFonts w:ascii="Calibri" w:eastAsia="Times New Roman" w:hAnsi="Calibri" w:cs="Times New Roman"/>
      <w:sz w:val="16"/>
      <w:szCs w:val="16"/>
      <w:lang w:eastAsia="fr-FR"/>
    </w:rPr>
  </w:style>
  <w:style w:type="character" w:customStyle="1" w:styleId="Titre3Car">
    <w:name w:val="Titre 3 Car"/>
    <w:basedOn w:val="Policepardfaut"/>
    <w:link w:val="Titre3"/>
    <w:rsid w:val="00AF16ED"/>
    <w:rPr>
      <w:rFonts w:ascii="Arial" w:eastAsia="Times New Roman" w:hAnsi="Arial" w:cs="Arial"/>
      <w:sz w:val="24"/>
      <w:szCs w:val="24"/>
      <w:lang w:eastAsia="fr-FR"/>
    </w:rPr>
  </w:style>
  <w:style w:type="paragraph" w:styleId="Objetducommentaire">
    <w:name w:val="annotation subject"/>
    <w:basedOn w:val="Commentaire"/>
    <w:next w:val="Commentaire"/>
    <w:link w:val="ObjetducommentaireCar"/>
    <w:uiPriority w:val="99"/>
    <w:semiHidden/>
    <w:unhideWhenUsed/>
    <w:rsid w:val="00A17981"/>
    <w:pPr>
      <w:overflowPunct/>
      <w:autoSpaceDE/>
      <w:autoSpaceDN/>
      <w:adjustRightInd/>
      <w:spacing w:after="160"/>
      <w:ind w:left="2160"/>
    </w:pPr>
    <w:rPr>
      <w:rFonts w:ascii="Calibri" w:hAnsi="Calibri"/>
      <w:b/>
      <w:bCs/>
    </w:rPr>
  </w:style>
  <w:style w:type="character" w:customStyle="1" w:styleId="ObjetducommentaireCar">
    <w:name w:val="Objet du commentaire Car"/>
    <w:basedOn w:val="CommentaireCar"/>
    <w:link w:val="Objetducommentaire"/>
    <w:uiPriority w:val="99"/>
    <w:semiHidden/>
    <w:rsid w:val="00A17981"/>
    <w:rPr>
      <w:rFonts w:ascii="Calibri" w:eastAsia="Times New Roman" w:hAnsi="Calibri" w:cs="Times New Roman"/>
      <w:b/>
      <w:bCs/>
      <w:sz w:val="20"/>
      <w:szCs w:val="20"/>
      <w:lang w:eastAsia="fr-FR"/>
    </w:rPr>
  </w:style>
  <w:style w:type="paragraph" w:customStyle="1" w:styleId="1311">
    <w:name w:val="13.1.1."/>
    <w:basedOn w:val="11"/>
    <w:link w:val="1311Car"/>
    <w:qFormat/>
    <w:rsid w:val="00C54058"/>
    <w:pPr>
      <w:numPr>
        <w:numId w:val="3"/>
      </w:numPr>
    </w:pPr>
  </w:style>
  <w:style w:type="character" w:customStyle="1" w:styleId="1311Car">
    <w:name w:val="13.1.1. Car"/>
    <w:basedOn w:val="11Car"/>
    <w:link w:val="1311"/>
    <w:rsid w:val="00C54058"/>
    <w:rPr>
      <w:rFonts w:ascii="Calibri" w:eastAsia="Times New Roman" w:hAnsi="Calibri" w:cs="Calibri"/>
      <w:b/>
      <w:bCs/>
      <w:iCs/>
    </w:rPr>
  </w:style>
  <w:style w:type="paragraph" w:customStyle="1" w:styleId="SousarticleCCP">
    <w:name w:val="Sous article CCP"/>
    <w:basedOn w:val="Normal"/>
    <w:link w:val="SousarticleCCPCar"/>
    <w:qFormat/>
    <w:rsid w:val="0012066C"/>
    <w:pPr>
      <w:tabs>
        <w:tab w:val="left" w:pos="567"/>
      </w:tabs>
      <w:spacing w:before="120" w:after="120"/>
    </w:pPr>
    <w:rPr>
      <w:rFonts w:cs="Arial"/>
      <w:szCs w:val="22"/>
    </w:rPr>
  </w:style>
  <w:style w:type="character" w:customStyle="1" w:styleId="SousarticleCCPCar">
    <w:name w:val="Sous article CCP Car"/>
    <w:basedOn w:val="Policepardfaut"/>
    <w:link w:val="SousarticleCCP"/>
    <w:rsid w:val="0012066C"/>
    <w:rPr>
      <w:rFonts w:ascii="Calibri" w:eastAsia="Times New Roman" w:hAnsi="Calibri" w:cs="Arial"/>
      <w:sz w:val="20"/>
      <w:lang w:eastAsia="fr-FR"/>
    </w:rPr>
  </w:style>
  <w:style w:type="paragraph" w:customStyle="1" w:styleId="RedTxt">
    <w:name w:val="RedTxt"/>
    <w:basedOn w:val="Normal"/>
    <w:rsid w:val="0012066C"/>
    <w:pPr>
      <w:keepLines/>
      <w:widowControl w:val="0"/>
      <w:autoSpaceDE w:val="0"/>
      <w:autoSpaceDN w:val="0"/>
      <w:adjustRightInd w:val="0"/>
    </w:pPr>
    <w:rPr>
      <w:rFonts w:ascii="Arial" w:hAnsi="Arial" w:cs="Arial"/>
      <w:sz w:val="18"/>
      <w:szCs w:val="18"/>
    </w:rPr>
  </w:style>
  <w:style w:type="character" w:styleId="Lienhypertexte">
    <w:name w:val="Hyperlink"/>
    <w:basedOn w:val="Policepardfaut"/>
    <w:uiPriority w:val="99"/>
    <w:unhideWhenUsed/>
    <w:rsid w:val="00745D05"/>
    <w:rPr>
      <w:color w:val="0000FF" w:themeColor="hyperlink"/>
      <w:u w:val="single"/>
    </w:rPr>
  </w:style>
  <w:style w:type="character" w:customStyle="1" w:styleId="ParagraphedelisteCar">
    <w:name w:val="Paragraphe de liste Car"/>
    <w:basedOn w:val="Policepardfaut"/>
    <w:link w:val="Paragraphedeliste"/>
    <w:uiPriority w:val="34"/>
    <w:rsid w:val="004B513A"/>
    <w:rPr>
      <w:sz w:val="20"/>
    </w:rPr>
  </w:style>
  <w:style w:type="paragraph" w:styleId="Notedebasdepage">
    <w:name w:val="footnote text"/>
    <w:basedOn w:val="Normal"/>
    <w:link w:val="NotedebasdepageCar"/>
    <w:semiHidden/>
    <w:rsid w:val="004B513A"/>
    <w:pPr>
      <w:overflowPunct w:val="0"/>
      <w:autoSpaceDE w:val="0"/>
      <w:autoSpaceDN w:val="0"/>
      <w:adjustRightInd w:val="0"/>
    </w:pPr>
    <w:rPr>
      <w:rFonts w:ascii="Times New Roman" w:hAnsi="Times New Roman"/>
    </w:rPr>
  </w:style>
  <w:style w:type="character" w:customStyle="1" w:styleId="NotedebasdepageCar">
    <w:name w:val="Note de bas de page Car"/>
    <w:basedOn w:val="Policepardfaut"/>
    <w:link w:val="Notedebasdepage"/>
    <w:semiHidden/>
    <w:rsid w:val="004B513A"/>
    <w:rPr>
      <w:rFonts w:ascii="Times New Roman" w:eastAsia="Times New Roman" w:hAnsi="Times New Roman" w:cs="Times New Roman"/>
      <w:sz w:val="20"/>
      <w:szCs w:val="20"/>
      <w:lang w:eastAsia="fr-FR"/>
    </w:rPr>
  </w:style>
  <w:style w:type="character" w:styleId="Appelnotedebasdep">
    <w:name w:val="footnote reference"/>
    <w:semiHidden/>
    <w:rsid w:val="004B513A"/>
    <w:rPr>
      <w:vertAlign w:val="superscript"/>
    </w:rPr>
  </w:style>
  <w:style w:type="table" w:customStyle="1" w:styleId="Grilledutableau1">
    <w:name w:val="Grille du tableau1"/>
    <w:basedOn w:val="TableauNormal"/>
    <w:next w:val="Grilledutableau"/>
    <w:uiPriority w:val="59"/>
    <w:rsid w:val="003B633D"/>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semiHidden/>
    <w:rsid w:val="000E10BB"/>
    <w:rPr>
      <w:rFonts w:asciiTheme="majorHAnsi" w:eastAsiaTheme="majorEastAsia" w:hAnsiTheme="majorHAnsi" w:cstheme="majorBidi"/>
      <w:b/>
      <w:bCs/>
      <w:color w:val="4F81BD" w:themeColor="accent1"/>
      <w:sz w:val="26"/>
      <w:szCs w:val="26"/>
      <w:lang w:eastAsia="fr-FR"/>
    </w:rPr>
  </w:style>
  <w:style w:type="paragraph" w:styleId="Listepuces">
    <w:name w:val="List Bullet"/>
    <w:basedOn w:val="Normal"/>
    <w:autoRedefine/>
    <w:rsid w:val="007A5A9F"/>
    <w:rPr>
      <w:i/>
    </w:rPr>
  </w:style>
  <w:style w:type="paragraph" w:styleId="TM2">
    <w:name w:val="toc 2"/>
    <w:basedOn w:val="Normal"/>
    <w:next w:val="Normal"/>
    <w:autoRedefine/>
    <w:uiPriority w:val="39"/>
    <w:unhideWhenUsed/>
    <w:qFormat/>
    <w:rsid w:val="00822FD7"/>
    <w:pPr>
      <w:tabs>
        <w:tab w:val="right" w:leader="dot" w:pos="9628"/>
      </w:tabs>
      <w:spacing w:before="120"/>
      <w:ind w:left="851" w:hanging="851"/>
    </w:pPr>
    <w:rPr>
      <w:b/>
      <w:bCs/>
      <w:noProof/>
      <w14:scene3d>
        <w14:camera w14:prst="orthographicFront"/>
        <w14:lightRig w14:rig="threePt" w14:dir="t">
          <w14:rot w14:lat="0" w14:lon="0" w14:rev="0"/>
        </w14:lightRig>
      </w14:scene3d>
    </w:rPr>
  </w:style>
  <w:style w:type="paragraph" w:styleId="TM1">
    <w:name w:val="toc 1"/>
    <w:basedOn w:val="Normal"/>
    <w:next w:val="Normal"/>
    <w:autoRedefine/>
    <w:uiPriority w:val="39"/>
    <w:unhideWhenUsed/>
    <w:qFormat/>
    <w:rsid w:val="00163D47"/>
    <w:pPr>
      <w:pBdr>
        <w:bottom w:val="single" w:sz="12" w:space="3" w:color="auto"/>
      </w:pBdr>
      <w:tabs>
        <w:tab w:val="left" w:pos="1276"/>
        <w:tab w:val="right" w:leader="dot" w:pos="9628"/>
      </w:tabs>
      <w:spacing w:before="240"/>
      <w:ind w:left="1276" w:hanging="1276"/>
    </w:pPr>
    <w:rPr>
      <w:b/>
      <w:bCs/>
      <w:caps/>
      <w:noProof/>
      <w:sz w:val="24"/>
      <w:szCs w:val="24"/>
      <w14:scene3d>
        <w14:camera w14:prst="orthographicFront"/>
        <w14:lightRig w14:rig="threePt" w14:dir="t">
          <w14:rot w14:lat="0" w14:lon="0" w14:rev="0"/>
        </w14:lightRig>
      </w14:scene3d>
    </w:rPr>
  </w:style>
  <w:style w:type="paragraph" w:customStyle="1" w:styleId="Chapitre">
    <w:name w:val="Chapitre"/>
    <w:basedOn w:val="ARTICLECCAPCCTP"/>
    <w:link w:val="ChapitreCar"/>
    <w:qFormat/>
    <w:rsid w:val="007A5A9F"/>
    <w:pPr>
      <w:pBdr>
        <w:top w:val="none" w:sz="0" w:space="0" w:color="auto"/>
        <w:left w:val="none" w:sz="0" w:space="0" w:color="auto"/>
        <w:bottom w:val="single" w:sz="12" w:space="6" w:color="auto"/>
        <w:right w:val="none" w:sz="0" w:space="0" w:color="auto"/>
      </w:pBdr>
      <w:tabs>
        <w:tab w:val="clear" w:pos="1440"/>
      </w:tabs>
      <w:ind w:firstLine="0"/>
      <w:jc w:val="right"/>
    </w:pPr>
    <w:rPr>
      <w:sz w:val="28"/>
      <w:szCs w:val="28"/>
    </w:rPr>
  </w:style>
  <w:style w:type="character" w:customStyle="1" w:styleId="ChapitreCar">
    <w:name w:val="Chapitre Car"/>
    <w:basedOn w:val="ARTICLECCAPCCTPCar"/>
    <w:link w:val="Chapitre"/>
    <w:rsid w:val="007A5A9F"/>
    <w:rPr>
      <w:rFonts w:ascii="Calibri" w:eastAsia="Times New Roman" w:hAnsi="Calibri" w:cs="Calibri"/>
      <w:b/>
      <w:bCs/>
      <w:caps/>
      <w:kern w:val="32"/>
      <w:sz w:val="28"/>
      <w:szCs w:val="28"/>
      <w:shd w:val="clear" w:color="auto" w:fill="FFFFFF" w:themeFill="background1"/>
      <w:lang w:eastAsia="fr-FR"/>
    </w:rPr>
  </w:style>
  <w:style w:type="table" w:customStyle="1" w:styleId="Grilledutableau2">
    <w:name w:val="Grille du tableau2"/>
    <w:basedOn w:val="TableauNormal"/>
    <w:next w:val="Grilledutableau"/>
    <w:uiPriority w:val="59"/>
    <w:rsid w:val="003460CC"/>
    <w:pPr>
      <w:spacing w:before="0"/>
      <w:ind w:left="0" w:firstLine="0"/>
      <w:jc w:val="left"/>
    </w:pPr>
    <w:rPr>
      <w:rFonts w:ascii="Arial" w:eastAsia="Times New Roman" w:hAnsi="Arial"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3">
    <w:name w:val="Body Text Indent 3"/>
    <w:basedOn w:val="Normal"/>
    <w:link w:val="Retraitcorpsdetexte3Car"/>
    <w:uiPriority w:val="99"/>
    <w:semiHidden/>
    <w:unhideWhenUsed/>
    <w:rsid w:val="007B628E"/>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7B628E"/>
    <w:rPr>
      <w:rFonts w:ascii="Calibri" w:eastAsia="Times New Roman" w:hAnsi="Calibri" w:cs="Times New Roman"/>
      <w:sz w:val="16"/>
      <w:szCs w:val="16"/>
      <w:lang w:eastAsia="fr-FR"/>
    </w:rPr>
  </w:style>
  <w:style w:type="paragraph" w:styleId="Retraitcorpsdetexte">
    <w:name w:val="Body Text Indent"/>
    <w:basedOn w:val="Normal"/>
    <w:link w:val="RetraitcorpsdetexteCar"/>
    <w:uiPriority w:val="99"/>
    <w:semiHidden/>
    <w:unhideWhenUsed/>
    <w:rsid w:val="00DE4F02"/>
    <w:pPr>
      <w:spacing w:after="120"/>
      <w:ind w:left="283"/>
    </w:pPr>
  </w:style>
  <w:style w:type="character" w:customStyle="1" w:styleId="RetraitcorpsdetexteCar">
    <w:name w:val="Retrait corps de texte Car"/>
    <w:basedOn w:val="Policepardfaut"/>
    <w:link w:val="Retraitcorpsdetexte"/>
    <w:uiPriority w:val="99"/>
    <w:semiHidden/>
    <w:rsid w:val="00DE4F02"/>
    <w:rPr>
      <w:rFonts w:ascii="Calibri" w:eastAsia="Times New Roman" w:hAnsi="Calibri" w:cs="Times New Roman"/>
      <w:sz w:val="20"/>
      <w:szCs w:val="20"/>
      <w:lang w:eastAsia="fr-FR"/>
    </w:rPr>
  </w:style>
  <w:style w:type="paragraph" w:customStyle="1" w:styleId="CHAPITRETITRE">
    <w:name w:val="CHAPITRE/TITRE"/>
    <w:basedOn w:val="Normal"/>
    <w:link w:val="CHAPITRETITRECar"/>
    <w:qFormat/>
    <w:rsid w:val="00002B6E"/>
    <w:pPr>
      <w:pBdr>
        <w:bottom w:val="single" w:sz="12" w:space="6" w:color="auto"/>
      </w:pBdr>
      <w:tabs>
        <w:tab w:val="left" w:pos="4962"/>
      </w:tabs>
      <w:jc w:val="right"/>
    </w:pPr>
    <w:rPr>
      <w:b/>
      <w:caps/>
      <w:sz w:val="28"/>
    </w:rPr>
  </w:style>
  <w:style w:type="character" w:customStyle="1" w:styleId="Titre1Car">
    <w:name w:val="Titre 1 Car"/>
    <w:basedOn w:val="Policepardfaut"/>
    <w:link w:val="Titre1"/>
    <w:uiPriority w:val="9"/>
    <w:rsid w:val="00002B6E"/>
    <w:rPr>
      <w:rFonts w:asciiTheme="majorHAnsi" w:eastAsiaTheme="majorEastAsia" w:hAnsiTheme="majorHAnsi" w:cstheme="majorBidi"/>
      <w:b/>
      <w:bCs/>
      <w:color w:val="365F91" w:themeColor="accent1" w:themeShade="BF"/>
      <w:sz w:val="28"/>
      <w:szCs w:val="28"/>
      <w:lang w:eastAsia="fr-FR"/>
    </w:rPr>
  </w:style>
  <w:style w:type="character" w:customStyle="1" w:styleId="CHAPITRETITRECar">
    <w:name w:val="CHAPITRE/TITRE Car"/>
    <w:basedOn w:val="Policepardfaut"/>
    <w:link w:val="CHAPITRETITRE"/>
    <w:rsid w:val="00002B6E"/>
    <w:rPr>
      <w:rFonts w:eastAsia="Times New Roman" w:cstheme="minorHAnsi"/>
      <w:b/>
      <w:caps/>
      <w:sz w:val="28"/>
      <w:szCs w:val="20"/>
      <w:lang w:eastAsia="fr-FR"/>
    </w:rPr>
  </w:style>
  <w:style w:type="paragraph" w:styleId="TM3">
    <w:name w:val="toc 3"/>
    <w:basedOn w:val="Normal"/>
    <w:next w:val="Normal"/>
    <w:autoRedefine/>
    <w:uiPriority w:val="39"/>
    <w:unhideWhenUsed/>
    <w:rsid w:val="002D4271"/>
    <w:pPr>
      <w:tabs>
        <w:tab w:val="left" w:pos="851"/>
        <w:tab w:val="right" w:leader="dot" w:pos="9628"/>
      </w:tabs>
      <w:ind w:left="403"/>
    </w:pPr>
  </w:style>
  <w:style w:type="paragraph" w:customStyle="1" w:styleId="ParagraphesArticles">
    <w:name w:val="Paragraphes / Articles"/>
    <w:basedOn w:val="Corpsdetexte"/>
    <w:link w:val="ParagraphesArticlesCar"/>
    <w:qFormat/>
    <w:rsid w:val="00676D91"/>
    <w:pPr>
      <w:tabs>
        <w:tab w:val="clear" w:pos="4962"/>
      </w:tabs>
      <w:overflowPunct/>
      <w:autoSpaceDE/>
      <w:autoSpaceDN/>
      <w:adjustRightInd/>
      <w:spacing w:after="160" w:line="288" w:lineRule="auto"/>
      <w:ind w:left="-42"/>
    </w:pPr>
    <w:rPr>
      <w:rFonts w:ascii="Calibri" w:hAnsi="Calibri" w:cs="Calibri"/>
      <w:sz w:val="20"/>
    </w:rPr>
  </w:style>
  <w:style w:type="character" w:customStyle="1" w:styleId="ParagraphesArticlesCar">
    <w:name w:val="Paragraphes / Articles Car"/>
    <w:basedOn w:val="CorpsdetexteCar"/>
    <w:link w:val="ParagraphesArticles"/>
    <w:rsid w:val="00676D91"/>
    <w:rPr>
      <w:rFonts w:ascii="Calibri" w:eastAsia="Times New Roman" w:hAnsi="Calibri" w:cs="Calibri"/>
      <w:sz w:val="20"/>
      <w:szCs w:val="24"/>
      <w:lang w:eastAsia="fr-FR"/>
    </w:rPr>
  </w:style>
  <w:style w:type="paragraph" w:customStyle="1" w:styleId="Default">
    <w:name w:val="Default"/>
    <w:rsid w:val="00CF4752"/>
    <w:pPr>
      <w:autoSpaceDE w:val="0"/>
      <w:autoSpaceDN w:val="0"/>
      <w:adjustRightInd w:val="0"/>
      <w:spacing w:before="0"/>
      <w:ind w:left="0" w:firstLine="0"/>
      <w:jc w:val="left"/>
    </w:pPr>
    <w:rPr>
      <w:rFonts w:ascii="Arial" w:hAnsi="Arial" w:cs="Arial"/>
      <w:color w:val="000000"/>
      <w:sz w:val="24"/>
      <w:szCs w:val="24"/>
    </w:rPr>
  </w:style>
  <w:style w:type="table" w:customStyle="1" w:styleId="Grilledutableau22">
    <w:name w:val="Grille du tableau22"/>
    <w:basedOn w:val="TableauNormal"/>
    <w:next w:val="Grilledutableau"/>
    <w:uiPriority w:val="59"/>
    <w:rsid w:val="00D34372"/>
    <w:pPr>
      <w:spacing w:before="0"/>
      <w:ind w:left="0" w:firstLine="0"/>
      <w:jc w:val="left"/>
    </w:pPr>
    <w:rPr>
      <w:rFonts w:ascii="Arial" w:eastAsia="Times New Roman" w:hAnsi="Arial"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rameclaire-Accent2">
    <w:name w:val="Light Shading Accent 2"/>
    <w:basedOn w:val="TableauNormal"/>
    <w:uiPriority w:val="60"/>
    <w:rsid w:val="007B2690"/>
    <w:pPr>
      <w:spacing w:before="0"/>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steclaire-Accent3">
    <w:name w:val="Light List Accent 3"/>
    <w:basedOn w:val="TableauNormal"/>
    <w:uiPriority w:val="61"/>
    <w:rsid w:val="007B2690"/>
    <w:pPr>
      <w:spacing w:before="0"/>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Tramemoyenne2-Accent3">
    <w:name w:val="Medium Shading 2 Accent 3"/>
    <w:basedOn w:val="TableauNormal"/>
    <w:uiPriority w:val="64"/>
    <w:rsid w:val="007B2690"/>
    <w:pPr>
      <w:spacing w:before="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rillemoyenne3-Accent3">
    <w:name w:val="Medium Grid 3 Accent 3"/>
    <w:basedOn w:val="TableauNormal"/>
    <w:uiPriority w:val="69"/>
    <w:rsid w:val="007B2690"/>
    <w:pPr>
      <w:spacing w:before="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character" w:customStyle="1" w:styleId="Titre4Car">
    <w:name w:val="Titre 4 Car"/>
    <w:basedOn w:val="Policepardfaut"/>
    <w:link w:val="Titre4"/>
    <w:uiPriority w:val="9"/>
    <w:rsid w:val="004D2F56"/>
    <w:rPr>
      <w:rFonts w:asciiTheme="majorHAnsi" w:eastAsiaTheme="majorEastAsia" w:hAnsiTheme="majorHAnsi" w:cstheme="majorBidi"/>
      <w:b/>
      <w:bCs/>
      <w:i/>
      <w:iCs/>
      <w:color w:val="4F81BD" w:themeColor="accent1"/>
      <w:sz w:val="20"/>
      <w:szCs w:val="20"/>
      <w:lang w:eastAsia="fr-FR"/>
    </w:rPr>
  </w:style>
  <w:style w:type="paragraph" w:styleId="NormalWeb">
    <w:name w:val="Normal (Web)"/>
    <w:basedOn w:val="Normal"/>
    <w:uiPriority w:val="99"/>
    <w:semiHidden/>
    <w:unhideWhenUsed/>
    <w:rsid w:val="004D2F56"/>
    <w:pPr>
      <w:spacing w:after="90"/>
      <w:jc w:val="left"/>
    </w:pPr>
    <w:rPr>
      <w:rFonts w:ascii="Times New Roman" w:hAnsi="Times New Roman" w:cs="Times New Roman"/>
      <w:sz w:val="24"/>
      <w:szCs w:val="24"/>
    </w:rPr>
  </w:style>
  <w:style w:type="character" w:customStyle="1" w:styleId="Titre5Car">
    <w:name w:val="Titre 5 Car"/>
    <w:basedOn w:val="Policepardfaut"/>
    <w:link w:val="Titre5"/>
    <w:uiPriority w:val="9"/>
    <w:semiHidden/>
    <w:rsid w:val="003D49BD"/>
    <w:rPr>
      <w:rFonts w:asciiTheme="majorHAnsi" w:eastAsiaTheme="majorEastAsia" w:hAnsiTheme="majorHAnsi" w:cstheme="majorBidi"/>
      <w:color w:val="243F60" w:themeColor="accent1" w:themeShade="7F"/>
      <w:kern w:val="28"/>
      <w:sz w:val="20"/>
      <w:szCs w:val="20"/>
      <w:lang w:eastAsia="fr-FR"/>
    </w:rPr>
  </w:style>
  <w:style w:type="character" w:styleId="Lienhypertextesuivivisit">
    <w:name w:val="FollowedHyperlink"/>
    <w:basedOn w:val="Policepardfaut"/>
    <w:uiPriority w:val="99"/>
    <w:semiHidden/>
    <w:unhideWhenUsed/>
    <w:rsid w:val="001209D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4798561">
      <w:bodyDiv w:val="1"/>
      <w:marLeft w:val="0"/>
      <w:marRight w:val="0"/>
      <w:marTop w:val="0"/>
      <w:marBottom w:val="0"/>
      <w:divBdr>
        <w:top w:val="none" w:sz="0" w:space="0" w:color="auto"/>
        <w:left w:val="none" w:sz="0" w:space="0" w:color="auto"/>
        <w:bottom w:val="none" w:sz="0" w:space="0" w:color="auto"/>
        <w:right w:val="none" w:sz="0" w:space="0" w:color="auto"/>
      </w:divBdr>
    </w:div>
    <w:div w:id="752817691">
      <w:bodyDiv w:val="1"/>
      <w:marLeft w:val="0"/>
      <w:marRight w:val="0"/>
      <w:marTop w:val="0"/>
      <w:marBottom w:val="0"/>
      <w:divBdr>
        <w:top w:val="none" w:sz="0" w:space="0" w:color="auto"/>
        <w:left w:val="none" w:sz="0" w:space="0" w:color="auto"/>
        <w:bottom w:val="none" w:sz="0" w:space="0" w:color="auto"/>
        <w:right w:val="none" w:sz="0" w:space="0" w:color="auto"/>
      </w:divBdr>
    </w:div>
    <w:div w:id="761875934">
      <w:bodyDiv w:val="1"/>
      <w:marLeft w:val="0"/>
      <w:marRight w:val="0"/>
      <w:marTop w:val="0"/>
      <w:marBottom w:val="0"/>
      <w:divBdr>
        <w:top w:val="none" w:sz="0" w:space="0" w:color="auto"/>
        <w:left w:val="none" w:sz="0" w:space="0" w:color="auto"/>
        <w:bottom w:val="none" w:sz="0" w:space="0" w:color="auto"/>
        <w:right w:val="none" w:sz="0" w:space="0" w:color="auto"/>
      </w:divBdr>
    </w:div>
    <w:div w:id="942690092">
      <w:bodyDiv w:val="1"/>
      <w:marLeft w:val="0"/>
      <w:marRight w:val="0"/>
      <w:marTop w:val="0"/>
      <w:marBottom w:val="0"/>
      <w:divBdr>
        <w:top w:val="none" w:sz="0" w:space="0" w:color="auto"/>
        <w:left w:val="none" w:sz="0" w:space="0" w:color="auto"/>
        <w:bottom w:val="none" w:sz="0" w:space="0" w:color="auto"/>
        <w:right w:val="none" w:sz="0" w:space="0" w:color="auto"/>
      </w:divBdr>
    </w:div>
    <w:div w:id="1164273280">
      <w:bodyDiv w:val="1"/>
      <w:marLeft w:val="0"/>
      <w:marRight w:val="0"/>
      <w:marTop w:val="0"/>
      <w:marBottom w:val="0"/>
      <w:divBdr>
        <w:top w:val="none" w:sz="0" w:space="0" w:color="auto"/>
        <w:left w:val="none" w:sz="0" w:space="0" w:color="auto"/>
        <w:bottom w:val="none" w:sz="0" w:space="0" w:color="auto"/>
        <w:right w:val="none" w:sz="0" w:space="0" w:color="auto"/>
      </w:divBdr>
      <w:divsChild>
        <w:div w:id="19208526">
          <w:marLeft w:val="0"/>
          <w:marRight w:val="0"/>
          <w:marTop w:val="0"/>
          <w:marBottom w:val="0"/>
          <w:divBdr>
            <w:top w:val="none" w:sz="0" w:space="0" w:color="auto"/>
            <w:left w:val="none" w:sz="0" w:space="0" w:color="auto"/>
            <w:bottom w:val="none" w:sz="0" w:space="0" w:color="auto"/>
            <w:right w:val="none" w:sz="0" w:space="0" w:color="auto"/>
          </w:divBdr>
          <w:divsChild>
            <w:div w:id="874580622">
              <w:marLeft w:val="0"/>
              <w:marRight w:val="0"/>
              <w:marTop w:val="0"/>
              <w:marBottom w:val="0"/>
              <w:divBdr>
                <w:top w:val="none" w:sz="0" w:space="0" w:color="auto"/>
                <w:left w:val="none" w:sz="0" w:space="0" w:color="auto"/>
                <w:bottom w:val="none" w:sz="0" w:space="0" w:color="auto"/>
                <w:right w:val="none" w:sz="0" w:space="0" w:color="auto"/>
              </w:divBdr>
              <w:divsChild>
                <w:div w:id="1607301874">
                  <w:marLeft w:val="3300"/>
                  <w:marRight w:val="75"/>
                  <w:marTop w:val="0"/>
                  <w:marBottom w:val="0"/>
                  <w:divBdr>
                    <w:top w:val="none" w:sz="0" w:space="0" w:color="auto"/>
                    <w:left w:val="none" w:sz="0" w:space="0" w:color="auto"/>
                    <w:bottom w:val="none" w:sz="0" w:space="0" w:color="auto"/>
                    <w:right w:val="none" w:sz="0" w:space="0" w:color="auto"/>
                  </w:divBdr>
                  <w:divsChild>
                    <w:div w:id="28531207">
                      <w:marLeft w:val="0"/>
                      <w:marRight w:val="0"/>
                      <w:marTop w:val="0"/>
                      <w:marBottom w:val="225"/>
                      <w:divBdr>
                        <w:top w:val="single" w:sz="6" w:space="8" w:color="004242"/>
                        <w:left w:val="single" w:sz="6" w:space="8" w:color="004242"/>
                        <w:bottom w:val="single" w:sz="6" w:space="8" w:color="004242"/>
                        <w:right w:val="single" w:sz="6" w:space="8" w:color="004242"/>
                      </w:divBdr>
                      <w:divsChild>
                        <w:div w:id="46369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5502780">
      <w:bodyDiv w:val="1"/>
      <w:marLeft w:val="0"/>
      <w:marRight w:val="0"/>
      <w:marTop w:val="0"/>
      <w:marBottom w:val="0"/>
      <w:divBdr>
        <w:top w:val="none" w:sz="0" w:space="0" w:color="auto"/>
        <w:left w:val="none" w:sz="0" w:space="0" w:color="auto"/>
        <w:bottom w:val="none" w:sz="0" w:space="0" w:color="auto"/>
        <w:right w:val="none" w:sz="0" w:space="0" w:color="auto"/>
      </w:divBdr>
    </w:div>
    <w:div w:id="1924532807">
      <w:bodyDiv w:val="1"/>
      <w:marLeft w:val="0"/>
      <w:marRight w:val="0"/>
      <w:marTop w:val="0"/>
      <w:marBottom w:val="0"/>
      <w:divBdr>
        <w:top w:val="none" w:sz="0" w:space="0" w:color="auto"/>
        <w:left w:val="none" w:sz="0" w:space="0" w:color="auto"/>
        <w:bottom w:val="none" w:sz="0" w:space="0" w:color="auto"/>
        <w:right w:val="none" w:sz="0" w:space="0" w:color="auto"/>
      </w:divBdr>
      <w:divsChild>
        <w:div w:id="192497955">
          <w:marLeft w:val="0"/>
          <w:marRight w:val="0"/>
          <w:marTop w:val="0"/>
          <w:marBottom w:val="0"/>
          <w:divBdr>
            <w:top w:val="none" w:sz="0" w:space="0" w:color="auto"/>
            <w:left w:val="none" w:sz="0" w:space="0" w:color="auto"/>
            <w:bottom w:val="none" w:sz="0" w:space="0" w:color="auto"/>
            <w:right w:val="none" w:sz="0" w:space="0" w:color="auto"/>
          </w:divBdr>
          <w:divsChild>
            <w:div w:id="2085254980">
              <w:marLeft w:val="0"/>
              <w:marRight w:val="0"/>
              <w:marTop w:val="0"/>
              <w:marBottom w:val="0"/>
              <w:divBdr>
                <w:top w:val="none" w:sz="0" w:space="0" w:color="auto"/>
                <w:left w:val="none" w:sz="0" w:space="0" w:color="auto"/>
                <w:bottom w:val="none" w:sz="0" w:space="0" w:color="auto"/>
                <w:right w:val="none" w:sz="0" w:space="0" w:color="auto"/>
              </w:divBdr>
              <w:divsChild>
                <w:div w:id="849563957">
                  <w:marLeft w:val="3300"/>
                  <w:marRight w:val="75"/>
                  <w:marTop w:val="0"/>
                  <w:marBottom w:val="0"/>
                  <w:divBdr>
                    <w:top w:val="none" w:sz="0" w:space="0" w:color="auto"/>
                    <w:left w:val="none" w:sz="0" w:space="0" w:color="auto"/>
                    <w:bottom w:val="none" w:sz="0" w:space="0" w:color="auto"/>
                    <w:right w:val="none" w:sz="0" w:space="0" w:color="auto"/>
                  </w:divBdr>
                  <w:divsChild>
                    <w:div w:id="1788817296">
                      <w:marLeft w:val="0"/>
                      <w:marRight w:val="0"/>
                      <w:marTop w:val="0"/>
                      <w:marBottom w:val="225"/>
                      <w:divBdr>
                        <w:top w:val="single" w:sz="6" w:space="8" w:color="004242"/>
                        <w:left w:val="single" w:sz="6" w:space="8" w:color="004242"/>
                        <w:bottom w:val="single" w:sz="6" w:space="8" w:color="004242"/>
                        <w:right w:val="single" w:sz="6" w:space="8" w:color="004242"/>
                      </w:divBdr>
                      <w:divsChild>
                        <w:div w:id="1927878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4841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economie.gouv.fr/daj" TargetMode="External"/><Relationship Id="rId18" Type="http://schemas.openxmlformats.org/officeDocument/2006/relationships/hyperlink" Target="https://www.marche-publics.gouv.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arches-publics.gouv.fr/" TargetMode="External"/><Relationship Id="rId17" Type="http://schemas.openxmlformats.org/officeDocument/2006/relationships/hyperlink" Target="mailto:achat-marche.cpam-gironde@assurance-maladie.fr" TargetMode="External"/><Relationship Id="rId2" Type="http://schemas.openxmlformats.org/officeDocument/2006/relationships/numbering" Target="numbering.xml"/><Relationship Id="rId16" Type="http://schemas.openxmlformats.org/officeDocument/2006/relationships/hyperlink" Target="https://mon.urssaf.f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chat-marche.cpam-bordeaux@assurance-maladie.fr" TargetMode="External"/><Relationship Id="rId5" Type="http://schemas.openxmlformats.org/officeDocument/2006/relationships/webSettings" Target="webSettings.xml"/><Relationship Id="rId15" Type="http://schemas.openxmlformats.org/officeDocument/2006/relationships/hyperlink" Target="http://www.impots.gouv.fr" TargetMode="Externa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marches-publics.gouv.fr/"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87DF11-9684-41EE-8935-960C4FC1B9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248</TotalTime>
  <Pages>22</Pages>
  <Words>8809</Words>
  <Characters>48454</Characters>
  <Application>Microsoft Office Word</Application>
  <DocSecurity>0</DocSecurity>
  <Lines>403</Lines>
  <Paragraphs>114</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57149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"TIBERTI-06362"</dc:creator>
  <cp:lastModifiedBy>GUINDO AHMED TIDIANE (CPAM GIRONDE)</cp:lastModifiedBy>
  <cp:revision>7</cp:revision>
  <cp:lastPrinted>2025-02-28T12:59:00Z</cp:lastPrinted>
  <dcterms:created xsi:type="dcterms:W3CDTF">2025-02-04T15:00:00Z</dcterms:created>
  <dcterms:modified xsi:type="dcterms:W3CDTF">2025-02-28T13:00:00Z</dcterms:modified>
</cp:coreProperties>
</file>