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08D0905F" w14:textId="1F0EAE8B" w:rsidR="00055BC9" w:rsidRDefault="00A217F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16011A62">
                    <wp:simplePos x="0" y="0"/>
                    <wp:positionH relativeFrom="margin">
                      <wp:posOffset>4796155</wp:posOffset>
                    </wp:positionH>
                    <wp:positionV relativeFrom="topMargin">
                      <wp:posOffset>485774</wp:posOffset>
                    </wp:positionV>
                    <wp:extent cx="1631950" cy="408305"/>
                    <wp:effectExtent l="0" t="0" r="635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31950" cy="4083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CC646C" w14:textId="777EA699" w:rsidR="00313E59" w:rsidRDefault="00A217F6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</w:t>
                                </w:r>
                                <w:r w:rsidR="002D1AF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2023</w:t>
                                </w:r>
                                <w:r w:rsidR="00FB1C7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 w:rsidR="002D1AF5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001712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7.65pt;margin-top:38.25pt;width:128.5pt;height:32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4CCC646C" w14:textId="777EA699" w:rsidR="00313E59" w:rsidRDefault="00A217F6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</w:t>
                          </w:r>
                          <w:r w:rsidR="002D1AF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2023</w:t>
                          </w:r>
                          <w:r w:rsidR="00FB1C7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 w:rsidR="002D1AF5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001712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B22C85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4762BDF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321D6EF0" w14:textId="57A025C7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EF751C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et Organisationnel du Lot n°3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4DB22C85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4762BDF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321D6EF0" w14:textId="57A025C7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EF751C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et Organisationnel du Lot n°3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2E35C35B" w14:textId="77777777" w:rsidR="00055BC9" w:rsidRDefault="00055BC9"/>
        <w:p w14:paraId="5F944F8D" w14:textId="77777777" w:rsidR="00055BC9" w:rsidRDefault="00055BC9"/>
        <w:p w14:paraId="57BCB7BA" w14:textId="77777777" w:rsidR="00055BC9" w:rsidRDefault="00055BC9"/>
        <w:p w14:paraId="7DE13CCC" w14:textId="77777777" w:rsidR="00055BC9" w:rsidRDefault="00055BC9"/>
        <w:p w14:paraId="4C79201A" w14:textId="4C71687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7EAFB9EC" wp14:editId="367C9782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493689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19BE0E3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2B345C20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12BF130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AFB9EC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E493689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19BE0E3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2B345C20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12BF130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64CD2AF8" wp14:editId="457E747C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E51F2F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6BEA1C99" w14:textId="7F9EB465" w:rsidR="00313E59" w:rsidRPr="000D41D6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D41D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Service d’Infrastructure de la Défense </w:t>
                                </w:r>
                                <w:r w:rsidR="007F51BA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CD2AF8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7E51F2F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6BEA1C99" w14:textId="7F9EB465" w:rsidR="00313E59" w:rsidRPr="000D41D6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D41D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Service d’Infrastructure de la Défense </w:t>
                          </w:r>
                          <w:r w:rsidR="007F51BA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8356BE8" w14:textId="77777777" w:rsidR="00055BC9" w:rsidRDefault="00055BC9"/>
        <w:p w14:paraId="147999F8" w14:textId="77777777" w:rsidR="008B4C0A" w:rsidRDefault="008B4C0A"/>
        <w:p w14:paraId="18148E25" w14:textId="77777777" w:rsidR="008B4C0A" w:rsidRDefault="008B4C0A"/>
        <w:p w14:paraId="679DED1E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0E3C7F68" wp14:editId="6E86C3CC">
                    <wp:simplePos x="0" y="0"/>
                    <wp:positionH relativeFrom="column">
                      <wp:posOffset>2034236</wp:posOffset>
                    </wp:positionH>
                    <wp:positionV relativeFrom="paragraph">
                      <wp:posOffset>51325</wp:posOffset>
                    </wp:positionV>
                    <wp:extent cx="4433570" cy="1492112"/>
                    <wp:effectExtent l="0" t="0" r="24130" b="1333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921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942DAF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30A96BBD" w14:textId="74725BA7" w:rsidR="00313E59" w:rsidRPr="00005185" w:rsidRDefault="00B53412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6E971157" w14:textId="0EB19968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 w:rsidR="00B53412"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: </w:t>
                                </w:r>
                                <w:r w:rsidR="008A2A9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ADC DAURIOS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3C7F68" id="Zone de texte 35" o:spid="_x0000_s1030" type="#_x0000_t202" style="position:absolute;left:0;text-align:left;margin-left:160.2pt;margin-top:4.05pt;width:349.1pt;height:117.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5942DAF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30A96BBD" w14:textId="74725BA7" w:rsidR="00313E59" w:rsidRPr="00005185" w:rsidRDefault="00B53412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6E971157" w14:textId="0EB19968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 w:rsidR="00B53412"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: </w:t>
                          </w:r>
                          <w:r w:rsidR="008A2A9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ADC DAURIOS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813516" w14:textId="77777777" w:rsidR="008B4C0A" w:rsidRDefault="008B4C0A"/>
        <w:p w14:paraId="5BDE57D8" w14:textId="77777777" w:rsidR="008B4C0A" w:rsidRDefault="008B4C0A"/>
        <w:p w14:paraId="7BDCE4EA" w14:textId="77777777" w:rsidR="008B4C0A" w:rsidRDefault="008B4C0A"/>
        <w:p w14:paraId="6446D0FA" w14:textId="77777777" w:rsidR="008B4C0A" w:rsidRDefault="008B4C0A"/>
        <w:p w14:paraId="0BCBFD4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D7545B" w14:textId="75290C66" w:rsidR="00313E59" w:rsidRPr="00005185" w:rsidRDefault="008A2A93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1C42464" w14:textId="77777777" w:rsidR="003F64A6" w:rsidRDefault="003F64A6" w:rsidP="003F64A6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351D73"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  <w:vertAlign w:val="superscript"/>
                                  </w:rPr>
                                  <w:t>er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RTP - QUARTIER EDME – 31000 TOULOUSE – Création d’un magasin à munitions</w:t>
                                </w:r>
                              </w:p>
                              <w:p w14:paraId="6CB4EF7C" w14:textId="46AACF12" w:rsidR="003F64A6" w:rsidRDefault="003F64A6" w:rsidP="003F64A6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Haute Garonne (31</w:t>
                                </w:r>
                                <w:r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21D6C35A" w14:textId="52C18528" w:rsidR="00A65389" w:rsidRPr="00D01685" w:rsidRDefault="00A65389" w:rsidP="003F64A6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Lot n°3</w:t>
                                </w:r>
                                <w:r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A65389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Electricité (CFO/CFA – </w:t>
                                </w:r>
                                <w:r w:rsidRPr="00A65389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Incendie)</w:t>
                                </w:r>
                                <w:bookmarkStart w:id="0" w:name="_GoBack"/>
                                <w:bookmarkEnd w:id="0"/>
                              </w:p>
                              <w:p w14:paraId="060903C2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BD7545B" w14:textId="75290C66" w:rsidR="00313E59" w:rsidRPr="00005185" w:rsidRDefault="008A2A93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1C42464" w14:textId="77777777" w:rsidR="003F64A6" w:rsidRDefault="003F64A6" w:rsidP="003F64A6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351D73"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Pr="00E23427">
                            <w:rPr>
                              <w:rFonts w:cs="Arial"/>
                              <w:iCs/>
                              <w:sz w:val="22"/>
                              <w:szCs w:val="22"/>
                              <w:vertAlign w:val="superscript"/>
                            </w:rPr>
                            <w:t>er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RTP - QUARTIER EDME – 31000 TOULOUSE – Création d’un magasin à munitions</w:t>
                          </w:r>
                        </w:p>
                        <w:p w14:paraId="6CB4EF7C" w14:textId="46AACF12" w:rsidR="003F64A6" w:rsidRDefault="003F64A6" w:rsidP="003F64A6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Haute Garonne (31</w:t>
                          </w:r>
                          <w:r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21D6C35A" w14:textId="52C18528" w:rsidR="00A65389" w:rsidRPr="00D01685" w:rsidRDefault="00A65389" w:rsidP="003F64A6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Lot n°3</w:t>
                          </w:r>
                          <w:r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A65389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Electricité (CFO/CFA – </w:t>
                          </w:r>
                          <w:r w:rsidRPr="00A65389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Incendie)</w:t>
                          </w:r>
                          <w:bookmarkStart w:id="1" w:name="_GoBack"/>
                          <w:bookmarkEnd w:id="1"/>
                        </w:p>
                        <w:p w14:paraId="060903C2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22E1CAE6" w14:textId="77777777" w:rsidR="008B4C0A" w:rsidRDefault="008B4C0A"/>
        <w:p w14:paraId="4B318D7B" w14:textId="77777777" w:rsidR="008B4C0A" w:rsidRDefault="008B4C0A"/>
        <w:p w14:paraId="470D7CCD" w14:textId="77777777" w:rsidR="008B4C0A" w:rsidRDefault="008B4C0A"/>
        <w:p w14:paraId="6B79AB7F" w14:textId="77777777" w:rsidR="008B4C0A" w:rsidRDefault="008B4C0A"/>
        <w:p w14:paraId="35B51DF9" w14:textId="77777777" w:rsidR="008B4C0A" w:rsidRDefault="008B4C0A"/>
        <w:p w14:paraId="004BB699" w14:textId="77777777" w:rsidR="008B4C0A" w:rsidRDefault="008B4C0A"/>
        <w:p w14:paraId="73A8B697" w14:textId="77777777" w:rsidR="008B4C0A" w:rsidRDefault="008B4C0A"/>
        <w:p w14:paraId="47BC208A" w14:textId="6BF0AE78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18FE7B21" w14:textId="77777777" w:rsidR="00410AFD" w:rsidRDefault="00F11479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2"/>
        <w:gridCol w:w="6992"/>
      </w:tblGrid>
      <w:tr w:rsidR="00FB1C70" w:rsidRPr="006A1EE6" w14:paraId="7C027B39" w14:textId="77777777" w:rsidTr="00FB1C70">
        <w:trPr>
          <w:trHeight w:val="1637"/>
        </w:trPr>
        <w:tc>
          <w:tcPr>
            <w:tcW w:w="7002" w:type="dxa"/>
            <w:shd w:val="clear" w:color="auto" w:fill="auto"/>
          </w:tcPr>
          <w:p w14:paraId="451E67A9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64065D01" w14:textId="3A7BA02D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2" w:type="dxa"/>
            <w:shd w:val="clear" w:color="auto" w:fill="auto"/>
          </w:tcPr>
          <w:p w14:paraId="33BCB9C3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632ACCDF" w14:textId="6A2F3864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B1C70" w:rsidRPr="003B66F6" w14:paraId="0FA8EA2A" w14:textId="77777777" w:rsidTr="00345594">
        <w:tc>
          <w:tcPr>
            <w:tcW w:w="7002" w:type="dxa"/>
            <w:shd w:val="clear" w:color="auto" w:fill="auto"/>
          </w:tcPr>
          <w:p w14:paraId="7D3C796C" w14:textId="494490F8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Descriptif des procéd</w:t>
            </w:r>
            <w:r w:rsidR="00EF751C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ures d’exécution comprenant plans, notes de calculs, procédures de réalisation des éléments suivant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 (15 points)</w:t>
            </w:r>
            <w:r w:rsidR="00EF751C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 :</w:t>
            </w:r>
          </w:p>
          <w:p w14:paraId="00754E1B" w14:textId="45D63BBB" w:rsidR="00FB1C70" w:rsidRPr="00632E4B" w:rsidRDefault="002F7A5B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d’exécution </w:t>
            </w:r>
            <w:r w:rsidR="00BF690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de l’alimentation et la distribution du courant fort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(5</w:t>
            </w:r>
            <w:r w:rsidR="00FB1C70" w:rsidRPr="00963E1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65305AB" w14:textId="2B729812" w:rsidR="00FB1C70" w:rsidRPr="00632E4B" w:rsidRDefault="00FB1C70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d’exécution des </w:t>
            </w:r>
            <w:r w:rsidR="00BF690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éclairages</w:t>
            </w:r>
            <w:r w:rsidR="00DA1B59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(5</w:t>
            </w:r>
            <w:r w:rsidRPr="00963E1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956F51D" w14:textId="3546A187" w:rsidR="00FB1C70" w:rsidRPr="00963E17" w:rsidRDefault="00FB1C70" w:rsidP="00BF690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d’exécution </w:t>
            </w:r>
            <w:r w:rsidR="00BF690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du système de sécurité icendie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(5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 </w:t>
            </w:r>
          </w:p>
        </w:tc>
        <w:tc>
          <w:tcPr>
            <w:tcW w:w="6992" w:type="dxa"/>
            <w:shd w:val="clear" w:color="auto" w:fill="auto"/>
          </w:tcPr>
          <w:p w14:paraId="28062AE9" w14:textId="389443F6" w:rsidR="00FB1C70" w:rsidRPr="003B66F6" w:rsidRDefault="00FB1C70" w:rsidP="00FB1C7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B1C70" w:rsidRPr="003B66F6" w14:paraId="187DC9AD" w14:textId="77777777" w:rsidTr="00345594">
        <w:tc>
          <w:tcPr>
            <w:tcW w:w="7002" w:type="dxa"/>
            <w:shd w:val="clear" w:color="auto" w:fill="auto"/>
          </w:tcPr>
          <w:p w14:paraId="7CE330DD" w14:textId="6D5397C1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Fourniture d’un planning détaillé (3 points)</w:t>
            </w:r>
          </w:p>
          <w:p w14:paraId="5D6AD35E" w14:textId="1CF6C46C" w:rsidR="00FB1C70" w:rsidRPr="00FB1C70" w:rsidRDefault="00FB1C70" w:rsidP="006B6571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FB1C7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Fournir un planning détaillé en cohérence avec le planning prévisionnel </w:t>
            </w:r>
            <w:r w:rsidR="006B6571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joint à la consultation (La séparation des taches et des phases y/c phase préparatoire, le phasage des travaux).</w:t>
            </w:r>
            <w:r w:rsidRPr="00FB1C7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</w:p>
        </w:tc>
        <w:tc>
          <w:tcPr>
            <w:tcW w:w="6992" w:type="dxa"/>
            <w:shd w:val="clear" w:color="auto" w:fill="auto"/>
          </w:tcPr>
          <w:p w14:paraId="663BA034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B1C70" w:rsidRPr="003B66F6" w14:paraId="2583E9C3" w14:textId="77777777" w:rsidTr="00345594">
        <w:tc>
          <w:tcPr>
            <w:tcW w:w="7002" w:type="dxa"/>
            <w:shd w:val="clear" w:color="auto" w:fill="auto"/>
          </w:tcPr>
          <w:p w14:paraId="7BFA2A05" w14:textId="12FC7CDF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Organisat</w:t>
            </w:r>
            <w:r w:rsid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ion du chantier 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(2 points)</w:t>
            </w:r>
          </w:p>
          <w:p w14:paraId="38E450AE" w14:textId="63D4636E" w:rsidR="00D5723B" w:rsidRPr="00D5723B" w:rsidRDefault="00D5723B" w:rsidP="00D5723B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humains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proofErr w:type="spellStart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oeuvre</w:t>
            </w:r>
            <w:proofErr w:type="spellEnd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lé présenté à l’item précédent 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  <w:p w14:paraId="4A91E6DC" w14:textId="4073805B" w:rsidR="00FB1C70" w:rsidRPr="00D5723B" w:rsidRDefault="00D5723B" w:rsidP="00D5723B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 matériels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proofErr w:type="spellStart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oeuvre</w:t>
            </w:r>
            <w:proofErr w:type="spellEnd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lé présenté à l’item précédent 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</w:tc>
        <w:tc>
          <w:tcPr>
            <w:tcW w:w="6992" w:type="dxa"/>
            <w:shd w:val="clear" w:color="auto" w:fill="auto"/>
          </w:tcPr>
          <w:p w14:paraId="5A5261EF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2"/>
    </w:tbl>
    <w:p w14:paraId="1F54F89D" w14:textId="77777777" w:rsidR="00345594" w:rsidRDefault="00345594" w:rsidP="00345594">
      <w:pPr>
        <w:spacing w:after="0" w:line="240" w:lineRule="auto"/>
      </w:pPr>
    </w:p>
    <w:sectPr w:rsidR="00345594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0E599F" w14:textId="77777777" w:rsidR="00F11479" w:rsidRDefault="00F11479" w:rsidP="00EA6B59">
      <w:pPr>
        <w:spacing w:after="0" w:line="240" w:lineRule="auto"/>
      </w:pPr>
      <w:r>
        <w:separator/>
      </w:r>
    </w:p>
  </w:endnote>
  <w:endnote w:type="continuationSeparator" w:id="0">
    <w:p w14:paraId="547A1E02" w14:textId="77777777" w:rsidR="00F11479" w:rsidRDefault="00F11479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7C0D0F66" w14:textId="55021BD1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23B">
          <w:rPr>
            <w:noProof/>
          </w:rPr>
          <w:t>1</w:t>
        </w:r>
        <w:r>
          <w:fldChar w:fldCharType="end"/>
        </w:r>
      </w:p>
    </w:sdtContent>
  </w:sdt>
  <w:p w14:paraId="1C14AD59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BB703F" w14:textId="77777777" w:rsidR="00F11479" w:rsidRDefault="00F11479" w:rsidP="00EA6B59">
      <w:pPr>
        <w:spacing w:after="0" w:line="240" w:lineRule="auto"/>
      </w:pPr>
      <w:r>
        <w:separator/>
      </w:r>
    </w:p>
  </w:footnote>
  <w:footnote w:type="continuationSeparator" w:id="0">
    <w:p w14:paraId="075BA555" w14:textId="77777777" w:rsidR="00F11479" w:rsidRDefault="00F11479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C674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CA3184"/>
    <w:multiLevelType w:val="hybridMultilevel"/>
    <w:tmpl w:val="8A765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7A8"/>
    <w:multiLevelType w:val="hybridMultilevel"/>
    <w:tmpl w:val="808C0C4E"/>
    <w:lvl w:ilvl="0" w:tplc="C1DEF870">
      <w:numFmt w:val="bullet"/>
      <w:lvlText w:val="-"/>
      <w:lvlJc w:val="left"/>
      <w:pPr>
        <w:ind w:left="81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4009"/>
    <w:multiLevelType w:val="hybridMultilevel"/>
    <w:tmpl w:val="A3D220CC"/>
    <w:lvl w:ilvl="0" w:tplc="040C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5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D2F20"/>
    <w:multiLevelType w:val="hybridMultilevel"/>
    <w:tmpl w:val="3B56A4FE"/>
    <w:lvl w:ilvl="0" w:tplc="8A62369C">
      <w:numFmt w:val="bullet"/>
      <w:lvlText w:val="-"/>
      <w:lvlJc w:val="left"/>
      <w:pPr>
        <w:ind w:left="19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7" w15:restartNumberingAfterBreak="0">
    <w:nsid w:val="2DD0532C"/>
    <w:multiLevelType w:val="hybridMultilevel"/>
    <w:tmpl w:val="BB66E5E4"/>
    <w:lvl w:ilvl="0" w:tplc="040C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8" w15:restartNumberingAfterBreak="0">
    <w:nsid w:val="3204763D"/>
    <w:multiLevelType w:val="hybridMultilevel"/>
    <w:tmpl w:val="A320B4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56E"/>
    <w:multiLevelType w:val="hybridMultilevel"/>
    <w:tmpl w:val="C06ED8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471F1"/>
    <w:multiLevelType w:val="hybridMultilevel"/>
    <w:tmpl w:val="171E60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0451C"/>
    <w:multiLevelType w:val="hybridMultilevel"/>
    <w:tmpl w:val="1E18F2C0"/>
    <w:lvl w:ilvl="0" w:tplc="F05E0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4F203EF6"/>
    <w:multiLevelType w:val="hybridMultilevel"/>
    <w:tmpl w:val="3C7E2D12"/>
    <w:lvl w:ilvl="0" w:tplc="70E2F7DC">
      <w:numFmt w:val="bullet"/>
      <w:lvlText w:val="-"/>
      <w:lvlJc w:val="left"/>
      <w:pPr>
        <w:ind w:left="1072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510E500B"/>
    <w:multiLevelType w:val="hybridMultilevel"/>
    <w:tmpl w:val="54C0BABC"/>
    <w:lvl w:ilvl="0" w:tplc="8A62369C">
      <w:numFmt w:val="bullet"/>
      <w:lvlText w:val="-"/>
      <w:lvlJc w:val="left"/>
      <w:pPr>
        <w:ind w:left="153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6E69791D"/>
    <w:multiLevelType w:val="hybridMultilevel"/>
    <w:tmpl w:val="55589F3A"/>
    <w:lvl w:ilvl="0" w:tplc="69D0AFFC">
      <w:numFmt w:val="bullet"/>
      <w:lvlText w:val="-"/>
      <w:lvlJc w:val="righ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24"/>
  </w:num>
  <w:num w:numId="10">
    <w:abstractNumId w:val="24"/>
  </w:num>
  <w:num w:numId="11">
    <w:abstractNumId w:val="0"/>
  </w:num>
  <w:num w:numId="12">
    <w:abstractNumId w:val="17"/>
  </w:num>
  <w:num w:numId="13">
    <w:abstractNumId w:val="5"/>
  </w:num>
  <w:num w:numId="14">
    <w:abstractNumId w:val="14"/>
  </w:num>
  <w:num w:numId="15">
    <w:abstractNumId w:val="20"/>
  </w:num>
  <w:num w:numId="16">
    <w:abstractNumId w:val="18"/>
  </w:num>
  <w:num w:numId="17">
    <w:abstractNumId w:val="25"/>
  </w:num>
  <w:num w:numId="18">
    <w:abstractNumId w:val="11"/>
  </w:num>
  <w:num w:numId="19">
    <w:abstractNumId w:val="19"/>
  </w:num>
  <w:num w:numId="20">
    <w:abstractNumId w:val="21"/>
  </w:num>
  <w:num w:numId="21">
    <w:abstractNumId w:val="3"/>
  </w:num>
  <w:num w:numId="22">
    <w:abstractNumId w:val="2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2"/>
  </w:num>
  <w:num w:numId="27">
    <w:abstractNumId w:val="13"/>
  </w:num>
  <w:num w:numId="28">
    <w:abstractNumId w:val="9"/>
  </w:num>
  <w:num w:numId="29">
    <w:abstractNumId w:val="15"/>
  </w:num>
  <w:num w:numId="30">
    <w:abstractNumId w:val="2"/>
  </w:num>
  <w:num w:numId="31">
    <w:abstractNumId w:val="4"/>
  </w:num>
  <w:num w:numId="32">
    <w:abstractNumId w:val="7"/>
  </w:num>
  <w:num w:numId="33">
    <w:abstractNumId w:val="8"/>
  </w:num>
  <w:num w:numId="34">
    <w:abstractNumId w:val="10"/>
  </w:num>
  <w:num w:numId="35">
    <w:abstractNumId w:val="16"/>
  </w:num>
  <w:num w:numId="36">
    <w:abstractNumId w:val="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41D6"/>
    <w:rsid w:val="000E63CB"/>
    <w:rsid w:val="000F275F"/>
    <w:rsid w:val="000F38D9"/>
    <w:rsid w:val="00104D53"/>
    <w:rsid w:val="00105BD0"/>
    <w:rsid w:val="001125C0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1AF5"/>
    <w:rsid w:val="002F560C"/>
    <w:rsid w:val="002F7A5B"/>
    <w:rsid w:val="00302298"/>
    <w:rsid w:val="00313E59"/>
    <w:rsid w:val="003200C4"/>
    <w:rsid w:val="00331F9E"/>
    <w:rsid w:val="00341EEF"/>
    <w:rsid w:val="003429B5"/>
    <w:rsid w:val="00345594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F64A6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06C5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2E4B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6571"/>
    <w:rsid w:val="006B767A"/>
    <w:rsid w:val="006C3B18"/>
    <w:rsid w:val="006C7AB8"/>
    <w:rsid w:val="006E471F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86E58"/>
    <w:rsid w:val="007965CB"/>
    <w:rsid w:val="0079722F"/>
    <w:rsid w:val="007A4173"/>
    <w:rsid w:val="007A6552"/>
    <w:rsid w:val="007B42E0"/>
    <w:rsid w:val="007B7801"/>
    <w:rsid w:val="007C18BA"/>
    <w:rsid w:val="007C2D7B"/>
    <w:rsid w:val="007C53C4"/>
    <w:rsid w:val="007C7503"/>
    <w:rsid w:val="007E5526"/>
    <w:rsid w:val="007F2911"/>
    <w:rsid w:val="007F51BA"/>
    <w:rsid w:val="007F57AB"/>
    <w:rsid w:val="007F7034"/>
    <w:rsid w:val="00800A0D"/>
    <w:rsid w:val="008021A1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3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3E17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6EA3"/>
    <w:rsid w:val="00A132C0"/>
    <w:rsid w:val="00A21545"/>
    <w:rsid w:val="00A217F6"/>
    <w:rsid w:val="00A234D4"/>
    <w:rsid w:val="00A36B33"/>
    <w:rsid w:val="00A413FD"/>
    <w:rsid w:val="00A5473E"/>
    <w:rsid w:val="00A65389"/>
    <w:rsid w:val="00A774EA"/>
    <w:rsid w:val="00A97745"/>
    <w:rsid w:val="00AC4351"/>
    <w:rsid w:val="00AC4BDD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578"/>
    <w:rsid w:val="00B2741C"/>
    <w:rsid w:val="00B47966"/>
    <w:rsid w:val="00B53412"/>
    <w:rsid w:val="00B54BC4"/>
    <w:rsid w:val="00B60BDA"/>
    <w:rsid w:val="00B61EAA"/>
    <w:rsid w:val="00B9098A"/>
    <w:rsid w:val="00BA6236"/>
    <w:rsid w:val="00BC69E5"/>
    <w:rsid w:val="00BE4040"/>
    <w:rsid w:val="00BF690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755E4"/>
    <w:rsid w:val="00C82AE3"/>
    <w:rsid w:val="00C87F80"/>
    <w:rsid w:val="00C96EEA"/>
    <w:rsid w:val="00CA3057"/>
    <w:rsid w:val="00CA3F4C"/>
    <w:rsid w:val="00CA5953"/>
    <w:rsid w:val="00CF06D8"/>
    <w:rsid w:val="00D0090A"/>
    <w:rsid w:val="00D01685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5723B"/>
    <w:rsid w:val="00D61232"/>
    <w:rsid w:val="00D71A45"/>
    <w:rsid w:val="00D7354B"/>
    <w:rsid w:val="00D73F5F"/>
    <w:rsid w:val="00D75EF9"/>
    <w:rsid w:val="00D911DE"/>
    <w:rsid w:val="00DA1B59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1972"/>
    <w:rsid w:val="00EF751C"/>
    <w:rsid w:val="00F02DF2"/>
    <w:rsid w:val="00F0787F"/>
    <w:rsid w:val="00F11479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1C70"/>
    <w:rsid w:val="00FB48C0"/>
    <w:rsid w:val="00FB6100"/>
    <w:rsid w:val="00FE1639"/>
    <w:rsid w:val="00FE23D8"/>
    <w:rsid w:val="00FF1ABC"/>
    <w:rsid w:val="00FF5C2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7E14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6920735-F6E8-4931-A685-08B0AE73C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424FA5-5F9C-49CC-A21D-FA83A77C7E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1EFB5-B51A-42D1-96F8-25F0605C41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76A5BD9-DF48-45F4-98A5-E37C141F6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3</TotalTime>
  <Pages>1</Pages>
  <Words>206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6</cp:revision>
  <dcterms:created xsi:type="dcterms:W3CDTF">2025-02-24T10:26:00Z</dcterms:created>
  <dcterms:modified xsi:type="dcterms:W3CDTF">2025-03-04T08:31:00Z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