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2FD" w:rsidRDefault="004E797D">
      <w:pPr>
        <w:pStyle w:val="Titre2"/>
        <w:ind w:firstLine="708"/>
        <w:jc w:val="center"/>
        <w:rPr>
          <w:rFonts w:ascii="Century Gothic" w:hAnsi="Century Gothic" w:cs="Tahoma"/>
          <w:color w:val="002060"/>
          <w:sz w:val="36"/>
          <w:szCs w:val="36"/>
        </w:rPr>
      </w:pPr>
      <w:r>
        <w:rPr>
          <w:rFonts w:ascii="Century Gothic" w:hAnsi="Century Gothic" w:cs="Tahoma"/>
          <w:color w:val="002060"/>
          <w:sz w:val="36"/>
          <w:szCs w:val="36"/>
        </w:rPr>
        <w:t>ANNEXE 2 DU RC</w:t>
      </w:r>
    </w:p>
    <w:p w:rsidR="007F42FD" w:rsidRDefault="007F42FD">
      <w:pPr>
        <w:pStyle w:val="Titre2"/>
        <w:ind w:firstLine="708"/>
        <w:jc w:val="center"/>
        <w:rPr>
          <w:rFonts w:ascii="Century Gothic" w:hAnsi="Century Gothic" w:cs="Tahoma"/>
          <w:color w:val="002060"/>
          <w:sz w:val="36"/>
          <w:szCs w:val="36"/>
        </w:rPr>
      </w:pPr>
    </w:p>
    <w:p w:rsidR="007F42FD" w:rsidRDefault="004E797D">
      <w:pPr>
        <w:pStyle w:val="Titre2"/>
        <w:ind w:firstLine="708"/>
        <w:jc w:val="center"/>
        <w:rPr>
          <w:rFonts w:ascii="Century Gothic" w:hAnsi="Century Gothic" w:cs="Tahoma"/>
          <w:color w:val="002060"/>
          <w:sz w:val="36"/>
          <w:szCs w:val="36"/>
        </w:rPr>
      </w:pPr>
      <w:r>
        <w:rPr>
          <w:rFonts w:ascii="Century Gothic" w:hAnsi="Century Gothic" w:cs="Tahoma"/>
          <w:color w:val="002060"/>
          <w:sz w:val="36"/>
          <w:szCs w:val="36"/>
        </w:rPr>
        <w:t>Cadre de réponse technique</w:t>
      </w:r>
    </w:p>
    <w:p w:rsidR="007F42FD" w:rsidRDefault="007F42FD">
      <w:pPr>
        <w:rPr>
          <w:rFonts w:ascii="Century Gothic" w:hAnsi="Century Gothic"/>
        </w:rPr>
      </w:pPr>
    </w:p>
    <w:p w:rsidR="007F42FD" w:rsidRDefault="004E797D">
      <w:pPr>
        <w:shd w:val="clear" w:color="auto" w:fill="D9D9D9" w:themeFill="background1" w:themeFillShade="D9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PRESTATIONS DE RESTAURATION COLLECTIVE</w:t>
      </w:r>
      <w:r w:rsidR="005575DE">
        <w:rPr>
          <w:rFonts w:ascii="Arial" w:hAnsi="Arial" w:cs="Arial"/>
          <w:b/>
          <w:bCs/>
          <w:u w:val="single"/>
        </w:rPr>
        <w:t xml:space="preserve"> ET DE DISTRIBUTION AUTOMATIQUE</w:t>
      </w:r>
      <w:bookmarkStart w:id="0" w:name="_GoBack"/>
      <w:bookmarkEnd w:id="0"/>
      <w:r>
        <w:rPr>
          <w:rFonts w:ascii="Arial" w:hAnsi="Arial" w:cs="Arial"/>
          <w:b/>
          <w:bCs/>
          <w:u w:val="single"/>
        </w:rPr>
        <w:t xml:space="preserve"> DU SIEGE DE LA CNAM</w:t>
      </w:r>
    </w:p>
    <w:p w:rsidR="007F42FD" w:rsidRDefault="007F42FD">
      <w:pPr>
        <w:shd w:val="clear" w:color="auto" w:fill="D9D9D9" w:themeFill="background1" w:themeFillShade="D9"/>
        <w:rPr>
          <w:rFonts w:ascii="Arial" w:hAnsi="Arial" w:cs="Arial"/>
          <w:b/>
          <w:bCs/>
          <w:u w:val="single"/>
        </w:rPr>
      </w:pPr>
    </w:p>
    <w:p w:rsidR="007F42FD" w:rsidRDefault="004E797D">
      <w:pPr>
        <w:pStyle w:val="Corpsdetexte21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entury Gothic" w:hAnsi="Century Gothic" w:cs="Tahoma"/>
          <w:color w:val="002060"/>
          <w:szCs w:val="24"/>
        </w:rPr>
      </w:pPr>
      <w:r>
        <w:rPr>
          <w:rFonts w:ascii="Century Gothic" w:hAnsi="Century Gothic" w:cs="Tahoma"/>
          <w:color w:val="002060"/>
          <w:szCs w:val="24"/>
        </w:rPr>
        <w:t xml:space="preserve">Tous les candidats sont tenus de compléter le document ci-dessous afin de pouvoir juger de </w:t>
      </w:r>
      <w:r>
        <w:rPr>
          <w:rFonts w:ascii="Century Gothic" w:hAnsi="Century Gothic" w:cs="Tahoma"/>
          <w:color w:val="002060"/>
          <w:szCs w:val="24"/>
          <w:u w:val="single"/>
        </w:rPr>
        <w:t xml:space="preserve">la qualité de la prestation au regard des critères inhérents à la valeur technique de l’offre et à sa dimension environnementale </w:t>
      </w:r>
      <w:r>
        <w:rPr>
          <w:rFonts w:ascii="Century Gothic" w:hAnsi="Century Gothic" w:cs="Tahoma"/>
          <w:color w:val="002060"/>
          <w:szCs w:val="24"/>
        </w:rPr>
        <w:t>(Art. 8.2. Du RC)</w:t>
      </w:r>
    </w:p>
    <w:p w:rsidR="007F42FD" w:rsidRDefault="007F42FD">
      <w:pPr>
        <w:rPr>
          <w:rFonts w:ascii="Arial-BoldMT" w:eastAsiaTheme="minorHAnsi" w:hAnsi="Arial-BoldMT" w:cs="Arial-BoldMT"/>
          <w:b/>
          <w:bCs/>
          <w:sz w:val="22"/>
          <w:szCs w:val="22"/>
          <w:lang w:eastAsia="en-US"/>
        </w:rPr>
      </w:pPr>
    </w:p>
    <w:p w:rsidR="007F42FD" w:rsidRDefault="004E797D">
      <w:pPr>
        <w:jc w:val="both"/>
        <w:rPr>
          <w:rFonts w:ascii="Arial-BoldMT" w:eastAsiaTheme="minorHAnsi" w:hAnsi="Arial-BoldMT" w:cs="Arial-BoldMT"/>
          <w:b/>
          <w:bCs/>
          <w:sz w:val="22"/>
          <w:szCs w:val="22"/>
          <w:lang w:eastAsia="en-US"/>
        </w:rPr>
      </w:pPr>
      <w:r>
        <w:rPr>
          <w:rFonts w:ascii="Arial-BoldMT" w:eastAsiaTheme="minorHAnsi" w:hAnsi="Arial-BoldMT" w:cs="Arial-BoldMT"/>
          <w:b/>
          <w:bCs/>
          <w:sz w:val="22"/>
          <w:szCs w:val="22"/>
          <w:lang w:eastAsia="en-US"/>
        </w:rPr>
        <w:t>Rappel : le mémoire technique est indispensable pour analyser l’offre technique.</w:t>
      </w:r>
    </w:p>
    <w:p w:rsidR="007F42FD" w:rsidRDefault="007F42FD">
      <w:pPr>
        <w:jc w:val="both"/>
        <w:rPr>
          <w:rFonts w:ascii="Arial-BoldMT" w:eastAsiaTheme="minorHAnsi" w:hAnsi="Arial-BoldMT" w:cs="Arial-BoldMT"/>
          <w:b/>
          <w:bCs/>
          <w:sz w:val="22"/>
          <w:szCs w:val="22"/>
          <w:lang w:eastAsia="en-US"/>
        </w:rPr>
      </w:pPr>
    </w:p>
    <w:p w:rsidR="007F42FD" w:rsidRDefault="004E797D">
      <w:pPr>
        <w:jc w:val="both"/>
        <w:rPr>
          <w:rFonts w:ascii="Arial-BoldMT" w:eastAsiaTheme="minorHAnsi" w:hAnsi="Arial-BoldMT" w:cs="Arial-BoldMT"/>
          <w:b/>
          <w:bCs/>
          <w:sz w:val="22"/>
          <w:szCs w:val="22"/>
          <w:lang w:eastAsia="en-US"/>
        </w:rPr>
      </w:pPr>
      <w:r>
        <w:rPr>
          <w:rFonts w:ascii="Arial-BoldMT" w:eastAsiaTheme="minorHAnsi" w:hAnsi="Arial-BoldMT" w:cs="Arial-BoldMT"/>
          <w:b/>
          <w:bCs/>
          <w:sz w:val="22"/>
          <w:szCs w:val="22"/>
          <w:lang w:eastAsia="en-US"/>
        </w:rPr>
        <w:t>En conséquence, toute offre qui ne comporterait pas de mémoire technique ne sera pas analysée et sera donc immédiatement rejetée.</w:t>
      </w:r>
    </w:p>
    <w:p w:rsidR="007F42FD" w:rsidRDefault="007F42FD">
      <w:pPr>
        <w:jc w:val="both"/>
        <w:rPr>
          <w:rFonts w:ascii="ArialMT" w:eastAsiaTheme="minorHAnsi" w:hAnsi="ArialMT" w:cs="ArialMT"/>
          <w:sz w:val="22"/>
          <w:szCs w:val="22"/>
          <w:lang w:eastAsia="en-US"/>
        </w:rPr>
      </w:pPr>
    </w:p>
    <w:p w:rsidR="007F42FD" w:rsidRDefault="004E797D">
      <w:pPr>
        <w:jc w:val="both"/>
        <w:rPr>
          <w:rFonts w:ascii="ArialMT" w:eastAsiaTheme="minorHAnsi" w:hAnsi="ArialMT" w:cs="ArialMT"/>
          <w:sz w:val="22"/>
          <w:szCs w:val="22"/>
          <w:lang w:eastAsia="en-US"/>
        </w:rPr>
      </w:pPr>
      <w:r>
        <w:rPr>
          <w:rFonts w:ascii="ArialMT" w:eastAsiaTheme="minorHAnsi" w:hAnsi="ArialMT" w:cs="ArialMT"/>
          <w:sz w:val="22"/>
          <w:szCs w:val="22"/>
          <w:lang w:eastAsia="en-US"/>
        </w:rPr>
        <w:t xml:space="preserve">Le mémoire technique, rédigé dans un français clair et soutenu, devra, </w:t>
      </w:r>
      <w:r>
        <w:rPr>
          <w:rFonts w:ascii="Arial-BoldMT" w:eastAsiaTheme="minorHAnsi" w:hAnsi="Arial-BoldMT" w:cs="Arial-BoldMT"/>
          <w:b/>
          <w:bCs/>
          <w:sz w:val="22"/>
          <w:szCs w:val="22"/>
          <w:lang w:eastAsia="en-US"/>
        </w:rPr>
        <w:t>a minima</w:t>
      </w:r>
      <w:r>
        <w:rPr>
          <w:rFonts w:ascii="ArialMT" w:eastAsiaTheme="minorHAnsi" w:hAnsi="ArialMT" w:cs="ArialMT"/>
          <w:sz w:val="22"/>
          <w:szCs w:val="22"/>
          <w:lang w:eastAsia="en-US"/>
        </w:rPr>
        <w:t>, contenir les paragraphes suivants.</w:t>
      </w:r>
    </w:p>
    <w:p w:rsidR="007F42FD" w:rsidRDefault="004E797D">
      <w:pPr>
        <w:jc w:val="both"/>
        <w:rPr>
          <w:rFonts w:ascii="Century Gothic" w:hAnsi="Century Gothic" w:cs="Tahoma"/>
        </w:rPr>
      </w:pPr>
      <w:r>
        <w:rPr>
          <w:rFonts w:ascii="Century Gothic" w:hAnsi="Century Gothic" w:cs="Tahoma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8" behindDoc="0" locked="0" layoutInCell="0" allowOverlap="1" wp14:anchorId="0AAE7B73">
                <wp:simplePos x="0" y="0"/>
                <wp:positionH relativeFrom="column">
                  <wp:posOffset>-73660</wp:posOffset>
                </wp:positionH>
                <wp:positionV relativeFrom="paragraph">
                  <wp:posOffset>389890</wp:posOffset>
                </wp:positionV>
                <wp:extent cx="5887085" cy="7957185"/>
                <wp:effectExtent l="0" t="0" r="19050" b="19050"/>
                <wp:wrapSquare wrapText="bothSides"/>
                <wp:docPr id="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6360" cy="7956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7F42FD" w:rsidRDefault="004E797D">
                            <w:pPr>
                              <w:pStyle w:val="Contenudecadre"/>
                              <w:jc w:val="both"/>
                              <w:rPr>
                                <w:rFonts w:ascii="Century Gothic" w:hAnsi="Century Gothic" w:cs="Tahoma"/>
                                <w:b/>
                                <w:color w:val="002060"/>
                              </w:rPr>
                            </w:pPr>
                            <w:r>
                              <w:rPr>
                                <w:rFonts w:ascii="Century Gothic" w:hAnsi="Century Gothic" w:cs="Tahoma"/>
                                <w:b/>
                                <w:color w:val="002060"/>
                                <w:u w:val="single"/>
                              </w:rPr>
                              <w:t xml:space="preserve">Valeur technique : 45 points </w:t>
                            </w:r>
                          </w:p>
                          <w:p w:rsidR="007F42FD" w:rsidRDefault="004E797D">
                            <w:pPr>
                              <w:pStyle w:val="Contenudecadre"/>
                              <w:ind w:left="360"/>
                              <w:jc w:val="both"/>
                              <w:rPr>
                                <w:rFonts w:ascii="Century Gothic" w:hAnsi="Century Gothic" w:cs="Tahoma"/>
                                <w:color w:val="002060"/>
                              </w:rPr>
                            </w:pPr>
                            <w:r>
                              <w:rPr>
                                <w:rFonts w:ascii="Century Gothic" w:hAnsi="Century Gothic" w:cs="Tahoma"/>
                                <w:color w:val="002060"/>
                              </w:rPr>
                              <w:t xml:space="preserve"> </w:t>
                            </w:r>
                          </w:p>
                          <w:p w:rsidR="007F42FD" w:rsidRDefault="004E797D">
                            <w:pPr>
                              <w:pStyle w:val="Contenudecadre"/>
                              <w:jc w:val="both"/>
                              <w:rPr>
                                <w:rFonts w:ascii="Century Gothic" w:hAnsi="Century Gothic" w:cs="Tahoma"/>
                                <w:color w:val="002060"/>
                              </w:rPr>
                            </w:pPr>
                            <w:r>
                              <w:rPr>
                                <w:rFonts w:ascii="Century Gothic" w:hAnsi="Century Gothic" w:cs="Tahoma"/>
                                <w:color w:val="002060"/>
                              </w:rPr>
                              <w:t>Description détaillée :</w:t>
                            </w:r>
                          </w:p>
                          <w:p w:rsidR="007F42FD" w:rsidRDefault="007F42FD">
                            <w:pPr>
                              <w:pStyle w:val="Contenudecadre"/>
                              <w:jc w:val="both"/>
                              <w:rPr>
                                <w:rFonts w:ascii="Century Gothic" w:hAnsi="Century Gothic" w:cs="Tahoma"/>
                                <w:color w:val="002060"/>
                              </w:rPr>
                            </w:pPr>
                          </w:p>
                          <w:p w:rsidR="007F42FD" w:rsidRDefault="004E797D">
                            <w:pPr>
                              <w:pStyle w:val="Contenudecadre"/>
                              <w:jc w:val="both"/>
                              <w:rPr>
                                <w:rFonts w:ascii="Century Gothic" w:hAnsi="Century Gothic" w:cs="Tahoma"/>
                                <w:color w:val="002060"/>
                              </w:rPr>
                            </w:pPr>
                            <w:r>
                              <w:rPr>
                                <w:rFonts w:ascii="Century Gothic" w:hAnsi="Century Gothic" w:cs="Tahoma"/>
                                <w:color w:val="002060"/>
                              </w:rPr>
                              <w:t xml:space="preserve">La valeur technique de l’offre est notée sur 45 points, de la façon suivante : </w:t>
                            </w:r>
                          </w:p>
                          <w:p w:rsidR="007F42FD" w:rsidRDefault="007F42FD">
                            <w:pPr>
                              <w:pStyle w:val="Contenudecadre"/>
                              <w:jc w:val="both"/>
                              <w:rPr>
                                <w:rFonts w:ascii="Century Gothic" w:hAnsi="Century Gothic" w:cs="Tahoma"/>
                                <w:color w:val="002060"/>
                              </w:rPr>
                            </w:pPr>
                          </w:p>
                          <w:p w:rsidR="007F42FD" w:rsidRDefault="004E797D">
                            <w:pPr>
                              <w:pStyle w:val="Contenudecadre"/>
                              <w:jc w:val="both"/>
                              <w:rPr>
                                <w:rFonts w:ascii="Century Gothic" w:hAnsi="Century Gothic" w:cs="Tahoma"/>
                                <w:b/>
                                <w:bCs/>
                                <w:color w:val="002060"/>
                                <w:u w:val="single"/>
                              </w:rPr>
                            </w:pPr>
                            <w:r>
                              <w:rPr>
                                <w:rFonts w:ascii="Century Gothic" w:hAnsi="Century Gothic" w:cs="Tahoma"/>
                                <w:b/>
                                <w:bCs/>
                                <w:color w:val="002060"/>
                                <w:u w:val="single"/>
                              </w:rPr>
                              <w:t>De la qualité et étendue des prestations de restauration (sur 25 points)</w:t>
                            </w:r>
                          </w:p>
                          <w:p w:rsidR="007F42FD" w:rsidRDefault="007F42FD">
                            <w:pPr>
                              <w:pStyle w:val="Contenudecadre"/>
                              <w:ind w:left="360"/>
                              <w:rPr>
                                <w:rFonts w:ascii="Century Gothic" w:hAnsi="Century Gothic" w:cs="Tahoma"/>
                                <w:color w:val="002060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ind w:left="360"/>
                              <w:rPr>
                                <w:rFonts w:ascii="Century Gothic" w:hAnsi="Century Gothic" w:cs="Tahoma"/>
                                <w:color w:val="002060"/>
                              </w:rPr>
                            </w:pPr>
                          </w:p>
                          <w:p w:rsidR="007F42FD" w:rsidRDefault="004E797D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Century Gothic" w:hAnsi="Century Gothic" w:cs="Tahoma"/>
                                <w:i/>
                                <w:color w:val="0020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eastAsia="ar-SA"/>
                              </w:rPr>
                              <w:t xml:space="preserve">Engagements portant sur la répartition par catégorie des denrées alimentaires utilisées pour la production des repas sur le self : notés sur 6,25 points </w:t>
                            </w:r>
                          </w:p>
                          <w:p w:rsidR="007F42FD" w:rsidRDefault="007F42FD">
                            <w:pPr>
                              <w:pStyle w:val="Paragraphedeliste"/>
                              <w:jc w:val="both"/>
                              <w:rPr>
                                <w:rFonts w:ascii="Century Gothic" w:hAnsi="Century Gothic" w:cs="Tahoma"/>
                                <w:i/>
                                <w:color w:val="002060"/>
                                <w:sz w:val="24"/>
                                <w:szCs w:val="24"/>
                              </w:rPr>
                            </w:pPr>
                          </w:p>
                          <w:p w:rsidR="007F42FD" w:rsidRDefault="007F42FD">
                            <w:pPr>
                              <w:pStyle w:val="Paragraphedeliste"/>
                              <w:jc w:val="both"/>
                              <w:rPr>
                                <w:rFonts w:ascii="Century Gothic" w:hAnsi="Century Gothic" w:cs="Tahoma"/>
                                <w:i/>
                                <w:color w:val="002060"/>
                                <w:sz w:val="24"/>
                                <w:szCs w:val="24"/>
                              </w:rPr>
                            </w:pPr>
                          </w:p>
                          <w:p w:rsidR="007F42FD" w:rsidRDefault="004E797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</w:pPr>
                            <w:r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  <w:t>……... [Annexe 2 de l’Acte d’engagement à compléter par typologie de prestations] ……...</w:t>
                            </w: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  <w:p w:rsidR="007F42FD" w:rsidRDefault="004E797D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eastAsia="ar-S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eastAsia="ar-SA"/>
                              </w:rPr>
                              <w:t xml:space="preserve">Engagements de structuration de l'offre self et de permanence du choix par tranche de fréquentation à détailler par catégorie de tarifs - principes d'ajustement éventuel sur des jours de plus faible fréquentation : notés sur 6,25 points </w:t>
                            </w:r>
                          </w:p>
                          <w:p w:rsidR="007F42FD" w:rsidRDefault="007F42FD">
                            <w:pPr>
                              <w:pStyle w:val="Contenudecadr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eastAsia="ar-SA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eastAsia="ar-SA"/>
                              </w:rPr>
                            </w:pPr>
                          </w:p>
                          <w:p w:rsidR="007F42FD" w:rsidRDefault="004E797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  <w:t>…..</w:t>
                            </w:r>
                            <w:proofErr w:type="gramEnd"/>
                            <w:r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  <w:t>…(à compléter)……...</w:t>
                            </w:r>
                          </w:p>
                          <w:p w:rsidR="007F42FD" w:rsidRDefault="007F42FD">
                            <w:pPr>
                              <w:pStyle w:val="Contenudecadr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eastAsia="ar-SA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eastAsia="ar-SA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eastAsia="ar-SA"/>
                              </w:rPr>
                            </w:pPr>
                          </w:p>
                          <w:p w:rsidR="007F42FD" w:rsidRDefault="004E797D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eastAsia="ar-S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eastAsia="ar-SA"/>
                              </w:rPr>
                              <w:t xml:space="preserve">Engagements de structuration de l'offre de vente à emporter sur l'espace de self : notés sur 3,75 points </w:t>
                            </w: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  <w:p w:rsidR="007F42FD" w:rsidRDefault="004E797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  <w:t>…..</w:t>
                            </w:r>
                            <w:proofErr w:type="gramEnd"/>
                            <w:r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  <w:t>…(à compléter)……...</w:t>
                            </w: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  <w:p w:rsidR="007F42FD" w:rsidRDefault="004E797D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eastAsia="ar-S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eastAsia="ar-SA"/>
                              </w:rPr>
                              <w:t xml:space="preserve">Niveau d'offre pour la prestation de cafétéria et de la distribution automatique dans le cadre de la tranche ferme : noté sur 2,50 points </w:t>
                            </w:r>
                          </w:p>
                          <w:p w:rsidR="007F42FD" w:rsidRDefault="007F42FD">
                            <w:pPr>
                              <w:pStyle w:val="Contenudecadr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eastAsia="ar-SA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eastAsia="ar-SA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eastAsia="ar-SA"/>
                              </w:rPr>
                            </w:pPr>
                          </w:p>
                          <w:p w:rsidR="007F42FD" w:rsidRDefault="004E797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  <w:t>…..</w:t>
                            </w:r>
                            <w:proofErr w:type="gramEnd"/>
                            <w:r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  <w:t>…(à compléter)……...</w:t>
                            </w:r>
                          </w:p>
                          <w:p w:rsidR="007F42FD" w:rsidRDefault="007F42FD">
                            <w:pPr>
                              <w:pStyle w:val="Contenudecadr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eastAsia="ar-SA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2" fillcolor="white" stroked="t" style="position:absolute;margin-left:-5.8pt;margin-top:30.7pt;width:463.45pt;height:626.45pt" wp14:anchorId="0AAE7B73">
                <w10:wrap type="square"/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Contenudecadre"/>
                        <w:jc w:val="both"/>
                        <w:rPr>
                          <w:rFonts w:ascii="Century Gothic" w:hAnsi="Century Gothic" w:cs="Tahoma"/>
                          <w:b/>
                          <w:b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b/>
                          <w:color w:val="002060"/>
                          <w:u w:val="single"/>
                        </w:rPr>
                        <w:t xml:space="preserve">Valeur technique : 45 points </w:t>
                      </w:r>
                    </w:p>
                    <w:p>
                      <w:pPr>
                        <w:pStyle w:val="Contenudecadre"/>
                        <w:ind w:left="360" w:hanging="0"/>
                        <w:jc w:val="both"/>
                        <w:rPr>
                          <w:rFonts w:ascii="Century Gothic" w:hAnsi="Century Gothic" w:cs="Tahoma"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color w:val="002060"/>
                        </w:rPr>
                        <w:t xml:space="preserve"> </w:t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Century Gothic" w:hAnsi="Century Gothic" w:cs="Tahoma"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color w:val="002060"/>
                        </w:rPr>
                        <w:t>Description détaillée :</w:t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Century Gothic" w:hAnsi="Century Gothic" w:cs="Tahoma"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color w:val="002060"/>
                        </w:rPr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Century Gothic" w:hAnsi="Century Gothic" w:cs="Tahoma"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color w:val="002060"/>
                        </w:rPr>
                        <w:t xml:space="preserve">La valeur technique de l’offre est notée sur 45 points, de la façon suivante : </w:t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Century Gothic" w:hAnsi="Century Gothic" w:cs="Tahoma"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color w:val="002060"/>
                        </w:rPr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Century Gothic" w:hAnsi="Century Gothic" w:cs="Tahoma"/>
                          <w:b/>
                          <w:b/>
                          <w:bCs/>
                          <w:color w:val="002060"/>
                          <w:u w:val="single"/>
                        </w:rPr>
                      </w:pPr>
                      <w:r>
                        <w:rPr>
                          <w:rFonts w:cs="Tahoma" w:ascii="Century Gothic" w:hAnsi="Century Gothic"/>
                          <w:b/>
                          <w:bCs/>
                          <w:color w:val="002060"/>
                          <w:u w:val="single"/>
                        </w:rPr>
                        <w:t>De la qualité et étendue des prestations de restauration (sur 25 points)</w:t>
                      </w:r>
                    </w:p>
                    <w:p>
                      <w:pPr>
                        <w:pStyle w:val="Contenudecadre"/>
                        <w:ind w:left="360" w:hanging="0"/>
                        <w:rPr>
                          <w:rFonts w:ascii="Century Gothic" w:hAnsi="Century Gothic" w:cs="Tahoma"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color w:val="002060"/>
                        </w:rPr>
                      </w:r>
                    </w:p>
                    <w:p>
                      <w:pPr>
                        <w:pStyle w:val="Contenudecadre"/>
                        <w:ind w:left="360" w:hanging="0"/>
                        <w:rPr>
                          <w:rFonts w:ascii="Century Gothic" w:hAnsi="Century Gothic" w:cs="Tahoma"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color w:val="002060"/>
                        </w:rPr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Century Gothic" w:hAnsi="Century Gothic" w:cs="Tahoma"/>
                          <w:i/>
                          <w:i/>
                          <w:color w:val="002060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sz w:val="22"/>
                          <w:szCs w:val="22"/>
                          <w:lang w:eastAsia="ar-SA"/>
                        </w:rPr>
                        <w:t xml:space="preserve">Engagements portant sur la répartition par catégorie des denrées alimentaires utilisées pour la production des repas sur le self : notés sur 6,25 points </w:t>
                      </w:r>
                    </w:p>
                    <w:p>
                      <w:pPr>
                        <w:pStyle w:val="ListParagraph"/>
                        <w:jc w:val="both"/>
                        <w:rPr>
                          <w:rFonts w:ascii="Century Gothic" w:hAnsi="Century Gothic" w:cs="Tahoma"/>
                          <w:i/>
                          <w:i/>
                          <w:color w:val="002060"/>
                          <w:sz w:val="24"/>
                          <w:szCs w:val="24"/>
                        </w:rPr>
                      </w:pPr>
                      <w:r>
                        <w:rPr>
                          <w:rFonts w:cs="Tahoma" w:ascii="Century Gothic" w:hAnsi="Century Gothic"/>
                          <w:i/>
                          <w:color w:val="00206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ListParagraph"/>
                        <w:jc w:val="both"/>
                        <w:rPr>
                          <w:rFonts w:ascii="Century Gothic" w:hAnsi="Century Gothic" w:cs="Tahoma"/>
                          <w:i/>
                          <w:i/>
                          <w:color w:val="002060"/>
                          <w:sz w:val="24"/>
                          <w:szCs w:val="24"/>
                        </w:rPr>
                      </w:pPr>
                      <w:r>
                        <w:rPr>
                          <w:rFonts w:cs="Tahoma" w:ascii="Century Gothic" w:hAnsi="Century Gothic"/>
                          <w:i/>
                          <w:color w:val="00206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i/>
                          <w:i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  <w:t>……</w:t>
                      </w: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  <w:t>... [Annexe 2 de l’Acte d’engagement à compléter par typologie de prestations] ……...</w:t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sz w:val="22"/>
                          <w:szCs w:val="22"/>
                          <w:lang w:eastAsia="ar-SA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sz w:val="22"/>
                          <w:szCs w:val="22"/>
                          <w:lang w:eastAsia="ar-SA"/>
                        </w:rPr>
                        <w:t xml:space="preserve">Engagements de structuration de l'offre self et de permanence du choix par tranche de fréquentation à détailler par catégorie de tarifs - principes d'ajustement éventuel sur des jours de plus faible fréquentation : notés sur 6,25 points </w:t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sz w:val="22"/>
                          <w:szCs w:val="22"/>
                          <w:lang w:eastAsia="ar-SA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sz w:val="22"/>
                          <w:szCs w:val="22"/>
                          <w:lang w:eastAsia="ar-SA"/>
                        </w:rPr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sz w:val="22"/>
                          <w:szCs w:val="22"/>
                          <w:lang w:eastAsia="ar-SA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sz w:val="22"/>
                          <w:szCs w:val="22"/>
                          <w:lang w:eastAsia="ar-SA"/>
                        </w:rPr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i/>
                          <w:i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  <w:t>…</w:t>
                      </w: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  <w:t>..…(à compléter)……...</w:t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sz w:val="22"/>
                          <w:szCs w:val="22"/>
                          <w:lang w:eastAsia="ar-SA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sz w:val="22"/>
                          <w:szCs w:val="22"/>
                          <w:lang w:eastAsia="ar-SA"/>
                        </w:rPr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sz w:val="22"/>
                          <w:szCs w:val="22"/>
                          <w:lang w:eastAsia="ar-SA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sz w:val="22"/>
                          <w:szCs w:val="22"/>
                          <w:lang w:eastAsia="ar-SA"/>
                        </w:rPr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sz w:val="22"/>
                          <w:szCs w:val="22"/>
                          <w:lang w:eastAsia="ar-SA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sz w:val="22"/>
                          <w:szCs w:val="22"/>
                          <w:lang w:eastAsia="ar-SA"/>
                        </w:rPr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sz w:val="22"/>
                          <w:szCs w:val="22"/>
                          <w:lang w:eastAsia="ar-SA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sz w:val="22"/>
                          <w:szCs w:val="22"/>
                          <w:lang w:eastAsia="ar-SA"/>
                        </w:rPr>
                        <w:t xml:space="preserve">Engagements de structuration de l'offre de vente à emporter sur l'espace de self : notés sur 3,75 points </w:t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i/>
                          <w:i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  <w:t>…</w:t>
                      </w: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  <w:t>..…(à compléter)……...</w:t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sz w:val="22"/>
                          <w:szCs w:val="22"/>
                          <w:lang w:eastAsia="ar-SA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sz w:val="22"/>
                          <w:szCs w:val="22"/>
                          <w:lang w:eastAsia="ar-SA"/>
                        </w:rPr>
                        <w:t xml:space="preserve">Niveau d'offre pour la prestation de cafétéria et de la distribution automatique dans le cadre de la tranche ferme : noté sur 2,50 points </w:t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sz w:val="22"/>
                          <w:szCs w:val="22"/>
                          <w:lang w:eastAsia="ar-SA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sz w:val="22"/>
                          <w:szCs w:val="22"/>
                          <w:lang w:eastAsia="ar-SA"/>
                        </w:rPr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sz w:val="22"/>
                          <w:szCs w:val="22"/>
                          <w:lang w:eastAsia="ar-SA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sz w:val="22"/>
                          <w:szCs w:val="22"/>
                          <w:lang w:eastAsia="ar-SA"/>
                        </w:rPr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sz w:val="22"/>
                          <w:szCs w:val="22"/>
                          <w:lang w:eastAsia="ar-SA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sz w:val="22"/>
                          <w:szCs w:val="22"/>
                          <w:lang w:eastAsia="ar-SA"/>
                        </w:rPr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i/>
                          <w:i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  <w:t>…</w:t>
                      </w: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  <w:t>..…(à compléter)……...</w:t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sz w:val="22"/>
                          <w:szCs w:val="22"/>
                          <w:lang w:eastAsia="ar-SA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sz w:val="22"/>
                          <w:szCs w:val="22"/>
                          <w:lang w:eastAsia="ar-SA"/>
                        </w:rPr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 w:rsidR="007F42FD" w:rsidRDefault="004E797D">
      <w:pPr>
        <w:pStyle w:val="Paragraphedeliste"/>
        <w:ind w:left="360"/>
        <w:jc w:val="both"/>
        <w:rPr>
          <w:rFonts w:ascii="Century Gothic" w:hAnsi="Century Gothic" w:cs="Tahoma"/>
          <w:color w:val="002060"/>
          <w:sz w:val="24"/>
          <w:szCs w:val="24"/>
        </w:rPr>
      </w:pPr>
      <w:r>
        <w:br w:type="page"/>
      </w:r>
    </w:p>
    <w:p w:rsidR="007F42FD" w:rsidRDefault="004E797D">
      <w:pPr>
        <w:pStyle w:val="Paragraphedeliste"/>
        <w:ind w:left="360"/>
        <w:jc w:val="both"/>
        <w:rPr>
          <w:rFonts w:ascii="Century Gothic" w:hAnsi="Century Gothic" w:cs="Tahoma"/>
          <w:color w:val="002060"/>
          <w:sz w:val="24"/>
          <w:szCs w:val="24"/>
        </w:rPr>
      </w:pPr>
      <w:r>
        <w:rPr>
          <w:rFonts w:ascii="Century Gothic" w:hAnsi="Century Gothic" w:cs="Tahoma"/>
          <w:noProof/>
          <w:color w:val="002060"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11" behindDoc="0" locked="0" layoutInCell="0" allowOverlap="1" wp14:anchorId="74C312B5">
                <wp:simplePos x="0" y="0"/>
                <wp:positionH relativeFrom="column">
                  <wp:posOffset>0</wp:posOffset>
                </wp:positionH>
                <wp:positionV relativeFrom="paragraph">
                  <wp:posOffset>976630</wp:posOffset>
                </wp:positionV>
                <wp:extent cx="5887085" cy="7707630"/>
                <wp:effectExtent l="0" t="0" r="19050" b="27305"/>
                <wp:wrapSquare wrapText="bothSides"/>
                <wp:docPr id="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6360" cy="7706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7F42FD" w:rsidRDefault="004E797D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Niveau d'offre pour la prestation de cafétéria dans le cadre de la tranche optionnelle : noté sur 2,5 points </w:t>
                            </w:r>
                          </w:p>
                          <w:p w:rsidR="007F42FD" w:rsidRDefault="007F42FD">
                            <w:pPr>
                              <w:pStyle w:val="Contenudecadr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eastAsia="ar-SA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eastAsia="ar-SA"/>
                              </w:rPr>
                            </w:pPr>
                          </w:p>
                          <w:p w:rsidR="007F42FD" w:rsidRDefault="004E797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  <w:t>…..</w:t>
                            </w:r>
                            <w:proofErr w:type="gramEnd"/>
                            <w:r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  <w:t>…(à compléter)……...</w:t>
                            </w: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  <w:p w:rsidR="007F42FD" w:rsidRDefault="004E797D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Engagement sur le niveau d'offre pour les prestations de type "à la carte" : noté sur 2,5 points </w:t>
                            </w:r>
                          </w:p>
                          <w:p w:rsidR="007F42FD" w:rsidRDefault="007F42F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</w:pPr>
                          </w:p>
                          <w:p w:rsidR="007F42FD" w:rsidRDefault="004E797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  <w:t>…..</w:t>
                            </w:r>
                            <w:proofErr w:type="gramEnd"/>
                            <w:r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  <w:t>…(à compléter)……...</w:t>
                            </w: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  <w:p w:rsidR="007F42FD" w:rsidRDefault="004E797D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Présentation du programme-type d'animations et repas à thèmes projeté sur une année sur le self (y compris repas de noël) : notée sur 1,25 points </w:t>
                            </w:r>
                          </w:p>
                          <w:p w:rsidR="007F42FD" w:rsidRDefault="007F42FD">
                            <w:pPr>
                              <w:pStyle w:val="Paragraphedelist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  <w:p w:rsidR="007F42FD" w:rsidRDefault="004E797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  <w:t>…..</w:t>
                            </w:r>
                            <w:proofErr w:type="gramEnd"/>
                            <w:r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  <w:t>…(à compléter)……...</w:t>
                            </w: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2" fillcolor="white" stroked="t" style="position:absolute;margin-left:0pt;margin-top:76.9pt;width:463.45pt;height:606.8pt" wp14:anchorId="74C312B5">
                <w10:wrap type="square"/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ListParagraph"/>
                        <w:numPr>
                          <w:ilvl w:val="0"/>
                          <w:numId w:val="3"/>
                        </w:numPr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 xml:space="preserve">Niveau d'offre pour la prestation de cafétéria dans le cadre de la tranche optionnelle : noté sur 2,5 points </w:t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sz w:val="22"/>
                          <w:szCs w:val="22"/>
                          <w:lang w:eastAsia="ar-SA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sz w:val="22"/>
                          <w:szCs w:val="22"/>
                          <w:lang w:eastAsia="ar-SA"/>
                        </w:rPr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sz w:val="22"/>
                          <w:szCs w:val="22"/>
                          <w:lang w:eastAsia="ar-SA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sz w:val="22"/>
                          <w:szCs w:val="22"/>
                          <w:lang w:eastAsia="ar-SA"/>
                        </w:rPr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i/>
                          <w:i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  <w:t>…</w:t>
                      </w: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  <w:t>..…(à compléter)……...</w:t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3"/>
                        </w:numPr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 xml:space="preserve">Engagement sur le niveau d'offre pour les prestations de type "à la carte" : noté sur 2,5 points </w:t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i/>
                          <w:i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i/>
                          <w:i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i/>
                          <w:i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i/>
                          <w:i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  <w:t>…</w:t>
                      </w: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  <w:t>..…(à compléter)……...</w:t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3"/>
                        </w:numPr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 xml:space="preserve">Présentation du programme-type d'animations et repas à thèmes projeté sur une année sur le self (y compris repas de noël) : notée sur 1,25 points </w:t>
                      </w:r>
                    </w:p>
                    <w:p>
                      <w:pPr>
                        <w:pStyle w:val="ListParagraph"/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i/>
                          <w:i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  <w:t>…</w:t>
                      </w: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  <w:t>..…(à compléter)……...</w:t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w:br w:type="page"/>
      </w:r>
    </w:p>
    <w:p w:rsidR="007F42FD" w:rsidRDefault="004E797D">
      <w:pPr>
        <w:pStyle w:val="Paragraphedeliste"/>
        <w:ind w:left="360"/>
        <w:jc w:val="both"/>
        <w:rPr>
          <w:rFonts w:ascii="Century Gothic" w:hAnsi="Century Gothic" w:cs="Tahoma"/>
          <w:color w:val="002060"/>
          <w:sz w:val="24"/>
          <w:szCs w:val="24"/>
        </w:rPr>
      </w:pPr>
      <w:r>
        <w:rPr>
          <w:rFonts w:ascii="Century Gothic" w:hAnsi="Century Gothic" w:cs="Tahoma"/>
          <w:noProof/>
          <w:color w:val="002060"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9" behindDoc="0" locked="0" layoutInCell="0" allowOverlap="1" wp14:anchorId="48E6E0F2">
                <wp:simplePos x="0" y="0"/>
                <wp:positionH relativeFrom="column">
                  <wp:posOffset>-126365</wp:posOffset>
                </wp:positionH>
                <wp:positionV relativeFrom="paragraph">
                  <wp:posOffset>3175</wp:posOffset>
                </wp:positionV>
                <wp:extent cx="5887085" cy="8124190"/>
                <wp:effectExtent l="0" t="0" r="19050" b="17145"/>
                <wp:wrapSquare wrapText="bothSides"/>
                <wp:docPr id="5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6360" cy="812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7F42FD" w:rsidRDefault="007F42FD">
                            <w:pPr>
                              <w:pStyle w:val="Contenudecadre"/>
                              <w:jc w:val="both"/>
                              <w:rPr>
                                <w:rFonts w:ascii="Century Gothic" w:hAnsi="Century Gothic" w:cs="Tahoma"/>
                                <w:color w:val="002060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jc w:val="both"/>
                              <w:rPr>
                                <w:rFonts w:ascii="Century Gothic" w:hAnsi="Century Gothic" w:cs="Tahoma"/>
                                <w:color w:val="002060"/>
                              </w:rPr>
                            </w:pPr>
                          </w:p>
                          <w:p w:rsidR="007F42FD" w:rsidRDefault="004E797D">
                            <w:pPr>
                              <w:pStyle w:val="Contenudecadre"/>
                              <w:jc w:val="both"/>
                              <w:rPr>
                                <w:rFonts w:ascii="Century Gothic" w:hAnsi="Century Gothic" w:cs="Tahoma"/>
                                <w:b/>
                                <w:bCs/>
                                <w:color w:val="002060"/>
                                <w:u w:val="single"/>
                              </w:rPr>
                            </w:pPr>
                            <w:r>
                              <w:rPr>
                                <w:rFonts w:ascii="Century Gothic" w:hAnsi="Century Gothic" w:cs="Tahoma"/>
                                <w:b/>
                                <w:bCs/>
                                <w:color w:val="002060"/>
                                <w:u w:val="single"/>
                              </w:rPr>
                              <w:t>De l’organisation des prestations et conditions d’exploitation (sur 20 points)</w:t>
                            </w:r>
                          </w:p>
                          <w:p w:rsidR="007F42FD" w:rsidRDefault="007F42F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color w:val="002060"/>
                              </w:rPr>
                            </w:pPr>
                          </w:p>
                          <w:p w:rsidR="007F42FD" w:rsidRDefault="004E797D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Présentation du système d'encaissement : notée sur 4 points </w:t>
                            </w:r>
                          </w:p>
                          <w:p w:rsidR="007F42FD" w:rsidRDefault="007F42FD">
                            <w:pPr>
                              <w:pStyle w:val="Paragraphedelist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:rsidR="007F42FD" w:rsidRDefault="007F42FD">
                            <w:pPr>
                              <w:pStyle w:val="Paragraphedelist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:rsidR="007F42FD" w:rsidRDefault="007F42FD">
                            <w:pPr>
                              <w:pStyle w:val="Paragraphedelist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:rsidR="007F42FD" w:rsidRDefault="004E797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  <w:t>…..</w:t>
                            </w:r>
                            <w:proofErr w:type="gramEnd"/>
                            <w:r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  <w:t>…(à compléter)……...</w:t>
                            </w: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  <w:p w:rsidR="007F42FD" w:rsidRDefault="004E797D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Présentation de l'organisation de l'équipe affectée sur le self par tranche de fréquentation (nombre de personnes) et des profils - principes d'ajustement éventuel sur des jours de plus faible fréquentation : notée sur 5 points </w:t>
                            </w:r>
                          </w:p>
                          <w:p w:rsidR="007F42FD" w:rsidRDefault="007F42FD">
                            <w:pPr>
                              <w:pStyle w:val="Contenudecadr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:rsidR="007F42FD" w:rsidRDefault="004E797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  <w:t>…..</w:t>
                            </w:r>
                            <w:proofErr w:type="gramEnd"/>
                            <w:r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  <w:t>…(à compléter)……...</w:t>
                            </w:r>
                          </w:p>
                          <w:p w:rsidR="007F42FD" w:rsidRDefault="007F42F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</w:pPr>
                          </w:p>
                          <w:p w:rsidR="007F42FD" w:rsidRDefault="004E797D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Présentation de l'organisation sur l'espace cafétéria dans le cadre de la tranche ferme : notée sur 3 points </w:t>
                            </w:r>
                          </w:p>
                          <w:p w:rsidR="007F42FD" w:rsidRDefault="007F42FD">
                            <w:pPr>
                              <w:pStyle w:val="Contenudecadr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:rsidR="007F42FD" w:rsidRDefault="004E797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  <w:t>…..</w:t>
                            </w:r>
                            <w:proofErr w:type="gramEnd"/>
                            <w:r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  <w:t>…(à compléter)……...</w:t>
                            </w:r>
                          </w:p>
                          <w:p w:rsidR="007F42FD" w:rsidRDefault="007F42FD">
                            <w:pPr>
                              <w:pStyle w:val="Contenudecadr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:rsidR="007F42FD" w:rsidRDefault="004E797D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Présentation de l'organisation sur l'espace cafétéria dans le cadre de la tranche optionnelle : notée sur 2 points </w:t>
                            </w:r>
                          </w:p>
                          <w:p w:rsidR="007F42FD" w:rsidRDefault="007F42FD">
                            <w:pPr>
                              <w:pStyle w:val="Paragraphedelist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:rsidR="007F42FD" w:rsidRDefault="007F42FD">
                            <w:pPr>
                              <w:pStyle w:val="Paragraphedelist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:rsidR="007F42FD" w:rsidRDefault="007F42FD">
                            <w:pPr>
                              <w:pStyle w:val="Paragraphedelist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:rsidR="007F42FD" w:rsidRDefault="007F42FD">
                            <w:pPr>
                              <w:pStyle w:val="Paragraphedelist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:rsidR="007F42FD" w:rsidRDefault="004E797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  <w:t>…..</w:t>
                            </w:r>
                            <w:proofErr w:type="gramEnd"/>
                            <w:r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  <w:t>…(à compléter)……...</w:t>
                            </w:r>
                          </w:p>
                          <w:p w:rsidR="007F42FD" w:rsidRDefault="007F42FD">
                            <w:pPr>
                              <w:pStyle w:val="Contenudecadr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2" fillcolor="white" stroked="t" style="position:absolute;margin-left:-9.95pt;margin-top:0.25pt;width:463.45pt;height:639.6pt" wp14:anchorId="48E6E0F2">
                <w10:wrap type="square"/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Contenudecadre"/>
                        <w:jc w:val="both"/>
                        <w:rPr>
                          <w:rFonts w:ascii="Century Gothic" w:hAnsi="Century Gothic" w:cs="Tahoma"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color w:val="002060"/>
                        </w:rPr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Century Gothic" w:hAnsi="Century Gothic" w:cs="Tahoma"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color w:val="002060"/>
                        </w:rPr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Century Gothic" w:hAnsi="Century Gothic" w:cs="Tahoma"/>
                          <w:b/>
                          <w:b/>
                          <w:bCs/>
                          <w:color w:val="002060"/>
                          <w:u w:val="single"/>
                        </w:rPr>
                      </w:pPr>
                      <w:r>
                        <w:rPr>
                          <w:rFonts w:cs="Tahoma" w:ascii="Century Gothic" w:hAnsi="Century Gothic"/>
                          <w:b/>
                          <w:bCs/>
                          <w:color w:val="002060"/>
                          <w:u w:val="single"/>
                        </w:rPr>
                        <w:t>De l’organisation des prestations et conditions d’exploitation (sur 20 points)</w:t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color w:val="002060"/>
                        </w:rPr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4"/>
                        </w:numPr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  <w:t xml:space="preserve">Présentation du système d'encaissement : notée sur 4 points </w:t>
                      </w:r>
                    </w:p>
                    <w:p>
                      <w:pPr>
                        <w:pStyle w:val="ListParagraph"/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ListParagraph"/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ListParagraph"/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i/>
                          <w:i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  <w:t>…</w:t>
                      </w: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  <w:t>..…(à compléter)……...</w:t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4"/>
                        </w:numPr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  <w:t xml:space="preserve">Présentation de l'organisation de l'équipe affectée sur le self par tranche de fréquentation (nombre de personnes) et des profils - principes d'ajustement éventuel sur des jours de plus faible fréquentation : notée sur 5 points </w:t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i/>
                          <w:i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  <w:t>…</w:t>
                      </w: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  <w:t>..…(à compléter)……...</w:t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i/>
                          <w:i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i/>
                          <w:i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i/>
                          <w:i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4"/>
                        </w:numPr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  <w:t xml:space="preserve">Présentation de l'organisation sur l'espace cafétéria dans le cadre de la tranche ferme : notée sur 3 points </w:t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i/>
                          <w:i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  <w:t>…</w:t>
                      </w: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  <w:t>..…(à compléter)……...</w:t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4"/>
                        </w:numPr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  <w:t xml:space="preserve">Présentation de l'organisation sur l'espace cafétéria dans le cadre de la tranche optionnelle : notée sur 2 points </w:t>
                      </w:r>
                    </w:p>
                    <w:p>
                      <w:pPr>
                        <w:pStyle w:val="ListParagraph"/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ListParagraph"/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ListParagraph"/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ListParagraph"/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i/>
                          <w:i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  <w:t>…</w:t>
                      </w: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  <w:t>..…(à compléter)……...</w:t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 w:rsidR="007F42FD" w:rsidRDefault="007F42FD">
      <w:pPr>
        <w:jc w:val="both"/>
        <w:rPr>
          <w:rFonts w:ascii="Century Gothic" w:hAnsi="Century Gothic" w:cs="Tahoma"/>
          <w:b/>
          <w:color w:val="002060"/>
        </w:rPr>
      </w:pPr>
    </w:p>
    <w:p w:rsidR="007F42FD" w:rsidRDefault="007F42FD">
      <w:pPr>
        <w:jc w:val="both"/>
        <w:rPr>
          <w:rFonts w:ascii="Century Gothic" w:hAnsi="Century Gothic" w:cs="Tahoma"/>
          <w:b/>
          <w:color w:val="002060"/>
          <w:u w:val="single"/>
        </w:rPr>
      </w:pPr>
    </w:p>
    <w:p w:rsidR="007F42FD" w:rsidRDefault="007F42FD">
      <w:pPr>
        <w:jc w:val="both"/>
        <w:rPr>
          <w:rFonts w:ascii="Century Gothic" w:hAnsi="Century Gothic" w:cs="Tahoma"/>
          <w:b/>
          <w:color w:val="002060"/>
          <w:u w:val="single"/>
        </w:rPr>
      </w:pPr>
    </w:p>
    <w:p w:rsidR="007F42FD" w:rsidRDefault="007F42FD">
      <w:pPr>
        <w:jc w:val="both"/>
        <w:rPr>
          <w:rFonts w:ascii="Century Gothic" w:hAnsi="Century Gothic" w:cs="Tahoma"/>
          <w:b/>
          <w:color w:val="002060"/>
          <w:u w:val="single"/>
        </w:rPr>
      </w:pPr>
    </w:p>
    <w:p w:rsidR="007F42FD" w:rsidRDefault="004E797D">
      <w:pPr>
        <w:jc w:val="both"/>
        <w:rPr>
          <w:rFonts w:ascii="Century Gothic" w:hAnsi="Century Gothic" w:cs="Tahoma"/>
          <w:b/>
          <w:color w:val="002060"/>
          <w:u w:val="single"/>
        </w:rPr>
      </w:pPr>
      <w:r>
        <w:rPr>
          <w:rFonts w:ascii="Century Gothic" w:hAnsi="Century Gothic" w:cs="Tahoma"/>
          <w:b/>
          <w:noProof/>
          <w:color w:val="002060"/>
          <w:u w:val="single"/>
        </w:rPr>
        <mc:AlternateContent>
          <mc:Choice Requires="wps">
            <w:drawing>
              <wp:anchor distT="45720" distB="45720" distL="114300" distR="114300" simplePos="0" relativeHeight="12" behindDoc="0" locked="0" layoutInCell="0" allowOverlap="1" wp14:anchorId="4AF89857">
                <wp:simplePos x="0" y="0"/>
                <wp:positionH relativeFrom="column">
                  <wp:posOffset>0</wp:posOffset>
                </wp:positionH>
                <wp:positionV relativeFrom="paragraph">
                  <wp:posOffset>811530</wp:posOffset>
                </wp:positionV>
                <wp:extent cx="5887085" cy="7887335"/>
                <wp:effectExtent l="0" t="0" r="19050" b="12700"/>
                <wp:wrapSquare wrapText="bothSides"/>
                <wp:docPr id="7" name="Zone de texte 1742140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6360" cy="7886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7F42FD" w:rsidRDefault="007F42FD">
                            <w:pPr>
                              <w:pStyle w:val="Contenudecadr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:rsidR="007F42FD" w:rsidRDefault="004E797D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Éléments de signalétique proposés sur le self et de vente à emporter : notés sur 2 points </w:t>
                            </w:r>
                          </w:p>
                          <w:p w:rsidR="007F42FD" w:rsidRDefault="007F42FD">
                            <w:pPr>
                              <w:pStyle w:val="Contenudecadr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:rsidR="007F42FD" w:rsidRDefault="004E797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  <w:t>…..</w:t>
                            </w:r>
                            <w:proofErr w:type="gramEnd"/>
                            <w:r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  <w:t>…(à compléter)……...</w:t>
                            </w:r>
                          </w:p>
                          <w:p w:rsidR="007F42FD" w:rsidRDefault="007F42FD">
                            <w:pPr>
                              <w:pStyle w:val="Contenudecadr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:rsidR="007F42FD" w:rsidRDefault="004E797D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Outil de communication numérique / application et fonctionnalités associées : notés sur 2 points </w:t>
                            </w:r>
                          </w:p>
                          <w:p w:rsidR="007F42FD" w:rsidRDefault="007F42FD">
                            <w:pPr>
                              <w:pStyle w:val="Contenudecadr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:rsidR="007F42FD" w:rsidRDefault="004E797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  <w:t>…..</w:t>
                            </w:r>
                            <w:proofErr w:type="gramEnd"/>
                            <w:r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  <w:t>…(à compléter)……...</w:t>
                            </w:r>
                          </w:p>
                          <w:p w:rsidR="007F42FD" w:rsidRDefault="007F42FD">
                            <w:pPr>
                              <w:pStyle w:val="Contenudecadr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:rsidR="007F42FD" w:rsidRDefault="004E797D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Présentation des équipements et petit matériel d'exploitation mis en place sur le self et la cafétéria pour assurer la prestation - modalités de maintenance des équipements mis à disposition : notée sur 2 points 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1742140335" fillcolor="white" stroked="t" style="position:absolute;margin-left:0pt;margin-top:63.9pt;width:463.45pt;height:620.95pt" wp14:anchorId="4AF89857">
                <w10:wrap type="square"/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Contenudecadre"/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4"/>
                        </w:numPr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  <w:t xml:space="preserve">Éléments de signalétique proposés sur le self et de vente à emporter : notés sur 2 points </w:t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i/>
                          <w:i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  <w:t>…</w:t>
                      </w: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  <w:t>..…(à compléter)……...</w:t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4"/>
                        </w:numPr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  <w:t xml:space="preserve">Outil de communication numérique / application et fonctionnalités associées : notés sur 2 points </w:t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i/>
                          <w:i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  <w:t>…</w:t>
                      </w: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  <w:t>..…(à compléter)……...</w:t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4"/>
                        </w:numPr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  <w:t xml:space="preserve">Présentation des équipements et petit matériel d'exploitation mis en place sur le self et la cafétéria pour assurer la prestation - modalités de maintenance des équipements mis à disposition : notée sur 2 points </w:t>
                      </w:r>
                    </w:p>
                  </w:txbxContent>
                </v:textbox>
              </v:rect>
            </w:pict>
          </mc:Fallback>
        </mc:AlternateContent>
      </w:r>
    </w:p>
    <w:p w:rsidR="007F42FD" w:rsidRDefault="004E797D">
      <w:pPr>
        <w:jc w:val="both"/>
        <w:rPr>
          <w:rFonts w:ascii="Century Gothic" w:hAnsi="Century Gothic" w:cs="Tahoma"/>
          <w:b/>
          <w:color w:val="002060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10" behindDoc="0" locked="0" layoutInCell="0" allowOverlap="1" wp14:anchorId="068C0898">
                <wp:simplePos x="0" y="0"/>
                <wp:positionH relativeFrom="margin">
                  <wp:posOffset>-196850</wp:posOffset>
                </wp:positionH>
                <wp:positionV relativeFrom="paragraph">
                  <wp:posOffset>635</wp:posOffset>
                </wp:positionV>
                <wp:extent cx="6416675" cy="8968740"/>
                <wp:effectExtent l="0" t="0" r="10160" b="10795"/>
                <wp:wrapSquare wrapText="bothSides"/>
                <wp:docPr id="9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5920" cy="8967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7F42FD" w:rsidRDefault="007F42FD">
                            <w:pPr>
                              <w:pStyle w:val="Paragraphedeliste"/>
                              <w:ind w:left="360"/>
                              <w:jc w:val="both"/>
                              <w:rPr>
                                <w:rFonts w:ascii="Century Gothic" w:hAnsi="Century Gothic" w:cs="Tahoma"/>
                                <w:color w:val="002060"/>
                                <w:sz w:val="24"/>
                                <w:szCs w:val="24"/>
                              </w:rPr>
                            </w:pPr>
                          </w:p>
                          <w:p w:rsidR="007F42FD" w:rsidRDefault="004E797D">
                            <w:pPr>
                              <w:pStyle w:val="Contenudecadre"/>
                              <w:jc w:val="both"/>
                              <w:rPr>
                                <w:rFonts w:ascii="Century Gothic" w:hAnsi="Century Gothic" w:cs="Tahoma"/>
                                <w:b/>
                                <w:color w:val="002060"/>
                              </w:rPr>
                            </w:pPr>
                            <w:r>
                              <w:rPr>
                                <w:rFonts w:ascii="Century Gothic" w:hAnsi="Century Gothic" w:cs="Tahoma"/>
                                <w:b/>
                                <w:color w:val="002060"/>
                                <w:u w:val="single"/>
                              </w:rPr>
                              <w:t xml:space="preserve">Valeur environnementale : 10 points </w:t>
                            </w:r>
                          </w:p>
                          <w:p w:rsidR="007F42FD" w:rsidRDefault="004E797D">
                            <w:pPr>
                              <w:pStyle w:val="Contenudecadre"/>
                              <w:ind w:left="360"/>
                              <w:jc w:val="both"/>
                              <w:rPr>
                                <w:rFonts w:ascii="Century Gothic" w:hAnsi="Century Gothic" w:cs="Tahoma"/>
                                <w:color w:val="002060"/>
                              </w:rPr>
                            </w:pPr>
                            <w:r>
                              <w:rPr>
                                <w:rFonts w:ascii="Century Gothic" w:hAnsi="Century Gothic" w:cs="Tahoma"/>
                                <w:color w:val="002060"/>
                              </w:rPr>
                              <w:t xml:space="preserve"> </w:t>
                            </w:r>
                          </w:p>
                          <w:p w:rsidR="007F42FD" w:rsidRDefault="004E797D">
                            <w:pPr>
                              <w:pStyle w:val="Contenudecadre"/>
                              <w:jc w:val="both"/>
                              <w:rPr>
                                <w:rFonts w:ascii="Century Gothic" w:hAnsi="Century Gothic" w:cs="Tahoma"/>
                                <w:color w:val="002060"/>
                              </w:rPr>
                            </w:pPr>
                            <w:r>
                              <w:rPr>
                                <w:rFonts w:ascii="Century Gothic" w:hAnsi="Century Gothic" w:cs="Tahoma"/>
                                <w:color w:val="002060"/>
                              </w:rPr>
                              <w:t>Description détaillée :</w:t>
                            </w:r>
                          </w:p>
                          <w:p w:rsidR="007F42FD" w:rsidRDefault="007F42FD">
                            <w:pPr>
                              <w:pStyle w:val="Contenudecadre"/>
                              <w:jc w:val="both"/>
                              <w:rPr>
                                <w:rFonts w:ascii="Century Gothic" w:hAnsi="Century Gothic" w:cs="Tahoma"/>
                                <w:color w:val="002060"/>
                              </w:rPr>
                            </w:pPr>
                          </w:p>
                          <w:p w:rsidR="007F42FD" w:rsidRDefault="004E797D">
                            <w:pPr>
                              <w:pStyle w:val="Contenudecadre"/>
                              <w:jc w:val="both"/>
                              <w:rPr>
                                <w:rFonts w:ascii="Century Gothic" w:hAnsi="Century Gothic" w:cs="Tahoma"/>
                                <w:color w:val="002060"/>
                              </w:rPr>
                            </w:pPr>
                            <w:r>
                              <w:rPr>
                                <w:rFonts w:ascii="Century Gothic" w:hAnsi="Century Gothic" w:cs="Tahoma"/>
                                <w:color w:val="002060"/>
                              </w:rPr>
                              <w:t xml:space="preserve">Les réponses sont notées sur 10 points, de la façon suivante : </w:t>
                            </w:r>
                          </w:p>
                          <w:p w:rsidR="007F42FD" w:rsidRDefault="007F42FD">
                            <w:pPr>
                              <w:pStyle w:val="Contenudecadre"/>
                              <w:jc w:val="both"/>
                              <w:rPr>
                                <w:rFonts w:ascii="Century Gothic" w:hAnsi="Century Gothic" w:cs="Tahoma"/>
                                <w:color w:val="002060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jc w:val="both"/>
                              <w:rPr>
                                <w:rFonts w:ascii="Century Gothic" w:hAnsi="Century Gothic" w:cs="Tahoma"/>
                                <w:color w:val="002060"/>
                              </w:rPr>
                            </w:pPr>
                          </w:p>
                          <w:p w:rsidR="007F42FD" w:rsidRDefault="004E797D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eastAsia="ar-S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eastAsia="ar-SA"/>
                              </w:rPr>
                              <w:t>Engagements portant sur la construction du taux d'alimentation durable : notés sur 2.5 points</w:t>
                            </w:r>
                          </w:p>
                          <w:p w:rsidR="007F42FD" w:rsidRDefault="007F42F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color w:val="002060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color w:val="002060"/>
                              </w:rPr>
                            </w:pPr>
                          </w:p>
                          <w:p w:rsidR="007F42FD" w:rsidRDefault="004E797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  <w:t>…..</w:t>
                            </w:r>
                            <w:proofErr w:type="gramEnd"/>
                            <w:r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  <w:t>…(à compléter)……...</w:t>
                            </w:r>
                          </w:p>
                          <w:p w:rsidR="007F42FD" w:rsidRDefault="007F42F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color w:val="002060"/>
                              </w:rPr>
                            </w:pPr>
                          </w:p>
                          <w:p w:rsidR="007F42FD" w:rsidRDefault="004E797D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eastAsia="ar-S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eastAsia="ar-SA"/>
                              </w:rPr>
                              <w:t xml:space="preserve">Principes de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eastAsia="ar-SA"/>
                              </w:rPr>
                              <w:t>reporting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eastAsia="ar-SA"/>
                              </w:rPr>
                              <w:t xml:space="preserve"> et de traçabilité des signes de qualité durables auprès de la CNAM et des convives : notés sur 2.5 points</w:t>
                            </w:r>
                          </w:p>
                          <w:p w:rsidR="007F42FD" w:rsidRDefault="007F42F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b/>
                                <w:color w:val="002060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b/>
                                <w:color w:val="002060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color w:val="002060"/>
                              </w:rPr>
                            </w:pPr>
                          </w:p>
                          <w:p w:rsidR="007F42FD" w:rsidRDefault="004E797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  <w:t>…..</w:t>
                            </w:r>
                            <w:proofErr w:type="gramEnd"/>
                            <w:r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  <w:t>…(à compléter)……...</w:t>
                            </w:r>
                          </w:p>
                          <w:p w:rsidR="007F42FD" w:rsidRDefault="007F42F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color w:val="002060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color w:val="002060"/>
                              </w:rPr>
                            </w:pPr>
                          </w:p>
                          <w:p w:rsidR="007F42FD" w:rsidRDefault="004E797D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eastAsia="ar-S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eastAsia="ar-SA"/>
                              </w:rPr>
                              <w:t>Engagement portant sur l'offre végétarienne quotidienne (catalogue et mode de production des recettes, formation des cuisiniers) noté sur 2.5 points</w:t>
                            </w:r>
                          </w:p>
                          <w:p w:rsidR="007F42FD" w:rsidRDefault="007F42F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color w:val="002060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color w:val="002060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color w:val="002060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color w:val="002060"/>
                              </w:rPr>
                            </w:pPr>
                          </w:p>
                          <w:p w:rsidR="007F42FD" w:rsidRDefault="004E797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  <w:t>…..</w:t>
                            </w:r>
                            <w:proofErr w:type="gramEnd"/>
                            <w:r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  <w:t>…(à compléter)……...</w:t>
                            </w:r>
                          </w:p>
                          <w:p w:rsidR="007F42FD" w:rsidRDefault="007F42F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color w:val="002060"/>
                              </w:rPr>
                            </w:pPr>
                          </w:p>
                          <w:p w:rsidR="007F42FD" w:rsidRDefault="004E797D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eastAsia="ar-S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eastAsia="ar-SA"/>
                              </w:rPr>
                              <w:t>Sous critère n°4 : Actions concrètes mises en œuvre sur le site dans le cadre de la lutte contre le gaspillage alimentaire (vente des invendus,) notées sur 2.5 points</w:t>
                            </w:r>
                          </w:p>
                          <w:p w:rsidR="007F42FD" w:rsidRDefault="007F42F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color w:val="002060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color w:val="002060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color w:val="002060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color w:val="002060"/>
                              </w:rPr>
                            </w:pPr>
                          </w:p>
                          <w:p w:rsidR="007F42FD" w:rsidRDefault="007F42F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color w:val="002060"/>
                              </w:rPr>
                            </w:pPr>
                          </w:p>
                          <w:p w:rsidR="007F42FD" w:rsidRDefault="004E797D">
                            <w:pPr>
                              <w:pStyle w:val="Contenudecadre"/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  <w:t>…..</w:t>
                            </w:r>
                            <w:proofErr w:type="gramEnd"/>
                            <w:r>
                              <w:rPr>
                                <w:rFonts w:ascii="Century Gothic" w:hAnsi="Century Gothic" w:cs="Tahoma"/>
                                <w:i/>
                                <w:color w:val="002060"/>
                              </w:rPr>
                              <w:t>…(à compléter)……...</w:t>
                            </w:r>
                          </w:p>
                          <w:p w:rsidR="007F42FD" w:rsidRDefault="007F42FD">
                            <w:pPr>
                              <w:pStyle w:val="Contenudecadr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4" fillcolor="white" stroked="t" style="position:absolute;margin-left:-15.5pt;margin-top:0pt;width:505.15pt;height:706.1pt;mso-position-horizontal-relative:margin" wp14:anchorId="068C0898">
                <w10:wrap type="square"/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ListParagraph"/>
                        <w:ind w:left="360" w:hanging="0"/>
                        <w:jc w:val="both"/>
                        <w:rPr>
                          <w:rFonts w:ascii="Century Gothic" w:hAnsi="Century Gothic" w:cs="Tahoma"/>
                          <w:color w:val="002060"/>
                          <w:sz w:val="24"/>
                          <w:szCs w:val="24"/>
                        </w:rPr>
                      </w:pPr>
                      <w:r>
                        <w:rPr>
                          <w:rFonts w:cs="Tahoma" w:ascii="Century Gothic" w:hAnsi="Century Gothic"/>
                          <w:color w:val="00206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Century Gothic" w:hAnsi="Century Gothic" w:cs="Tahoma"/>
                          <w:b/>
                          <w:b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b/>
                          <w:color w:val="002060"/>
                          <w:u w:val="single"/>
                        </w:rPr>
                        <w:t xml:space="preserve">Valeur environnementale : 10 points </w:t>
                      </w:r>
                    </w:p>
                    <w:p>
                      <w:pPr>
                        <w:pStyle w:val="Contenudecadre"/>
                        <w:ind w:left="360" w:hanging="0"/>
                        <w:jc w:val="both"/>
                        <w:rPr>
                          <w:rFonts w:ascii="Century Gothic" w:hAnsi="Century Gothic" w:cs="Tahoma"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color w:val="002060"/>
                        </w:rPr>
                        <w:t xml:space="preserve"> </w:t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Century Gothic" w:hAnsi="Century Gothic" w:cs="Tahoma"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color w:val="002060"/>
                        </w:rPr>
                        <w:t>Description détaillée :</w:t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Century Gothic" w:hAnsi="Century Gothic" w:cs="Tahoma"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color w:val="002060"/>
                        </w:rPr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Century Gothic" w:hAnsi="Century Gothic" w:cs="Tahoma"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color w:val="002060"/>
                        </w:rPr>
                        <w:t xml:space="preserve">Les réponses sont notées sur 10 points, de la façon suivante : </w:t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Century Gothic" w:hAnsi="Century Gothic" w:cs="Tahoma"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color w:val="002060"/>
                        </w:rPr>
                      </w:r>
                    </w:p>
                    <w:p>
                      <w:pPr>
                        <w:pStyle w:val="Contenudecadre"/>
                        <w:jc w:val="both"/>
                        <w:rPr>
                          <w:rFonts w:ascii="Century Gothic" w:hAnsi="Century Gothic" w:cs="Tahoma"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color w:val="002060"/>
                        </w:rPr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sz w:val="22"/>
                          <w:szCs w:val="22"/>
                          <w:lang w:eastAsia="ar-SA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sz w:val="22"/>
                          <w:szCs w:val="22"/>
                          <w:lang w:eastAsia="ar-SA"/>
                        </w:rPr>
                        <w:t>Engagements portant sur la construction du taux d'alimentation durable : notés sur 2.5 points</w:t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color w:val="002060"/>
                        </w:rPr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color w:val="002060"/>
                        </w:rPr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i/>
                          <w:i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  <w:t>…</w:t>
                      </w: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  <w:t>..…(à compléter)……...</w:t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i/>
                          <w:i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i/>
                          <w:i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i/>
                          <w:i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color w:val="002060"/>
                        </w:rPr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sz w:val="22"/>
                          <w:szCs w:val="22"/>
                          <w:lang w:eastAsia="ar-SA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sz w:val="22"/>
                          <w:szCs w:val="22"/>
                          <w:lang w:eastAsia="ar-SA"/>
                        </w:rPr>
                        <w:t>Principes de reporting et de traçabilité des signes de qualité durables auprès de la CNAM et des convives : notés sur 2.5 points</w:t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b/>
                          <w:b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b/>
                          <w:color w:val="002060"/>
                        </w:rPr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b/>
                          <w:b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b/>
                          <w:color w:val="002060"/>
                        </w:rPr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color w:val="002060"/>
                        </w:rPr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i/>
                          <w:i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  <w:t>…</w:t>
                      </w: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  <w:t>..…(à compléter)……...</w:t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color w:val="002060"/>
                        </w:rPr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color w:val="002060"/>
                        </w:rPr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sz w:val="22"/>
                          <w:szCs w:val="22"/>
                          <w:lang w:eastAsia="ar-SA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sz w:val="22"/>
                          <w:szCs w:val="22"/>
                          <w:lang w:eastAsia="ar-SA"/>
                        </w:rPr>
                        <w:t>Engagement portant sur l'offre végétarienne quotidienne (catalogue et mode de production des recettes, formation des cuisiniers) noté sur 2.5 points</w:t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color w:val="002060"/>
                        </w:rPr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color w:val="002060"/>
                        </w:rPr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color w:val="002060"/>
                        </w:rPr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color w:val="002060"/>
                        </w:rPr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i/>
                          <w:i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  <w:t>…</w:t>
                      </w: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  <w:t>..…(à compléter)……...</w:t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i/>
                          <w:i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i/>
                          <w:i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i/>
                          <w:i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color w:val="002060"/>
                        </w:rPr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rFonts w:ascii="Arial" w:hAnsi="Arial" w:cs="Arial"/>
                          <w:b/>
                          <w:b/>
                          <w:bCs/>
                          <w:sz w:val="22"/>
                          <w:szCs w:val="22"/>
                          <w:lang w:eastAsia="ar-SA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sz w:val="22"/>
                          <w:szCs w:val="22"/>
                          <w:lang w:eastAsia="ar-SA"/>
                        </w:rPr>
                        <w:t>Sous critère n°4 : Actions concrètes mises en œuvre sur le site dans le cadre de la lutte contre le gaspillage alimentaire (vente des invendus,) notées sur 2.5 points</w:t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color w:val="002060"/>
                        </w:rPr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color w:val="002060"/>
                        </w:rPr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color w:val="002060"/>
                        </w:rPr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color w:val="002060"/>
                        </w:rPr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color w:val="002060"/>
                        </w:rPr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Tahoma"/>
                          <w:i/>
                          <w:i/>
                          <w:color w:val="002060"/>
                        </w:rPr>
                      </w:pP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  <w:t>…</w:t>
                      </w:r>
                      <w:r>
                        <w:rPr>
                          <w:rFonts w:cs="Tahoma" w:ascii="Century Gothic" w:hAnsi="Century Gothic"/>
                          <w:i/>
                          <w:color w:val="002060"/>
                        </w:rPr>
                        <w:t>..…(à compléter)……...</w:t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sectPr w:rsidR="007F42FD">
      <w:headerReference w:type="default" r:id="rId10"/>
      <w:pgSz w:w="11906" w:h="16838"/>
      <w:pgMar w:top="1417" w:right="1417" w:bottom="1417" w:left="1417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FED" w:rsidRDefault="004E797D">
      <w:r>
        <w:separator/>
      </w:r>
    </w:p>
  </w:endnote>
  <w:endnote w:type="continuationSeparator" w:id="0">
    <w:p w:rsidR="000D1FED" w:rsidRDefault="004E7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Times New Roman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Times New Roman"/>
    <w:charset w:val="00"/>
    <w:family w:val="roman"/>
    <w:pitch w:val="variable"/>
  </w:font>
  <w:font w:name="ArialMT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FED" w:rsidRDefault="004E797D">
      <w:r>
        <w:separator/>
      </w:r>
    </w:p>
  </w:footnote>
  <w:footnote w:type="continuationSeparator" w:id="0">
    <w:p w:rsidR="000D1FED" w:rsidRDefault="004E79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2FD" w:rsidRDefault="004E797D">
    <w:pPr>
      <w:pStyle w:val="En-tte"/>
    </w:pPr>
    <w:r>
      <w:rPr>
        <w:noProof/>
      </w:rPr>
      <w:drawing>
        <wp:inline distT="0" distB="0" distL="0" distR="0">
          <wp:extent cx="1188720" cy="628015"/>
          <wp:effectExtent l="0" t="0" r="0" b="0"/>
          <wp:docPr id="11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 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88720" cy="628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617FA"/>
    <w:multiLevelType w:val="multilevel"/>
    <w:tmpl w:val="1A9C5AE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entury Gothic" w:hAnsi="Century Gothic" w:cs="Century Gothic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DF55C50"/>
    <w:multiLevelType w:val="multilevel"/>
    <w:tmpl w:val="56BCF09E"/>
    <w:lvl w:ilvl="0">
      <w:start w:val="10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F7458D5"/>
    <w:multiLevelType w:val="multilevel"/>
    <w:tmpl w:val="7C880BE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2DE6547"/>
    <w:multiLevelType w:val="multilevel"/>
    <w:tmpl w:val="36269BF2"/>
    <w:lvl w:ilvl="0">
      <w:start w:val="10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Lato" w:hAnsi="Lato" w:cs="Lato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D8240AF"/>
    <w:multiLevelType w:val="multilevel"/>
    <w:tmpl w:val="83663E04"/>
    <w:lvl w:ilvl="0">
      <w:start w:val="10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entury Gothic" w:hAnsi="Century Gothic" w:cs="Century Gothic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2FD"/>
    <w:rsid w:val="000D1FED"/>
    <w:rsid w:val="004E797D"/>
    <w:rsid w:val="005575DE"/>
    <w:rsid w:val="007F4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907C0"/>
  <w15:docId w15:val="{8BADAB23-CD50-4C6B-AE52-818AC13F1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210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5B75D9"/>
    <w:pPr>
      <w:keepNext/>
      <w:jc w:val="both"/>
      <w:textAlignment w:val="baseline"/>
      <w:outlineLvl w:val="1"/>
    </w:pPr>
    <w:rPr>
      <w:b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qFormat/>
    <w:rsid w:val="005B75D9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character" w:customStyle="1" w:styleId="En-tteCar">
    <w:name w:val="En-tête Car"/>
    <w:basedOn w:val="Policepardfaut"/>
    <w:uiPriority w:val="99"/>
    <w:qFormat/>
    <w:rsid w:val="00731302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731302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027381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027381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027381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220954"/>
    <w:rPr>
      <w:rFonts w:ascii="Segoe UI" w:eastAsia="Times New Roman" w:hAnsi="Segoe UI" w:cs="Segoe UI"/>
      <w:sz w:val="18"/>
      <w:szCs w:val="18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Corpsdetexte21">
    <w:name w:val="Corps de texte 21"/>
    <w:basedOn w:val="Normal"/>
    <w:qFormat/>
    <w:rsid w:val="005B75D9"/>
    <w:pPr>
      <w:textAlignment w:val="baseline"/>
    </w:pPr>
    <w:rPr>
      <w:szCs w:val="20"/>
    </w:rPr>
  </w:style>
  <w:style w:type="paragraph" w:styleId="Paragraphedeliste">
    <w:name w:val="List Paragraph"/>
    <w:basedOn w:val="Normal"/>
    <w:uiPriority w:val="34"/>
    <w:qFormat/>
    <w:rsid w:val="002724C7"/>
    <w:pPr>
      <w:ind w:left="720"/>
      <w:contextualSpacing/>
      <w:textAlignment w:val="baseline"/>
    </w:pPr>
    <w:rPr>
      <w:sz w:val="20"/>
      <w:szCs w:val="20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uiPriority w:val="99"/>
    <w:unhideWhenUsed/>
    <w:rsid w:val="00731302"/>
    <w:pPr>
      <w:tabs>
        <w:tab w:val="center" w:pos="4536"/>
        <w:tab w:val="right" w:pos="9072"/>
      </w:tabs>
      <w:textAlignment w:val="baseline"/>
    </w:pPr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731302"/>
    <w:pPr>
      <w:tabs>
        <w:tab w:val="center" w:pos="4536"/>
        <w:tab w:val="right" w:pos="9072"/>
      </w:tabs>
      <w:textAlignment w:val="baseline"/>
    </w:pPr>
    <w:rPr>
      <w:sz w:val="20"/>
      <w:szCs w:val="20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027381"/>
    <w:pPr>
      <w:textAlignment w:val="baseline"/>
    </w:pPr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qFormat/>
    <w:rsid w:val="00027381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220954"/>
    <w:rPr>
      <w:rFonts w:ascii="Segoe UI" w:hAnsi="Segoe UI" w:cs="Segoe UI"/>
      <w:sz w:val="18"/>
      <w:szCs w:val="18"/>
    </w:rPr>
  </w:style>
  <w:style w:type="paragraph" w:customStyle="1" w:styleId="Contenudecadre">
    <w:name w:val="Contenu de cadre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88a4-59cf-4112-944e-7a3556adaa74">
      <Terms xmlns="http://schemas.microsoft.com/office/infopath/2007/PartnerControls"/>
    </lcf76f155ced4ddcb4097134ff3c332f>
    <TaxCatchAll xmlns="05b9741e-d302-45f1-8ba8-fc740731a1c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AAADBEE029D745BD952BC90A647A79" ma:contentTypeVersion="18" ma:contentTypeDescription="Crée un document." ma:contentTypeScope="" ma:versionID="c6c9494ed05d725bee719502fe086bed">
  <xsd:schema xmlns:xsd="http://www.w3.org/2001/XMLSchema" xmlns:xs="http://www.w3.org/2001/XMLSchema" xmlns:p="http://schemas.microsoft.com/office/2006/metadata/properties" xmlns:ns2="7e0d88a4-59cf-4112-944e-7a3556adaa74" xmlns:ns3="05b9741e-d302-45f1-8ba8-fc740731a1ce" targetNamespace="http://schemas.microsoft.com/office/2006/metadata/properties" ma:root="true" ma:fieldsID="712271985ccfab03e6c1ce2346e796ac" ns2:_="" ns3:_="">
    <xsd:import namespace="7e0d88a4-59cf-4112-944e-7a3556adaa74"/>
    <xsd:import namespace="05b9741e-d302-45f1-8ba8-fc740731a1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88a4-59cf-4112-944e-7a3556adaa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47f7f7bb-03ed-44e2-b40c-9fb3702873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9741e-d302-45f1-8ba8-fc740731a1ce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40c74ed-896c-46d1-bc6f-7c893681220e}" ma:internalName="TaxCatchAll" ma:showField="CatchAllData" ma:web="05b9741e-d302-45f1-8ba8-fc740731a1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7BE70-12FC-4B73-A133-E4EE6F7E4BDF}">
  <ds:schemaRefs>
    <ds:schemaRef ds:uri="7e0d88a4-59cf-4112-944e-7a3556adaa74"/>
    <ds:schemaRef ds:uri="http://purl.org/dc/dcmitype/"/>
    <ds:schemaRef ds:uri="05b9741e-d302-45f1-8ba8-fc740731a1ce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04D7B41-A1AF-4768-8A61-9317DE2F0E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88a4-59cf-4112-944e-7a3556adaa74"/>
    <ds:schemaRef ds:uri="05b9741e-d302-45f1-8ba8-fc740731a1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916A11-1A1D-48EC-97DF-0C46153659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110</Words>
  <Characters>610</Characters>
  <Application>Microsoft Office Word</Application>
  <DocSecurity>0</DocSecurity>
  <Lines>5</Lines>
  <Paragraphs>1</Paragraphs>
  <ScaleCrop>false</ScaleCrop>
  <Company>Microsoft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Peton</dc:creator>
  <dc:description/>
  <cp:lastModifiedBy>BOULLE THOMAS (CNAM / Paris)</cp:lastModifiedBy>
  <cp:revision>4</cp:revision>
  <cp:lastPrinted>2024-01-31T10:23:00Z</cp:lastPrinted>
  <dcterms:created xsi:type="dcterms:W3CDTF">2025-02-14T15:28:00Z</dcterms:created>
  <dcterms:modified xsi:type="dcterms:W3CDTF">2025-02-21T10:22:00Z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ContentTypeId">
    <vt:lpwstr>0x01010081AAADBEE029D745BD952BC90A647A79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MediaServiceImageTags">
    <vt:lpwstr/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