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24018" w14:textId="354B5341" w:rsidR="00E72DE6" w:rsidRPr="00220E50" w:rsidRDefault="00101B40" w:rsidP="00BA79BC">
      <w:pPr>
        <w:jc w:val="center"/>
        <w:rPr>
          <w:rFonts w:ascii="Aptos Display" w:hAnsi="Aptos Display"/>
        </w:rPr>
      </w:pPr>
      <w:r w:rsidRPr="00220E50">
        <w:rPr>
          <w:rFonts w:ascii="Aptos Display" w:hAnsi="Aptos Display"/>
          <w:noProof/>
        </w:rPr>
        <w:drawing>
          <wp:inline distT="0" distB="0" distL="0" distR="0" wp14:anchorId="25C5AE1F" wp14:editId="7F00FE34">
            <wp:extent cx="5060950" cy="1076325"/>
            <wp:effectExtent l="0" t="0" r="0" b="0"/>
            <wp:docPr id="8" name="Image 7" descr="Une image contenant Police, texte, Graphique, graphism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9A9C7BCC-A726-358E-5F40-513448B247E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 descr="Une image contenant Police, texte, Graphique, graphisme&#10;&#10;Description générée automatiquement">
                      <a:extLst>
                        <a:ext uri="{FF2B5EF4-FFF2-40B4-BE49-F238E27FC236}">
                          <a16:creationId xmlns:a16="http://schemas.microsoft.com/office/drawing/2014/main" id="{9A9C7BCC-A726-358E-5F40-513448B247E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4608" cy="1077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1C37D" w14:textId="77777777" w:rsidR="00BA79BC" w:rsidRPr="00220E5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220E50">
        <w:rPr>
          <w:rFonts w:ascii="Aptos Display" w:hAnsi="Aptos Display"/>
          <w:b/>
          <w:sz w:val="28"/>
        </w:rPr>
        <w:t>CANEVAS</w:t>
      </w:r>
    </w:p>
    <w:p w14:paraId="24C58C78" w14:textId="77777777" w:rsidR="00BA79BC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220E50">
        <w:rPr>
          <w:rFonts w:ascii="Aptos Display" w:hAnsi="Aptos Display"/>
          <w:b/>
          <w:sz w:val="28"/>
        </w:rPr>
        <w:t>DOSSIER DE CANDIDATURE</w:t>
      </w:r>
    </w:p>
    <w:p w14:paraId="0045B855" w14:textId="33CA8B66" w:rsidR="008E7C97" w:rsidRPr="00220E50" w:rsidRDefault="008E7C97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8E7C97">
        <w:rPr>
          <w:rFonts w:ascii="Aptos Display" w:hAnsi="Aptos Display"/>
          <w:b/>
          <w:sz w:val="28"/>
        </w:rPr>
        <w:t>MAITRISE D’ŒUVRE POUR LA CONCEPTION ET LE SUIVI DES OPERATIONS DE DEMOLITION ET DE DESAMIANTAGE SUR LE PERIMETRE D’EUROMEDITERRANEE</w:t>
      </w:r>
    </w:p>
    <w:p w14:paraId="4C097307" w14:textId="7CC7AAA6" w:rsidR="00056BF8" w:rsidRPr="00220E50" w:rsidRDefault="00056BF8" w:rsidP="00121057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color w:val="FF0000"/>
          <w:sz w:val="24"/>
          <w:szCs w:val="24"/>
        </w:rPr>
        <w:t xml:space="preserve">Ce canevas </w:t>
      </w:r>
      <w:r w:rsidR="0081316A" w:rsidRPr="00220E50">
        <w:rPr>
          <w:rFonts w:ascii="Aptos Display" w:hAnsi="Aptos Display"/>
          <w:color w:val="FF0000"/>
          <w:sz w:val="24"/>
          <w:szCs w:val="24"/>
        </w:rPr>
        <w:t>regroupe l’ensemble des informations demandées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à l’article </w:t>
      </w:r>
      <w:r w:rsidR="00121057" w:rsidRPr="00220E50">
        <w:rPr>
          <w:rFonts w:ascii="Aptos Display" w:hAnsi="Aptos Display"/>
          <w:color w:val="FF0000"/>
          <w:sz w:val="24"/>
          <w:szCs w:val="24"/>
        </w:rPr>
        <w:t>4.5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du Règlement de </w:t>
      </w:r>
      <w:r w:rsidR="0081316A" w:rsidRPr="00220E50">
        <w:rPr>
          <w:rFonts w:ascii="Aptos Display" w:hAnsi="Aptos Display"/>
          <w:color w:val="FF0000"/>
          <w:sz w:val="24"/>
          <w:szCs w:val="24"/>
        </w:rPr>
        <w:t>pour évaluer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les capacités financières et professionnelles des candidats.</w:t>
      </w:r>
    </w:p>
    <w:p w14:paraId="25E59990" w14:textId="77777777" w:rsidR="0081316A" w:rsidRPr="00220E50" w:rsidRDefault="0081316A" w:rsidP="00121057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color w:val="FF0000"/>
          <w:sz w:val="24"/>
          <w:szCs w:val="24"/>
        </w:rPr>
        <w:t xml:space="preserve">Son </w:t>
      </w:r>
      <w:r w:rsidR="00056BF8" w:rsidRPr="00220E50">
        <w:rPr>
          <w:rFonts w:ascii="Aptos Display" w:hAnsi="Aptos Display"/>
          <w:color w:val="FF0000"/>
          <w:sz w:val="24"/>
          <w:szCs w:val="24"/>
        </w:rPr>
        <w:t>utilisation n’est pas obligatoire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et les</w:t>
      </w:r>
      <w:r w:rsidR="00056BF8" w:rsidRPr="00220E50">
        <w:rPr>
          <w:rFonts w:ascii="Aptos Display" w:hAnsi="Aptos Display"/>
          <w:color w:val="FF0000"/>
          <w:sz w:val="24"/>
          <w:szCs w:val="24"/>
        </w:rPr>
        <w:t xml:space="preserve"> informations demandées peuvent être transmise </w:t>
      </w:r>
      <w:r w:rsidR="00492856" w:rsidRPr="00220E50">
        <w:rPr>
          <w:rFonts w:ascii="Aptos Display" w:hAnsi="Aptos Display"/>
          <w:color w:val="FF0000"/>
          <w:sz w:val="24"/>
          <w:szCs w:val="24"/>
        </w:rPr>
        <w:t>sur</w:t>
      </w:r>
      <w:r w:rsidR="00056BF8" w:rsidRPr="00220E50">
        <w:rPr>
          <w:rFonts w:ascii="Aptos Display" w:hAnsi="Aptos Display"/>
          <w:color w:val="FF0000"/>
          <w:sz w:val="24"/>
          <w:szCs w:val="24"/>
        </w:rPr>
        <w:t xml:space="preserve"> tout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</w:t>
      </w:r>
      <w:r w:rsidR="00056BF8" w:rsidRPr="00220E50">
        <w:rPr>
          <w:rFonts w:ascii="Aptos Display" w:hAnsi="Aptos Display"/>
          <w:color w:val="FF0000"/>
          <w:sz w:val="24"/>
          <w:szCs w:val="24"/>
        </w:rPr>
        <w:t>support.</w:t>
      </w:r>
    </w:p>
    <w:p w14:paraId="218EBF24" w14:textId="57D1081E" w:rsidR="00056BF8" w:rsidRPr="00220E50" w:rsidRDefault="00056BF8" w:rsidP="00121057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b/>
          <w:bCs/>
          <w:color w:val="FF0000"/>
          <w:sz w:val="24"/>
          <w:szCs w:val="24"/>
        </w:rPr>
        <w:t>Si ce canevas est utilisé, il dispense de la remise des DC1 et DC2 ou du DUME.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</w:t>
      </w:r>
    </w:p>
    <w:p w14:paraId="7C479B9F" w14:textId="4BDE16CE" w:rsidR="00056BF8" w:rsidRPr="00220E50" w:rsidRDefault="00492856" w:rsidP="00121057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</w:rPr>
      </w:pPr>
      <w:r w:rsidRPr="00220E50">
        <w:rPr>
          <w:rFonts w:ascii="Aptos Display" w:hAnsi="Aptos Display"/>
          <w:color w:val="FF0000"/>
          <w:u w:val="single"/>
        </w:rPr>
        <w:t>Remarque</w:t>
      </w:r>
      <w:r w:rsidRPr="00220E50">
        <w:rPr>
          <w:rFonts w:ascii="Aptos Display" w:hAnsi="Aptos Display"/>
          <w:color w:val="FF0000"/>
        </w:rPr>
        <w:t xml:space="preserve"> : </w:t>
      </w:r>
      <w:r w:rsidR="00056BF8" w:rsidRPr="00220E50">
        <w:rPr>
          <w:rFonts w:ascii="Aptos Display" w:hAnsi="Aptos Display"/>
          <w:color w:val="FF0000"/>
        </w:rPr>
        <w:t xml:space="preserve">Il n’est pas demandé, au stade du dépôt de la candidature, la transmission des attestations de régularité de la situation fiscale et sociale. Ces pièces seront demandées </w:t>
      </w:r>
      <w:r w:rsidR="00101B40" w:rsidRPr="00220E50">
        <w:rPr>
          <w:rFonts w:ascii="Aptos Display" w:hAnsi="Aptos Display"/>
          <w:color w:val="FF0000"/>
        </w:rPr>
        <w:t xml:space="preserve">uniquement </w:t>
      </w:r>
      <w:r w:rsidR="00056BF8" w:rsidRPr="00220E50">
        <w:rPr>
          <w:rFonts w:ascii="Aptos Display" w:hAnsi="Aptos Display"/>
          <w:color w:val="FF0000"/>
        </w:rPr>
        <w:t xml:space="preserve">à l’attributaire du marché. </w:t>
      </w:r>
    </w:p>
    <w:p w14:paraId="52E48E06" w14:textId="77777777" w:rsidR="00BA79BC" w:rsidRPr="00220E50" w:rsidRDefault="00BA79BC">
      <w:pPr>
        <w:rPr>
          <w:rFonts w:ascii="Aptos Display" w:hAnsi="Aptos Display"/>
        </w:rPr>
      </w:pPr>
    </w:p>
    <w:p w14:paraId="25295CEA" w14:textId="77777777" w:rsidR="00E72DE6" w:rsidRPr="00220E5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220E50">
        <w:rPr>
          <w:rFonts w:ascii="Aptos Display" w:hAnsi="Aptos Display" w:cs="Arial"/>
          <w:b/>
          <w:bCs/>
        </w:rPr>
        <w:t xml:space="preserve">A </w:t>
      </w:r>
      <w:r w:rsidR="005C216D" w:rsidRPr="00220E50">
        <w:rPr>
          <w:rFonts w:ascii="Aptos Display" w:hAnsi="Aptos Display" w:cs="Arial"/>
          <w:b/>
          <w:bCs/>
        </w:rPr>
        <w:t>–</w:t>
      </w:r>
      <w:r w:rsidRPr="00220E50">
        <w:rPr>
          <w:rFonts w:ascii="Aptos Display" w:hAnsi="Aptos Display" w:cs="Arial"/>
          <w:b/>
          <w:bCs/>
        </w:rPr>
        <w:t xml:space="preserve"> Identification de l’acheteur</w:t>
      </w:r>
    </w:p>
    <w:p w14:paraId="3EDE4397" w14:textId="77777777" w:rsidR="005C216D" w:rsidRPr="00220E5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220E50">
        <w:rPr>
          <w:rFonts w:ascii="Aptos Display" w:hAnsi="Aptos Display" w:cs="Arial"/>
          <w:bCs/>
        </w:rPr>
        <w:t>ETABLISSEMENT PUBLIC D’AMENAGEMENT EUROMEDITERRANEE</w:t>
      </w:r>
    </w:p>
    <w:p w14:paraId="6FD3D5BD" w14:textId="77777777" w:rsidR="005C216D" w:rsidRPr="00220E5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220E50">
        <w:rPr>
          <w:rFonts w:ascii="Aptos Display" w:hAnsi="Aptos Display" w:cs="Arial"/>
          <w:bCs/>
        </w:rPr>
        <w:t>L'Astrolabe - 79 boulevard de Dunkerque</w:t>
      </w:r>
    </w:p>
    <w:p w14:paraId="2CBBA45B" w14:textId="77777777" w:rsidR="00E72DE6" w:rsidRPr="00220E5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220E50">
        <w:rPr>
          <w:rFonts w:ascii="Aptos Display" w:hAnsi="Aptos Display" w:cs="Arial"/>
          <w:bCs/>
        </w:rPr>
        <w:t>13002 Marseille</w:t>
      </w:r>
    </w:p>
    <w:p w14:paraId="359CF1BA" w14:textId="77777777" w:rsidR="005C216D" w:rsidRPr="00220E50" w:rsidRDefault="005C216D">
      <w:pPr>
        <w:rPr>
          <w:rFonts w:ascii="Aptos Display" w:hAnsi="Aptos Display" w:cs="Arial"/>
          <w:b/>
          <w:bCs/>
          <w:shd w:val="clear" w:color="auto" w:fill="66CCFF"/>
        </w:rPr>
      </w:pPr>
    </w:p>
    <w:p w14:paraId="60F24F06" w14:textId="77777777" w:rsidR="00E72DE6" w:rsidRPr="00220E5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220E50">
        <w:rPr>
          <w:rFonts w:ascii="Aptos Display" w:hAnsi="Aptos Display" w:cs="Arial"/>
          <w:b/>
          <w:bCs/>
        </w:rPr>
        <w:t xml:space="preserve">B </w:t>
      </w:r>
      <w:r w:rsidR="005C216D" w:rsidRPr="00220E50">
        <w:rPr>
          <w:rFonts w:ascii="Aptos Display" w:hAnsi="Aptos Display" w:cs="Arial"/>
          <w:b/>
          <w:bCs/>
        </w:rPr>
        <w:t>–</w:t>
      </w:r>
      <w:r w:rsidRPr="00220E50">
        <w:rPr>
          <w:rFonts w:ascii="Aptos Display" w:hAnsi="Aptos Display" w:cs="Arial"/>
          <w:b/>
          <w:bCs/>
        </w:rPr>
        <w:t xml:space="preserve"> Objet du système d’acquisition dynamique</w:t>
      </w:r>
    </w:p>
    <w:p w14:paraId="40A7C345" w14:textId="64AC9005" w:rsidR="00E72DE6" w:rsidRPr="00220E50" w:rsidRDefault="00E72DE6" w:rsidP="00DF35DD">
      <w:pPr>
        <w:spacing w:after="0"/>
        <w:jc w:val="both"/>
        <w:rPr>
          <w:rFonts w:ascii="Aptos Display" w:hAnsi="Aptos Display" w:cs="Arial"/>
          <w:bCs/>
        </w:rPr>
      </w:pPr>
      <w:r w:rsidRPr="00220E50">
        <w:rPr>
          <w:rFonts w:ascii="Aptos Display" w:hAnsi="Aptos Display" w:cs="Arial"/>
          <w:bCs/>
        </w:rPr>
        <w:t xml:space="preserve">La présente candidature est présentée pour </w:t>
      </w:r>
      <w:r w:rsidR="00CE0534" w:rsidRPr="00220E50">
        <w:rPr>
          <w:rFonts w:ascii="Aptos Display" w:hAnsi="Aptos Display" w:cs="Arial"/>
          <w:bCs/>
        </w:rPr>
        <w:t>la consultation « </w:t>
      </w:r>
      <w:r w:rsidR="008E7C97" w:rsidRPr="008E7C97">
        <w:rPr>
          <w:rFonts w:ascii="Aptos Display" w:hAnsi="Aptos Display" w:cs="Arial"/>
          <w:bCs/>
        </w:rPr>
        <w:t>MAITRISE D’ŒUVRE POUR LA CONCEPTION ET LE SUIVI DES OPERATIONS DE DEMOLITION ET DE DESAMIANTAGE SUR LE PERIMETRE D’EUROMEDITERRANEE</w:t>
      </w:r>
      <w:r w:rsidR="008E7C97">
        <w:rPr>
          <w:rFonts w:ascii="Aptos Display" w:hAnsi="Aptos Display" w:cs="Arial"/>
          <w:bCs/>
        </w:rPr>
        <w:t xml:space="preserve"> </w:t>
      </w:r>
      <w:r w:rsidR="00CE0534" w:rsidRPr="00220E50">
        <w:rPr>
          <w:rFonts w:ascii="Aptos Display" w:hAnsi="Aptos Display" w:cs="Arial"/>
          <w:bCs/>
        </w:rPr>
        <w:t>»</w:t>
      </w:r>
    </w:p>
    <w:p w14:paraId="44023F90" w14:textId="77777777" w:rsidR="005C216D" w:rsidRPr="00220E50" w:rsidRDefault="005C216D" w:rsidP="00E72DE6">
      <w:pPr>
        <w:rPr>
          <w:rFonts w:ascii="Aptos Display" w:hAnsi="Aptos Display" w:cs="Arial"/>
          <w:bCs/>
        </w:rPr>
      </w:pPr>
    </w:p>
    <w:p w14:paraId="254D405F" w14:textId="77777777" w:rsidR="005C216D" w:rsidRPr="00220E50" w:rsidRDefault="005C216D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220E50">
        <w:rPr>
          <w:rFonts w:ascii="Aptos Display" w:hAnsi="Aptos Display" w:cs="Arial"/>
          <w:b/>
          <w:bCs/>
        </w:rPr>
        <w:t xml:space="preserve">C – Présentation du candidat </w:t>
      </w:r>
    </w:p>
    <w:p w14:paraId="1FAB33D0" w14:textId="77777777" w:rsidR="00E72DE6" w:rsidRPr="00220E50" w:rsidRDefault="00E72DE6" w:rsidP="00E72DE6">
      <w:pPr>
        <w:pStyle w:val="En-tte"/>
        <w:tabs>
          <w:tab w:val="clear" w:pos="4536"/>
          <w:tab w:val="clear" w:pos="9072"/>
        </w:tabs>
        <w:rPr>
          <w:rFonts w:ascii="Aptos Display" w:hAnsi="Aptos Display" w:cs="Arial"/>
        </w:rPr>
      </w:pPr>
    </w:p>
    <w:p w14:paraId="139EF95B" w14:textId="77777777" w:rsidR="00101E31" w:rsidRPr="00220E50" w:rsidRDefault="00101E31" w:rsidP="00101E31">
      <w:pPr>
        <w:pStyle w:val="Corpsdetexte"/>
        <w:widowControl/>
        <w:ind w:firstLine="0"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220E50">
        <w:rPr>
          <w:rFonts w:ascii="Aptos Display" w:hAnsi="Aptos Display"/>
          <w:b/>
          <w:sz w:val="22"/>
          <w:szCs w:val="22"/>
          <w:u w:val="single"/>
        </w:rPr>
        <w:t>En cas de candidature individuelle</w:t>
      </w:r>
    </w:p>
    <w:p w14:paraId="54D0C444" w14:textId="77777777" w:rsidR="00101E31" w:rsidRPr="00220E5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tbl>
      <w:tblPr>
        <w:tblStyle w:val="Grilledetableauclaire"/>
        <w:tblW w:w="8926" w:type="dxa"/>
        <w:tblLayout w:type="fixed"/>
        <w:tblLook w:val="0000" w:firstRow="0" w:lastRow="0" w:firstColumn="0" w:lastColumn="0" w:noHBand="0" w:noVBand="0"/>
      </w:tblPr>
      <w:tblGrid>
        <w:gridCol w:w="5098"/>
        <w:gridCol w:w="3828"/>
      </w:tblGrid>
      <w:tr w:rsidR="00101E31" w:rsidRPr="00220E50" w14:paraId="0B44D99C" w14:textId="77777777" w:rsidTr="00101E31">
        <w:tc>
          <w:tcPr>
            <w:tcW w:w="5098" w:type="dxa"/>
          </w:tcPr>
          <w:p w14:paraId="680644FC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5391610C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0E669B7" w14:textId="77777777" w:rsidTr="00101E31">
        <w:tc>
          <w:tcPr>
            <w:tcW w:w="5098" w:type="dxa"/>
          </w:tcPr>
          <w:p w14:paraId="6B5CFDC0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220E5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97FA4E9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491E4A9" w14:textId="77777777" w:rsidTr="00101E31">
        <w:tc>
          <w:tcPr>
            <w:tcW w:w="5098" w:type="dxa"/>
          </w:tcPr>
          <w:p w14:paraId="027280FA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DCAB515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53FE7634" w14:textId="77777777" w:rsidTr="00101E31">
        <w:tc>
          <w:tcPr>
            <w:tcW w:w="5098" w:type="dxa"/>
          </w:tcPr>
          <w:p w14:paraId="4BFE05E1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6B346473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A3DC7A4" w14:textId="77777777" w:rsidTr="00101E31">
        <w:tc>
          <w:tcPr>
            <w:tcW w:w="5098" w:type="dxa"/>
          </w:tcPr>
          <w:p w14:paraId="64098E6B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lastRenderedPageBreak/>
              <w:t>Téléphone :</w:t>
            </w:r>
          </w:p>
        </w:tc>
        <w:tc>
          <w:tcPr>
            <w:tcW w:w="3828" w:type="dxa"/>
          </w:tcPr>
          <w:p w14:paraId="5DA97D6E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A961587" w14:textId="77777777" w:rsidTr="00101E31">
        <w:tc>
          <w:tcPr>
            <w:tcW w:w="5098" w:type="dxa"/>
          </w:tcPr>
          <w:p w14:paraId="3F20C0E2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669483ED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EF2CC7E" w14:textId="77777777" w:rsidTr="00101E31">
        <w:tc>
          <w:tcPr>
            <w:tcW w:w="5098" w:type="dxa"/>
          </w:tcPr>
          <w:p w14:paraId="1AC4D49B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0C1CFBC1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106D76E0" w14:textId="77777777" w:rsidTr="00101E31">
        <w:tc>
          <w:tcPr>
            <w:tcW w:w="5098" w:type="dxa"/>
          </w:tcPr>
          <w:p w14:paraId="539BCC26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1AF3A77F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5B91E0AA" w14:textId="77777777" w:rsidTr="00101E31">
        <w:tc>
          <w:tcPr>
            <w:tcW w:w="5098" w:type="dxa"/>
          </w:tcPr>
          <w:p w14:paraId="52762AA4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1A4EC96B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A097F18" w14:textId="77777777" w:rsidTr="00101E31">
        <w:tc>
          <w:tcPr>
            <w:tcW w:w="5098" w:type="dxa"/>
          </w:tcPr>
          <w:p w14:paraId="0664CEF3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6463F70C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220E50" w14:paraId="6145FA80" w14:textId="77777777" w:rsidTr="00101E31">
        <w:tc>
          <w:tcPr>
            <w:tcW w:w="5098" w:type="dxa"/>
          </w:tcPr>
          <w:p w14:paraId="095D9F9A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67C08F4A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54A7DA90" w14:textId="77777777" w:rsidR="00101E31" w:rsidRPr="00220E5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p w14:paraId="4678ACE4" w14:textId="77777777" w:rsidR="00101E31" w:rsidRPr="00220E50" w:rsidRDefault="00101E31" w:rsidP="00101E31">
      <w:pPr>
        <w:pStyle w:val="Corpsdetexte"/>
        <w:widowControl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220E50">
        <w:rPr>
          <w:rFonts w:ascii="Aptos Display" w:hAnsi="Aptos Display"/>
          <w:b/>
          <w:sz w:val="22"/>
          <w:szCs w:val="22"/>
          <w:u w:val="single"/>
        </w:rPr>
        <w:t>En cas de candidature sous forme de groupement d’entreprises</w:t>
      </w:r>
    </w:p>
    <w:p w14:paraId="1E8D73DB" w14:textId="77777777" w:rsidR="00101E31" w:rsidRPr="00220E5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33A267E9" w14:textId="77777777" w:rsidR="00101E31" w:rsidRPr="00220E50" w:rsidRDefault="00101E31" w:rsidP="00101E31">
      <w:pPr>
        <w:jc w:val="both"/>
        <w:rPr>
          <w:rFonts w:ascii="Aptos Display" w:hAnsi="Aptos Display"/>
        </w:rPr>
      </w:pPr>
      <w:r w:rsidRPr="00220E50">
        <w:rPr>
          <w:rFonts w:ascii="Aptos Display" w:hAnsi="Aptos Display"/>
        </w:rPr>
        <w:t>En application de l’article R. 2142-24 du code de la commande publique, le groupement est un groupement :</w:t>
      </w:r>
    </w:p>
    <w:p w14:paraId="787916D4" w14:textId="77777777" w:rsidR="00101E31" w:rsidRPr="00220E50" w:rsidRDefault="00101E31" w:rsidP="00101E31">
      <w:pPr>
        <w:jc w:val="center"/>
        <w:rPr>
          <w:rFonts w:ascii="Aptos Display" w:hAnsi="Aptos Display"/>
        </w:rPr>
      </w:pPr>
      <w:r w:rsidRPr="00220E50">
        <w:rPr>
          <w:rFonts w:ascii="Aptos Display" w:hAnsi="Aptos Display"/>
        </w:rPr>
        <w:sym w:font="Wingdings" w:char="F06F"/>
      </w:r>
      <w:r w:rsidRPr="00220E50">
        <w:rPr>
          <w:rFonts w:ascii="Aptos Display" w:hAnsi="Aptos Display"/>
        </w:rPr>
        <w:t xml:space="preserve"> conjoint  </w:t>
      </w:r>
      <w:r w:rsidRPr="00220E50">
        <w:rPr>
          <w:rFonts w:ascii="Aptos Display" w:hAnsi="Aptos Display"/>
        </w:rPr>
        <w:sym w:font="Wingdings" w:char="F06F"/>
      </w:r>
      <w:r w:rsidRPr="00220E50">
        <w:rPr>
          <w:rFonts w:ascii="Aptos Display" w:hAnsi="Aptos Display"/>
        </w:rPr>
        <w:t xml:space="preserve"> solidaire</w:t>
      </w:r>
    </w:p>
    <w:p w14:paraId="060F4B49" w14:textId="77777777" w:rsidR="00101E31" w:rsidRPr="00220E50" w:rsidRDefault="00101E31" w:rsidP="00101E31">
      <w:pPr>
        <w:jc w:val="both"/>
        <w:rPr>
          <w:rFonts w:ascii="Aptos Display" w:hAnsi="Aptos Display"/>
        </w:rPr>
      </w:pPr>
      <w:r w:rsidRPr="00220E50">
        <w:rPr>
          <w:rFonts w:ascii="Aptos Display" w:hAnsi="Aptos Display"/>
        </w:rPr>
        <w:t>En tout état de cause, le mandataire est solidaire, pour l'exécution du marché, de chacun des membres du groupement pour ses obligations contractuelles à l'égard du pouvoir adjudicateur.</w:t>
      </w:r>
    </w:p>
    <w:p w14:paraId="13C7D630" w14:textId="77777777" w:rsidR="00101E31" w:rsidRPr="00220E5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7470986C" w14:textId="77777777" w:rsidR="00101E31" w:rsidRPr="00220E5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220E50">
        <w:rPr>
          <w:rFonts w:ascii="Aptos Display" w:hAnsi="Aptos Display"/>
          <w:b/>
          <w:sz w:val="22"/>
          <w:szCs w:val="22"/>
        </w:rPr>
        <w:t>Premier cocontractant (MANDATAIRE du groupement)</w:t>
      </w:r>
    </w:p>
    <w:p w14:paraId="1E944ECA" w14:textId="77777777" w:rsidR="00101E31" w:rsidRPr="00220E50" w:rsidRDefault="00101E31" w:rsidP="00101E31">
      <w:pPr>
        <w:pStyle w:val="Corpsdetexte"/>
        <w:widowControl/>
        <w:ind w:left="644" w:firstLine="0"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220E50" w14:paraId="00AC81DD" w14:textId="77777777" w:rsidTr="00101E31">
        <w:tc>
          <w:tcPr>
            <w:tcW w:w="5240" w:type="dxa"/>
          </w:tcPr>
          <w:p w14:paraId="3A9F500F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0CCF1D87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1CADC0CC" w14:textId="77777777" w:rsidTr="00101E31">
        <w:tc>
          <w:tcPr>
            <w:tcW w:w="5240" w:type="dxa"/>
          </w:tcPr>
          <w:p w14:paraId="74FEA923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220E5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8ABAA36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A43E8FA" w14:textId="77777777" w:rsidTr="00101E31">
        <w:tc>
          <w:tcPr>
            <w:tcW w:w="5240" w:type="dxa"/>
          </w:tcPr>
          <w:p w14:paraId="50CA0A28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1F47546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035C0DF3" w14:textId="77777777" w:rsidTr="00101E31">
        <w:tc>
          <w:tcPr>
            <w:tcW w:w="5240" w:type="dxa"/>
          </w:tcPr>
          <w:p w14:paraId="2A4DA40D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7F9B4968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1A2A8922" w14:textId="77777777" w:rsidTr="00101E31">
        <w:tc>
          <w:tcPr>
            <w:tcW w:w="5240" w:type="dxa"/>
          </w:tcPr>
          <w:p w14:paraId="7D8FDDCB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133CAFA2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AF612F6" w14:textId="77777777" w:rsidTr="00101E31">
        <w:tc>
          <w:tcPr>
            <w:tcW w:w="5240" w:type="dxa"/>
          </w:tcPr>
          <w:p w14:paraId="6CDBA86D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41D95DF3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0355D01" w14:textId="77777777" w:rsidTr="00101E31">
        <w:tc>
          <w:tcPr>
            <w:tcW w:w="5240" w:type="dxa"/>
          </w:tcPr>
          <w:p w14:paraId="5D423F7B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18A42E6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216B3C3A" w14:textId="77777777" w:rsidTr="00101E31">
        <w:tc>
          <w:tcPr>
            <w:tcW w:w="5240" w:type="dxa"/>
          </w:tcPr>
          <w:p w14:paraId="5A3DB4F8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0C54847C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1CED968" w14:textId="77777777" w:rsidTr="00101E31">
        <w:tc>
          <w:tcPr>
            <w:tcW w:w="5240" w:type="dxa"/>
          </w:tcPr>
          <w:p w14:paraId="29F232DF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4B965886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5DC3D0B6" w14:textId="77777777" w:rsidTr="00101E31">
        <w:tc>
          <w:tcPr>
            <w:tcW w:w="5240" w:type="dxa"/>
          </w:tcPr>
          <w:p w14:paraId="5777449F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15905970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220E50" w14:paraId="703D4034" w14:textId="77777777" w:rsidTr="00101E31">
        <w:tc>
          <w:tcPr>
            <w:tcW w:w="5240" w:type="dxa"/>
          </w:tcPr>
          <w:p w14:paraId="3C2ACAB5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50AF4D81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8D4EBC5" w14:textId="77777777" w:rsidR="00101E31" w:rsidRPr="00220E5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1B65DF87" w14:textId="77777777" w:rsidR="00101E31" w:rsidRPr="00220E5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220E50">
        <w:rPr>
          <w:rFonts w:ascii="Aptos Display" w:hAnsi="Aptos Display"/>
          <w:b/>
          <w:sz w:val="22"/>
          <w:szCs w:val="22"/>
        </w:rPr>
        <w:t>Deuxième cocontractant</w:t>
      </w:r>
    </w:p>
    <w:p w14:paraId="2E3CF45E" w14:textId="77777777" w:rsidR="00101E31" w:rsidRPr="00220E50" w:rsidRDefault="00101E31" w:rsidP="00101E31">
      <w:pPr>
        <w:pStyle w:val="Corpsdetexte"/>
        <w:widowControl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220E50" w14:paraId="2400C2FB" w14:textId="77777777" w:rsidTr="00101E31">
        <w:tc>
          <w:tcPr>
            <w:tcW w:w="5240" w:type="dxa"/>
          </w:tcPr>
          <w:p w14:paraId="73778812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4BAC1725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727C844E" w14:textId="77777777" w:rsidTr="00101E31">
        <w:tc>
          <w:tcPr>
            <w:tcW w:w="5240" w:type="dxa"/>
          </w:tcPr>
          <w:p w14:paraId="4C44D72C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220E5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07FF9179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07634B5" w14:textId="77777777" w:rsidTr="00101E31">
        <w:tc>
          <w:tcPr>
            <w:tcW w:w="5240" w:type="dxa"/>
          </w:tcPr>
          <w:p w14:paraId="2DEC8AC4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6694405E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7489051" w14:textId="77777777" w:rsidTr="00101E31">
        <w:tc>
          <w:tcPr>
            <w:tcW w:w="5240" w:type="dxa"/>
          </w:tcPr>
          <w:p w14:paraId="31D0E670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362512A2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72E791AE" w14:textId="77777777" w:rsidTr="00101E31">
        <w:tc>
          <w:tcPr>
            <w:tcW w:w="5240" w:type="dxa"/>
          </w:tcPr>
          <w:p w14:paraId="45D5477F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2224A556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2A0B2D09" w14:textId="77777777" w:rsidTr="00101E31">
        <w:tc>
          <w:tcPr>
            <w:tcW w:w="5240" w:type="dxa"/>
          </w:tcPr>
          <w:p w14:paraId="38CCBE51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lastRenderedPageBreak/>
              <w:t>Courriel :</w:t>
            </w:r>
          </w:p>
        </w:tc>
        <w:tc>
          <w:tcPr>
            <w:tcW w:w="3828" w:type="dxa"/>
          </w:tcPr>
          <w:p w14:paraId="21ADF7E1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1DB57521" w14:textId="77777777" w:rsidTr="00101E31">
        <w:tc>
          <w:tcPr>
            <w:tcW w:w="5240" w:type="dxa"/>
          </w:tcPr>
          <w:p w14:paraId="09CB71E3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CDCCD1B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4E9C1AC" w14:textId="77777777" w:rsidTr="00101E31">
        <w:tc>
          <w:tcPr>
            <w:tcW w:w="5240" w:type="dxa"/>
          </w:tcPr>
          <w:p w14:paraId="555B312E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267A8269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1FFF54CC" w14:textId="77777777" w:rsidTr="00101E31">
        <w:tc>
          <w:tcPr>
            <w:tcW w:w="5240" w:type="dxa"/>
          </w:tcPr>
          <w:p w14:paraId="56B7C0EB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6270E49D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915BA5A" w14:textId="77777777" w:rsidTr="00101E31">
        <w:tc>
          <w:tcPr>
            <w:tcW w:w="5240" w:type="dxa"/>
          </w:tcPr>
          <w:p w14:paraId="2164CFF5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338AA62C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220E50" w14:paraId="6F9CF3EB" w14:textId="77777777" w:rsidTr="00101E31">
        <w:tc>
          <w:tcPr>
            <w:tcW w:w="5240" w:type="dxa"/>
          </w:tcPr>
          <w:p w14:paraId="019AFCC5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31DFBE86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057A75C" w14:textId="77777777" w:rsidR="00101E31" w:rsidRPr="00220E5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  <w:r w:rsidRPr="00220E50">
        <w:rPr>
          <w:rFonts w:ascii="Aptos Display" w:hAnsi="Aptos Display"/>
          <w:sz w:val="22"/>
          <w:szCs w:val="22"/>
        </w:rPr>
        <w:t xml:space="preserve">(*) ce cadre est à multiplier pour les cotraitants supplémentaires. </w:t>
      </w:r>
    </w:p>
    <w:p w14:paraId="4A54EF93" w14:textId="77777777" w:rsidR="00101E31" w:rsidRPr="00220E50" w:rsidRDefault="00101E31" w:rsidP="00E72DE6">
      <w:pPr>
        <w:rPr>
          <w:rFonts w:ascii="Aptos Display" w:hAnsi="Aptos Display" w:cs="Arial"/>
          <w:bCs/>
        </w:rPr>
      </w:pPr>
    </w:p>
    <w:p w14:paraId="6E8C732F" w14:textId="77777777" w:rsidR="00BA79BC" w:rsidRPr="00220E5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220E50">
        <w:rPr>
          <w:rFonts w:ascii="Aptos Display" w:hAnsi="Aptos Display" w:cs="Arial"/>
          <w:b/>
          <w:bCs/>
        </w:rPr>
        <w:t>D – Engagements du candidat individuel ou de chaque membre du groupement</w:t>
      </w:r>
    </w:p>
    <w:p w14:paraId="2210E7D9" w14:textId="5E065846" w:rsidR="00E72DE6" w:rsidRPr="00220E5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220E50">
        <w:rPr>
          <w:rFonts w:ascii="Aptos Display" w:hAnsi="Aptos Display" w:cs="Arial"/>
        </w:rPr>
        <w:t xml:space="preserve">Le candidat individuel, ou chaque membre du groupement, déclare sur l’honneur ne pas entrer dans l’un des cas d’exclusion prévus aux </w:t>
      </w:r>
      <w:hyperlink r:id="rId9" w:history="1">
        <w:r w:rsidRPr="00220E50">
          <w:rPr>
            <w:rStyle w:val="Lienhypertexte"/>
            <w:rFonts w:ascii="Aptos Display" w:hAnsi="Aptos Display" w:cs="Arial"/>
          </w:rPr>
          <w:t>articles L. 2141-1 à L. 2141-5</w:t>
        </w:r>
      </w:hyperlink>
      <w:r w:rsidRPr="00220E50">
        <w:rPr>
          <w:rFonts w:ascii="Aptos Display" w:hAnsi="Aptos Display" w:cs="Arial"/>
        </w:rPr>
        <w:t xml:space="preserve"> ou aux </w:t>
      </w:r>
      <w:hyperlink r:id="rId10" w:history="1">
        <w:r w:rsidRPr="00220E50">
          <w:rPr>
            <w:rStyle w:val="Lienhypertexte"/>
            <w:rFonts w:ascii="Aptos Display" w:hAnsi="Aptos Display" w:cs="Arial"/>
          </w:rPr>
          <w:t>articles L. 2141-7 à L. 2141-10</w:t>
        </w:r>
      </w:hyperlink>
      <w:r w:rsidRPr="00220E50">
        <w:rPr>
          <w:rFonts w:ascii="Aptos Display" w:hAnsi="Aptos Display" w:cs="Arial"/>
        </w:rPr>
        <w:t xml:space="preserve"> du code de la commande publique (*)</w:t>
      </w:r>
      <w:r w:rsidR="001B0C35" w:rsidRPr="00220E50">
        <w:rPr>
          <w:rFonts w:ascii="Aptos Display" w:hAnsi="Aptos Display" w:cs="Arial"/>
        </w:rPr>
        <w:t>.</w:t>
      </w:r>
    </w:p>
    <w:p w14:paraId="45AEA7F7" w14:textId="77777777" w:rsidR="00E72DE6" w:rsidRPr="00220E5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220E50">
        <w:rPr>
          <w:rFonts w:ascii="Aptos Display" w:hAnsi="Aptos Display" w:cs="Arial"/>
        </w:rPr>
        <w:t xml:space="preserve">Afin d’attester que le candidat individuel, ou chaque membre du groupement, n’est pas dans un de ces cas d’exclusion, cocher la case suivante : </w:t>
      </w:r>
      <w:sdt>
        <w:sdtPr>
          <w:rPr>
            <w:rFonts w:ascii="Aptos Display" w:hAnsi="Aptos Display" w:cs="Arial"/>
            <w:color w:val="2B579A"/>
            <w:shd w:val="clear" w:color="auto" w:fill="E6E6E6"/>
          </w:rPr>
          <w:id w:val="-613833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C48" w:rsidRPr="00220E50">
            <w:rPr>
              <w:rFonts w:ascii="Aptos Display" w:eastAsia="MS Gothic" w:hAnsi="Aptos Display" w:cs="Arial"/>
            </w:rPr>
            <w:t>☐</w:t>
          </w:r>
        </w:sdtContent>
      </w:sdt>
    </w:p>
    <w:p w14:paraId="586E772F" w14:textId="77777777" w:rsidR="00E72DE6" w:rsidRPr="00220E50" w:rsidRDefault="00E72DE6" w:rsidP="00E72DE6">
      <w:pPr>
        <w:jc w:val="both"/>
        <w:rPr>
          <w:rFonts w:ascii="Aptos Display" w:hAnsi="Aptos Display" w:cs="Arial"/>
          <w:sz w:val="18"/>
          <w:szCs w:val="18"/>
        </w:rPr>
      </w:pPr>
      <w:r w:rsidRPr="00220E50">
        <w:rPr>
          <w:rFonts w:ascii="Aptos Display" w:hAnsi="Aptos Display" w:cs="Arial"/>
        </w:rPr>
        <w:t>(*) </w:t>
      </w:r>
      <w:r w:rsidRPr="00220E50">
        <w:rPr>
          <w:rFonts w:ascii="Aptos Display" w:hAnsi="Aptos Display" w:cs="Arial"/>
          <w:sz w:val="18"/>
          <w:szCs w:val="18"/>
        </w:rPr>
        <w:t xml:space="preserve">Lorsqu'un opérateur économique est, au cours de la procédure de passation d'un marché, placé dans l'un des cas d'exclusion mentionnés aux </w:t>
      </w:r>
      <w:hyperlink r:id="rId11" w:history="1">
        <w:r w:rsidRPr="00220E50">
          <w:rPr>
            <w:rStyle w:val="Lienhypertexte"/>
            <w:rFonts w:ascii="Aptos Display" w:hAnsi="Aptos Display" w:cs="Arial"/>
            <w:sz w:val="18"/>
            <w:szCs w:val="18"/>
          </w:rPr>
          <w:t>articles L. 2141-1 à L. 2141-5</w:t>
        </w:r>
      </w:hyperlink>
      <w:r w:rsidRPr="00220E50">
        <w:rPr>
          <w:rFonts w:ascii="Aptos Display" w:hAnsi="Aptos Display" w:cs="Arial"/>
          <w:sz w:val="18"/>
          <w:szCs w:val="18"/>
        </w:rPr>
        <w:t xml:space="preserve">, aux </w:t>
      </w:r>
      <w:hyperlink r:id="rId12" w:history="1">
        <w:r w:rsidRPr="00220E50">
          <w:rPr>
            <w:rStyle w:val="Lienhypertexte"/>
            <w:rFonts w:ascii="Aptos Display" w:hAnsi="Aptos Display" w:cs="Arial"/>
            <w:sz w:val="18"/>
            <w:szCs w:val="18"/>
          </w:rPr>
          <w:t>articles L. 2141-7 à L. 2141-10</w:t>
        </w:r>
      </w:hyperlink>
      <w:r w:rsidRPr="00220E50">
        <w:rPr>
          <w:rFonts w:ascii="Aptos Display" w:hAnsi="Aptos Display" w:cs="Arial"/>
          <w:sz w:val="18"/>
          <w:szCs w:val="18"/>
        </w:rPr>
        <w:t xml:space="preserve"> ou aux </w:t>
      </w:r>
      <w:hyperlink r:id="rId13" w:history="1">
        <w:r w:rsidRPr="00220E50">
          <w:rPr>
            <w:rStyle w:val="Lienhypertexte"/>
            <w:rFonts w:ascii="Aptos Display" w:hAnsi="Aptos Display" w:cs="Arial"/>
            <w:sz w:val="18"/>
            <w:szCs w:val="18"/>
          </w:rPr>
          <w:t>articles L. 2341-1 à L. 2341-3</w:t>
        </w:r>
      </w:hyperlink>
      <w:r w:rsidRPr="00220E50">
        <w:rPr>
          <w:rFonts w:ascii="Aptos Display" w:hAnsi="Aptos Display" w:cs="Arial"/>
          <w:sz w:val="18"/>
          <w:szCs w:val="18"/>
        </w:rPr>
        <w:t xml:space="preserve">  du code de la commande publique, il informe sans délai l'acheteur de ce changement de situation.</w:t>
      </w:r>
    </w:p>
    <w:p w14:paraId="20DF38B7" w14:textId="77777777" w:rsidR="004E2C48" w:rsidRPr="00220E50" w:rsidRDefault="004E2C48" w:rsidP="00E72DE6">
      <w:pPr>
        <w:jc w:val="both"/>
        <w:rPr>
          <w:rFonts w:ascii="Aptos Display" w:hAnsi="Aptos Display" w:cs="Arial"/>
          <w:sz w:val="18"/>
          <w:szCs w:val="18"/>
        </w:rPr>
      </w:pPr>
    </w:p>
    <w:p w14:paraId="2E8F9AE0" w14:textId="77777777" w:rsidR="00BA79BC" w:rsidRPr="00220E5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220E50">
        <w:rPr>
          <w:rFonts w:ascii="Aptos Display" w:hAnsi="Aptos Display" w:cs="Arial"/>
          <w:b/>
          <w:bCs/>
        </w:rPr>
        <w:t>E – Renseignements relatifs à la capacité économique et financière du candidat individuel ou du membre du groupement</w:t>
      </w:r>
    </w:p>
    <w:p w14:paraId="55015E49" w14:textId="77777777" w:rsidR="00E72DE6" w:rsidRPr="00220E50" w:rsidRDefault="00E72DE6" w:rsidP="00E72DE6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ptos Display" w:hAnsi="Aptos Display" w:cs="Arial"/>
          <w:iCs/>
        </w:rPr>
      </w:pPr>
      <w:r w:rsidRPr="00220E50">
        <w:rPr>
          <w:rFonts w:ascii="Aptos Display" w:hAnsi="Aptos Display" w:cs="Arial"/>
          <w:b/>
          <w:bCs/>
          <w:sz w:val="22"/>
          <w:szCs w:val="22"/>
        </w:rPr>
        <w:t>Chiffres d’affaires hors taxes des trois derniers exercices disponibles</w:t>
      </w:r>
    </w:p>
    <w:p w14:paraId="308AF9E0" w14:textId="77777777" w:rsidR="00E72DE6" w:rsidRPr="00220E50" w:rsidRDefault="00E72DE6" w:rsidP="00E72DE6">
      <w:pPr>
        <w:pStyle w:val="En-tte"/>
        <w:tabs>
          <w:tab w:val="clear" w:pos="4536"/>
          <w:tab w:val="clear" w:pos="9072"/>
          <w:tab w:val="left" w:pos="864"/>
        </w:tabs>
        <w:rPr>
          <w:rFonts w:ascii="Aptos Display" w:hAnsi="Aptos Display" w:cs="Arial"/>
          <w:iCs/>
        </w:rPr>
      </w:pPr>
    </w:p>
    <w:tbl>
      <w:tblPr>
        <w:tblW w:w="10281" w:type="dxa"/>
        <w:tblInd w:w="-4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E72DE6" w:rsidRPr="00220E50" w14:paraId="7BC33B4B" w14:textId="77777777" w:rsidTr="00BA79BC">
        <w:trPr>
          <w:trHeight w:val="737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EA0DAAB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BF1B939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</w:rPr>
              <w:t>Exercice</w:t>
            </w:r>
            <w:r w:rsidRPr="00220E50">
              <w:rPr>
                <w:rFonts w:ascii="Aptos Display" w:hAnsi="Aptos Display" w:cs="Arial"/>
              </w:rPr>
              <w:tab/>
              <w:t>du ..................</w:t>
            </w:r>
            <w:r w:rsidRPr="00220E50">
              <w:rPr>
                <w:rFonts w:ascii="Aptos Display" w:hAnsi="Aptos Display" w:cs="Arial"/>
              </w:rPr>
              <w:br/>
            </w:r>
            <w:r w:rsidRPr="00220E5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635B9726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</w:rPr>
              <w:t>Exercice</w:t>
            </w:r>
            <w:r w:rsidRPr="00220E50">
              <w:rPr>
                <w:rFonts w:ascii="Aptos Display" w:hAnsi="Aptos Display" w:cs="Arial"/>
              </w:rPr>
              <w:tab/>
              <w:t>du ..................</w:t>
            </w:r>
            <w:r w:rsidRPr="00220E50">
              <w:rPr>
                <w:rFonts w:ascii="Aptos Display" w:hAnsi="Aptos Display" w:cs="Arial"/>
              </w:rPr>
              <w:br/>
            </w:r>
            <w:r w:rsidRPr="00220E5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C265AB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</w:rPr>
              <w:t>Exercice</w:t>
            </w:r>
            <w:r w:rsidRPr="00220E50">
              <w:rPr>
                <w:rFonts w:ascii="Aptos Display" w:hAnsi="Aptos Display" w:cs="Arial"/>
              </w:rPr>
              <w:tab/>
              <w:t>du ..................</w:t>
            </w:r>
            <w:r w:rsidRPr="00220E50">
              <w:rPr>
                <w:rFonts w:ascii="Aptos Display" w:hAnsi="Aptos Display" w:cs="Arial"/>
              </w:rPr>
              <w:br/>
            </w:r>
            <w:r w:rsidRPr="00220E50">
              <w:rPr>
                <w:rFonts w:ascii="Aptos Display" w:hAnsi="Aptos Display" w:cs="Arial"/>
              </w:rPr>
              <w:tab/>
              <w:t>au ..................</w:t>
            </w:r>
          </w:p>
        </w:tc>
      </w:tr>
      <w:tr w:rsidR="00E72DE6" w:rsidRPr="00220E50" w14:paraId="7E469BCF" w14:textId="77777777" w:rsidTr="00BA79BC">
        <w:trPr>
          <w:trHeight w:val="737"/>
        </w:trPr>
        <w:tc>
          <w:tcPr>
            <w:tcW w:w="25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BC694D9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</w:rPr>
              <w:t>Chiffre d’affaires global (ne remplir que pour les exercices pour lesquels ce renseignement est demandé par l’acheteur)</w:t>
            </w:r>
          </w:p>
        </w:tc>
        <w:tc>
          <w:tcPr>
            <w:tcW w:w="256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C49122F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7A4B8E9B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FAAC1FA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E05C6E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</w:tr>
      <w:tr w:rsidR="00E72DE6" w:rsidRPr="00220E50" w14:paraId="49755D48" w14:textId="77777777" w:rsidTr="00BA79BC">
        <w:trPr>
          <w:trHeight w:val="737"/>
        </w:trPr>
        <w:tc>
          <w:tcPr>
            <w:tcW w:w="25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5D448B6" w14:textId="283D8A1F" w:rsidR="00E72DE6" w:rsidRPr="00220E50" w:rsidRDefault="00E72DE6" w:rsidP="00BA79B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</w:rPr>
              <w:t xml:space="preserve">Part du chiffre d’affaires concernant les </w:t>
            </w:r>
            <w:r w:rsidR="00056BF8" w:rsidRPr="00220E50">
              <w:rPr>
                <w:rFonts w:ascii="Aptos Display" w:hAnsi="Aptos Display" w:cs="Arial"/>
              </w:rPr>
              <w:t>services</w:t>
            </w:r>
            <w:r w:rsidRPr="00220E50">
              <w:rPr>
                <w:rFonts w:ascii="Aptos Display" w:hAnsi="Aptos Display" w:cs="Arial"/>
              </w:rPr>
              <w:t xml:space="preserve">, objet du </w:t>
            </w:r>
            <w:r w:rsidR="00056BF8" w:rsidRPr="00220E50">
              <w:rPr>
                <w:rFonts w:ascii="Aptos Display" w:hAnsi="Aptos Display" w:cs="Arial"/>
              </w:rPr>
              <w:t>marché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BF65956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64CE35BF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220E5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5F0C3D1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10950431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220E5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CE886B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715448AF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</w:tr>
    </w:tbl>
    <w:p w14:paraId="368868CD" w14:textId="77777777" w:rsidR="00E72DE6" w:rsidRPr="00220E5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2A294B8D" w14:textId="77777777" w:rsidR="00E72DE6" w:rsidRPr="00220E5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  <w:r w:rsidRPr="00220E50">
        <w:rPr>
          <w:rFonts w:ascii="Aptos Display" w:hAnsi="Aptos Display" w:cs="Arial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 w14:paraId="0D7A093B" w14:textId="77777777" w:rsidR="00E72DE6" w:rsidRPr="00220E50" w:rsidRDefault="00E72DE6" w:rsidP="00E72DE6">
      <w:pPr>
        <w:tabs>
          <w:tab w:val="left" w:pos="864"/>
        </w:tabs>
        <w:ind w:left="567"/>
        <w:jc w:val="both"/>
        <w:rPr>
          <w:rFonts w:ascii="Aptos Display" w:hAnsi="Aptos Display" w:cs="Arial"/>
        </w:rPr>
      </w:pPr>
      <w:r w:rsidRPr="00220E50">
        <w:rPr>
          <w:rFonts w:ascii="Aptos Display" w:hAnsi="Aptos Display" w:cs="Arial"/>
        </w:rPr>
        <w:t>……./…………./……</w:t>
      </w:r>
    </w:p>
    <w:p w14:paraId="1DC0C738" w14:textId="77777777" w:rsidR="00BA79BC" w:rsidRPr="00220E50" w:rsidRDefault="00BA79BC" w:rsidP="00BA79BC">
      <w:pPr>
        <w:tabs>
          <w:tab w:val="left" w:pos="864"/>
        </w:tabs>
        <w:rPr>
          <w:rFonts w:ascii="Aptos Display" w:hAnsi="Aptos Display" w:cs="Arial"/>
        </w:rPr>
      </w:pPr>
    </w:p>
    <w:p w14:paraId="07A77E52" w14:textId="77777777" w:rsidR="00BA79BC" w:rsidRPr="00220E50" w:rsidRDefault="00BA79BC" w:rsidP="00BA79BC">
      <w:pPr>
        <w:pStyle w:val="Corpsdetexte"/>
        <w:widowControl/>
        <w:rPr>
          <w:rFonts w:ascii="Aptos Display" w:hAnsi="Aptos Display"/>
        </w:rPr>
      </w:pPr>
      <w:r w:rsidRPr="00220E50">
        <w:rPr>
          <w:rFonts w:ascii="Aptos Display" w:hAnsi="Aptos Display"/>
        </w:rPr>
        <w:t xml:space="preserve">(*) en cas de groupement, cette partie est à multiplier pour chacun des cotraitants. </w:t>
      </w:r>
    </w:p>
    <w:p w14:paraId="3FA5D480" w14:textId="4B1DFA4A" w:rsidR="004E2C48" w:rsidRPr="00220E50" w:rsidRDefault="004E2C48">
      <w:pPr>
        <w:rPr>
          <w:rFonts w:ascii="Aptos Display" w:hAnsi="Aptos Display" w:cs="Arial"/>
        </w:rPr>
      </w:pPr>
    </w:p>
    <w:p w14:paraId="57D5FBA1" w14:textId="77777777" w:rsidR="00BA79BC" w:rsidRPr="00220E50" w:rsidRDefault="00BA79BC" w:rsidP="00BA79BC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4723341E" w14:textId="77777777" w:rsidR="00BA79BC" w:rsidRPr="00220E5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220E50">
        <w:rPr>
          <w:rFonts w:ascii="Aptos Display" w:hAnsi="Aptos Display" w:cs="Arial"/>
          <w:b/>
          <w:bCs/>
        </w:rPr>
        <w:t>F – Renseignements relatifs à la capacité technique et professionnelle du candidat individuel ou du membre du groupement</w:t>
      </w:r>
    </w:p>
    <w:p w14:paraId="2C933A91" w14:textId="77777777" w:rsidR="00BA79BC" w:rsidRPr="00220E50" w:rsidRDefault="00BA79BC" w:rsidP="00BA79BC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73D29086" w14:textId="23CE68E7" w:rsidR="00084672" w:rsidRDefault="00565D27" w:rsidP="00084672">
      <w:pPr>
        <w:jc w:val="both"/>
        <w:rPr>
          <w:rFonts w:ascii="Aptos Display" w:eastAsia="Times New Roman" w:hAnsi="Aptos Display" w:cs="Arial"/>
          <w:b/>
          <w:bCs/>
          <w:lang w:eastAsia="zh-CN"/>
        </w:rPr>
      </w:pPr>
      <w:proofErr w:type="gramStart"/>
      <w:r>
        <w:rPr>
          <w:rFonts w:ascii="Aptos Display" w:eastAsia="Times New Roman" w:hAnsi="Aptos Display" w:cs="Arial"/>
          <w:b/>
          <w:bCs/>
          <w:lang w:eastAsia="zh-CN"/>
        </w:rPr>
        <w:t>L</w:t>
      </w:r>
      <w:r w:rsidRPr="00565D27">
        <w:rPr>
          <w:rFonts w:ascii="Aptos Display" w:eastAsia="Times New Roman" w:hAnsi="Aptos Display" w:cs="Arial"/>
          <w:b/>
          <w:bCs/>
          <w:lang w:eastAsia="zh-CN"/>
        </w:rPr>
        <w:t>iste  des</w:t>
      </w:r>
      <w:proofErr w:type="gramEnd"/>
      <w:r w:rsidRPr="00565D27">
        <w:rPr>
          <w:rFonts w:ascii="Aptos Display" w:eastAsia="Times New Roman" w:hAnsi="Aptos Display" w:cs="Arial"/>
          <w:b/>
          <w:bCs/>
          <w:lang w:eastAsia="zh-CN"/>
        </w:rPr>
        <w:t xml:space="preserve"> références de maitrise d’œuvre récentes (moins de 5 ans) sur des projets d’importance comparables à ceux des études de cas, en zone urbaine dense complexe (mitoyenneté/bâti ancien/amiante avec réemploi et réutilisation en filières courtes)</w:t>
      </w:r>
    </w:p>
    <w:p w14:paraId="251ED79C" w14:textId="77777777" w:rsidR="00565D27" w:rsidRPr="00084672" w:rsidRDefault="00565D27" w:rsidP="00084672">
      <w:pPr>
        <w:jc w:val="both"/>
        <w:rPr>
          <w:rFonts w:ascii="Aptos Display" w:eastAsia="Times New Roman" w:hAnsi="Aptos Display" w:cs="Arial"/>
          <w:i/>
          <w:iCs/>
          <w:lang w:eastAsia="zh-CN"/>
        </w:rPr>
      </w:pP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84672" w:rsidRPr="00084672" w14:paraId="2CD42A40" w14:textId="77777777" w:rsidTr="00F241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6FFF487B" w14:textId="77777777" w:rsidR="00084672" w:rsidRPr="00084672" w:rsidRDefault="00084672" w:rsidP="00F2412E">
            <w:pPr>
              <w:jc w:val="center"/>
              <w:rPr>
                <w:rFonts w:ascii="Aptos Display" w:hAnsi="Aptos Display"/>
                <w:b w:val="0"/>
                <w:bCs w:val="0"/>
              </w:rPr>
            </w:pPr>
            <w:r w:rsidRPr="00084672">
              <w:rPr>
                <w:rFonts w:ascii="Aptos Display" w:hAnsi="Aptos Display"/>
                <w:b w:val="0"/>
                <w:bCs w:val="0"/>
              </w:rPr>
              <w:t>Objet</w:t>
            </w:r>
          </w:p>
        </w:tc>
        <w:tc>
          <w:tcPr>
            <w:tcW w:w="2265" w:type="dxa"/>
            <w:vAlign w:val="center"/>
          </w:tcPr>
          <w:p w14:paraId="2F8C94CA" w14:textId="77777777" w:rsidR="00084672" w:rsidRPr="00084672" w:rsidRDefault="00084672" w:rsidP="00F241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084672">
              <w:rPr>
                <w:rFonts w:ascii="Aptos Display" w:hAnsi="Aptos Display"/>
                <w:b w:val="0"/>
                <w:bCs w:val="0"/>
              </w:rPr>
              <w:t>Montant</w:t>
            </w:r>
          </w:p>
        </w:tc>
        <w:tc>
          <w:tcPr>
            <w:tcW w:w="2266" w:type="dxa"/>
            <w:vAlign w:val="center"/>
          </w:tcPr>
          <w:p w14:paraId="3F34D7D5" w14:textId="77777777" w:rsidR="00084672" w:rsidRPr="00084672" w:rsidRDefault="00084672" w:rsidP="00F241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084672">
              <w:rPr>
                <w:rFonts w:ascii="Aptos Display" w:hAnsi="Aptos Display"/>
                <w:b w:val="0"/>
                <w:bCs w:val="0"/>
              </w:rPr>
              <w:t>Date</w:t>
            </w:r>
          </w:p>
        </w:tc>
        <w:tc>
          <w:tcPr>
            <w:tcW w:w="2266" w:type="dxa"/>
            <w:vAlign w:val="center"/>
          </w:tcPr>
          <w:p w14:paraId="6948E709" w14:textId="77777777" w:rsidR="00084672" w:rsidRPr="00084672" w:rsidRDefault="00084672" w:rsidP="00F241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084672">
              <w:rPr>
                <w:rFonts w:ascii="Aptos Display" w:hAnsi="Aptos Display"/>
                <w:b w:val="0"/>
                <w:bCs w:val="0"/>
              </w:rPr>
              <w:t>Destinataire</w:t>
            </w:r>
          </w:p>
        </w:tc>
      </w:tr>
      <w:tr w:rsidR="00084672" w:rsidRPr="00084672" w14:paraId="079C7B84" w14:textId="77777777" w:rsidTr="00F241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626594E4" w14:textId="77777777" w:rsidR="00084672" w:rsidRPr="00084672" w:rsidRDefault="00084672" w:rsidP="00F2412E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6E0DDF25" w14:textId="77777777" w:rsidR="00084672" w:rsidRPr="00084672" w:rsidRDefault="00084672" w:rsidP="00F241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253672FF" w14:textId="77777777" w:rsidR="00084672" w:rsidRPr="00084672" w:rsidRDefault="00084672" w:rsidP="00F241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34E6717C" w14:textId="77777777" w:rsidR="00084672" w:rsidRPr="00084672" w:rsidRDefault="00084672" w:rsidP="00F241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084672" w:rsidRPr="00084672" w14:paraId="41800BC6" w14:textId="77777777" w:rsidTr="00F2412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193B25C9" w14:textId="77777777" w:rsidR="00084672" w:rsidRPr="00084672" w:rsidRDefault="00084672" w:rsidP="00F2412E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0D2557A8" w14:textId="77777777" w:rsidR="00084672" w:rsidRPr="00084672" w:rsidRDefault="00084672" w:rsidP="00F241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6CA06E04" w14:textId="77777777" w:rsidR="00084672" w:rsidRPr="00084672" w:rsidRDefault="00084672" w:rsidP="00F241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61A9932D" w14:textId="77777777" w:rsidR="00084672" w:rsidRPr="00084672" w:rsidRDefault="00084672" w:rsidP="00F241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084672" w:rsidRPr="00084672" w14:paraId="25FE5CBA" w14:textId="77777777" w:rsidTr="00F241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68509061" w14:textId="77777777" w:rsidR="00084672" w:rsidRPr="00084672" w:rsidRDefault="00084672" w:rsidP="00F2412E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75BFD731" w14:textId="77777777" w:rsidR="00084672" w:rsidRPr="00084672" w:rsidRDefault="00084672" w:rsidP="00F241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5BAF599A" w14:textId="77777777" w:rsidR="00084672" w:rsidRPr="00084672" w:rsidRDefault="00084672" w:rsidP="00F241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710D4AE0" w14:textId="77777777" w:rsidR="00084672" w:rsidRPr="00084672" w:rsidRDefault="00084672" w:rsidP="00F241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084672" w:rsidRPr="00084672" w14:paraId="54D19D4B" w14:textId="77777777" w:rsidTr="00F2412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2A380E09" w14:textId="77777777" w:rsidR="00084672" w:rsidRPr="00084672" w:rsidRDefault="00084672" w:rsidP="00F2412E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437F272B" w14:textId="77777777" w:rsidR="00084672" w:rsidRPr="00084672" w:rsidRDefault="00084672" w:rsidP="00F241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000E636F" w14:textId="77777777" w:rsidR="00084672" w:rsidRPr="00084672" w:rsidRDefault="00084672" w:rsidP="00F241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43093F63" w14:textId="77777777" w:rsidR="00084672" w:rsidRPr="00084672" w:rsidRDefault="00084672" w:rsidP="00F241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</w:tbl>
    <w:p w14:paraId="088C360B" w14:textId="77777777" w:rsidR="00084672" w:rsidRPr="00084672" w:rsidRDefault="00084672" w:rsidP="00084672">
      <w:pPr>
        <w:rPr>
          <w:rFonts w:ascii="Aptos Display" w:eastAsia="Times New Roman" w:hAnsi="Aptos Display" w:cs="Times New Roman"/>
          <w:sz w:val="20"/>
          <w:szCs w:val="20"/>
          <w:lang w:eastAsia="fr-FR"/>
        </w:rPr>
      </w:pPr>
      <w:r w:rsidRPr="00084672">
        <w:rPr>
          <w:rFonts w:ascii="Aptos Display" w:eastAsia="Times New Roman" w:hAnsi="Aptos Display" w:cs="Times New Roman"/>
          <w:sz w:val="20"/>
          <w:szCs w:val="20"/>
          <w:lang w:eastAsia="fr-FR"/>
        </w:rPr>
        <w:t>(*) en cas de groupement, cette partie est à multiplier pour chacun des cotraitants.</w:t>
      </w:r>
    </w:p>
    <w:p w14:paraId="56908EC8" w14:textId="77777777" w:rsidR="00084672" w:rsidRPr="00084672" w:rsidRDefault="00084672" w:rsidP="00623EC7">
      <w:pPr>
        <w:jc w:val="both"/>
        <w:rPr>
          <w:rFonts w:ascii="Aptos Display" w:eastAsia="Times New Roman" w:hAnsi="Aptos Display" w:cs="Arial"/>
          <w:b/>
          <w:bCs/>
          <w:color w:val="FF0000"/>
          <w:lang w:eastAsia="zh-CN"/>
        </w:rPr>
      </w:pPr>
    </w:p>
    <w:p w14:paraId="272CA002" w14:textId="208692F5" w:rsidR="00A27487" w:rsidRDefault="00A27487" w:rsidP="00623EC7">
      <w:pPr>
        <w:jc w:val="both"/>
        <w:rPr>
          <w:rFonts w:ascii="Aptos Display" w:eastAsia="Times New Roman" w:hAnsi="Aptos Display" w:cs="Arial"/>
          <w:b/>
          <w:bCs/>
          <w:color w:val="FF0000"/>
          <w:lang w:eastAsia="zh-CN"/>
        </w:rPr>
      </w:pPr>
      <w:r w:rsidRPr="00084672">
        <w:rPr>
          <w:rFonts w:ascii="Aptos Display" w:eastAsia="Times New Roman" w:hAnsi="Aptos Display" w:cs="Arial"/>
          <w:b/>
          <w:bCs/>
          <w:color w:val="FF0000"/>
          <w:lang w:eastAsia="zh-CN"/>
        </w:rPr>
        <w:t>Les certificats de qualification professionnelle requis doivent être annexés au présent canevas</w:t>
      </w:r>
      <w:r w:rsidR="00874C82">
        <w:rPr>
          <w:rFonts w:ascii="Aptos Display" w:eastAsia="Times New Roman" w:hAnsi="Aptos Display" w:cs="Arial"/>
          <w:b/>
          <w:bCs/>
          <w:color w:val="FF0000"/>
          <w:lang w:eastAsia="zh-CN"/>
        </w:rPr>
        <w:t> :</w:t>
      </w:r>
    </w:p>
    <w:p w14:paraId="36EC1422" w14:textId="1E48859B" w:rsidR="00874C82" w:rsidRPr="00874C82" w:rsidRDefault="00874C82" w:rsidP="00874C82">
      <w:pPr>
        <w:pStyle w:val="Paragraphedeliste"/>
        <w:numPr>
          <w:ilvl w:val="0"/>
          <w:numId w:val="5"/>
        </w:numPr>
        <w:jc w:val="both"/>
        <w:rPr>
          <w:rFonts w:ascii="Aptos Display" w:eastAsia="Times New Roman" w:hAnsi="Aptos Display" w:cs="Times New Roman"/>
          <w:b/>
          <w:bCs/>
          <w:color w:val="FF0000"/>
        </w:rPr>
      </w:pPr>
      <w:r w:rsidRPr="00874C82">
        <w:rPr>
          <w:rFonts w:ascii="Aptos Display" w:eastAsia="Times New Roman" w:hAnsi="Aptos Display" w:cs="Times New Roman"/>
          <w:b/>
          <w:bCs/>
          <w:color w:val="FF0000"/>
        </w:rPr>
        <w:t>0902 Désamiantage</w:t>
      </w:r>
    </w:p>
    <w:p w14:paraId="19CD2123" w14:textId="5A0005C0" w:rsidR="00874C82" w:rsidRPr="00874C82" w:rsidRDefault="00874C82" w:rsidP="00874C82">
      <w:pPr>
        <w:pStyle w:val="Paragraphedeliste"/>
        <w:numPr>
          <w:ilvl w:val="0"/>
          <w:numId w:val="5"/>
        </w:numPr>
        <w:jc w:val="both"/>
        <w:rPr>
          <w:rFonts w:ascii="Aptos Display" w:eastAsia="Times New Roman" w:hAnsi="Aptos Display" w:cs="Times New Roman"/>
          <w:b/>
          <w:bCs/>
          <w:color w:val="FF0000"/>
        </w:rPr>
      </w:pPr>
      <w:r w:rsidRPr="00874C82">
        <w:rPr>
          <w:rFonts w:ascii="Aptos Display" w:eastAsia="Times New Roman" w:hAnsi="Aptos Display" w:cs="Times New Roman"/>
          <w:b/>
          <w:bCs/>
          <w:color w:val="FF0000"/>
        </w:rPr>
        <w:t>1202 Etude de structures béton courantes</w:t>
      </w:r>
    </w:p>
    <w:p w14:paraId="6D7D0BD0" w14:textId="0E55EDD5" w:rsidR="00874C82" w:rsidRPr="00874C82" w:rsidRDefault="00874C82" w:rsidP="00874C82">
      <w:pPr>
        <w:pStyle w:val="Paragraphedeliste"/>
        <w:numPr>
          <w:ilvl w:val="0"/>
          <w:numId w:val="5"/>
        </w:numPr>
        <w:jc w:val="both"/>
        <w:rPr>
          <w:rFonts w:ascii="Aptos Display" w:eastAsia="Times New Roman" w:hAnsi="Aptos Display" w:cs="Times New Roman"/>
          <w:b/>
          <w:bCs/>
          <w:color w:val="FF0000"/>
        </w:rPr>
      </w:pPr>
      <w:r>
        <w:rPr>
          <w:rFonts w:ascii="Aptos Display" w:eastAsia="Times New Roman" w:hAnsi="Aptos Display" w:cs="Times New Roman"/>
          <w:b/>
          <w:bCs/>
          <w:color w:val="FF0000"/>
        </w:rPr>
        <w:t>1</w:t>
      </w:r>
      <w:r w:rsidRPr="00874C82">
        <w:rPr>
          <w:rFonts w:ascii="Aptos Display" w:eastAsia="Times New Roman" w:hAnsi="Aptos Display" w:cs="Times New Roman"/>
          <w:b/>
          <w:bCs/>
          <w:color w:val="FF0000"/>
        </w:rPr>
        <w:t>208 Etude de démolition d’ouvrage</w:t>
      </w:r>
    </w:p>
    <w:p w14:paraId="713B0B11" w14:textId="219CD7D3" w:rsidR="00874C82" w:rsidRPr="00874C82" w:rsidRDefault="00874C82" w:rsidP="00874C82">
      <w:pPr>
        <w:pStyle w:val="Paragraphedeliste"/>
        <w:numPr>
          <w:ilvl w:val="0"/>
          <w:numId w:val="5"/>
        </w:numPr>
        <w:jc w:val="both"/>
        <w:rPr>
          <w:rFonts w:ascii="Aptos Display" w:eastAsia="Times New Roman" w:hAnsi="Aptos Display" w:cs="Times New Roman"/>
          <w:b/>
          <w:bCs/>
          <w:color w:val="FF0000"/>
        </w:rPr>
      </w:pPr>
      <w:r w:rsidRPr="00874C82">
        <w:rPr>
          <w:rFonts w:ascii="Aptos Display" w:eastAsia="Times New Roman" w:hAnsi="Aptos Display" w:cs="Times New Roman"/>
          <w:b/>
          <w:bCs/>
          <w:color w:val="FF0000"/>
        </w:rPr>
        <w:t>1904 Diagnostic en réutilisation-réhabilitation des ouvrages de bâtiment tout corps d’état</w:t>
      </w:r>
    </w:p>
    <w:p w14:paraId="237AE1C5" w14:textId="26B2F71A" w:rsidR="00874C82" w:rsidRPr="00874C82" w:rsidRDefault="00874C82" w:rsidP="00874C82">
      <w:pPr>
        <w:pStyle w:val="Paragraphedeliste"/>
        <w:numPr>
          <w:ilvl w:val="0"/>
          <w:numId w:val="5"/>
        </w:numPr>
        <w:jc w:val="both"/>
        <w:rPr>
          <w:rFonts w:ascii="Aptos Display" w:eastAsia="Times New Roman" w:hAnsi="Aptos Display" w:cs="Times New Roman"/>
          <w:b/>
          <w:bCs/>
          <w:color w:val="FF0000"/>
        </w:rPr>
      </w:pPr>
      <w:r w:rsidRPr="00874C82">
        <w:rPr>
          <w:rFonts w:ascii="Aptos Display" w:eastAsia="Times New Roman" w:hAnsi="Aptos Display" w:cs="Times New Roman"/>
          <w:b/>
          <w:bCs/>
          <w:color w:val="FF0000"/>
        </w:rPr>
        <w:t>1907 Diagnostic portant sur la gestion des déchets issus de la déconstruction de bâtiment</w:t>
      </w:r>
    </w:p>
    <w:p w14:paraId="6DB6C46E" w14:textId="2354681E" w:rsidR="00CD4221" w:rsidRPr="00084672" w:rsidRDefault="00CD4221" w:rsidP="00A27487">
      <w:pPr>
        <w:rPr>
          <w:rFonts w:ascii="Aptos Display" w:eastAsia="Times New Roman" w:hAnsi="Aptos Display" w:cs="Times New Roman"/>
          <w:sz w:val="20"/>
          <w:szCs w:val="20"/>
          <w:lang w:eastAsia="fr-FR"/>
        </w:rPr>
      </w:pPr>
    </w:p>
    <w:sectPr w:rsidR="00CD4221" w:rsidRPr="00084672" w:rsidSect="004E2C4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20DE1509"/>
    <w:multiLevelType w:val="hybridMultilevel"/>
    <w:tmpl w:val="FA56494E"/>
    <w:lvl w:ilvl="0" w:tplc="42320818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8D372A0"/>
    <w:multiLevelType w:val="hybridMultilevel"/>
    <w:tmpl w:val="B4D4D21A"/>
    <w:lvl w:ilvl="0" w:tplc="1B78486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BE5C29"/>
    <w:multiLevelType w:val="hybridMultilevel"/>
    <w:tmpl w:val="A4B2D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757166">
    <w:abstractNumId w:val="0"/>
  </w:num>
  <w:num w:numId="2" w16cid:durableId="506098066">
    <w:abstractNumId w:val="1"/>
  </w:num>
  <w:num w:numId="3" w16cid:durableId="1645235026">
    <w:abstractNumId w:val="2"/>
  </w:num>
  <w:num w:numId="4" w16cid:durableId="892733629">
    <w:abstractNumId w:val="3"/>
  </w:num>
  <w:num w:numId="5" w16cid:durableId="5197768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DE6"/>
    <w:rsid w:val="00056BF8"/>
    <w:rsid w:val="00084672"/>
    <w:rsid w:val="00101B40"/>
    <w:rsid w:val="00101E31"/>
    <w:rsid w:val="001206A0"/>
    <w:rsid w:val="00121057"/>
    <w:rsid w:val="0015392B"/>
    <w:rsid w:val="001B0C35"/>
    <w:rsid w:val="00211BD1"/>
    <w:rsid w:val="00220E50"/>
    <w:rsid w:val="0030029F"/>
    <w:rsid w:val="004264AE"/>
    <w:rsid w:val="0043667C"/>
    <w:rsid w:val="00492856"/>
    <w:rsid w:val="004B627F"/>
    <w:rsid w:val="004D1F82"/>
    <w:rsid w:val="004E2C48"/>
    <w:rsid w:val="004E4DBE"/>
    <w:rsid w:val="00565D27"/>
    <w:rsid w:val="00584BF0"/>
    <w:rsid w:val="00590278"/>
    <w:rsid w:val="005C216D"/>
    <w:rsid w:val="00623EC7"/>
    <w:rsid w:val="00705464"/>
    <w:rsid w:val="00764C2C"/>
    <w:rsid w:val="0081316A"/>
    <w:rsid w:val="00874C82"/>
    <w:rsid w:val="008E7C97"/>
    <w:rsid w:val="00900070"/>
    <w:rsid w:val="00917891"/>
    <w:rsid w:val="0098473F"/>
    <w:rsid w:val="009D6BEE"/>
    <w:rsid w:val="009E0AE6"/>
    <w:rsid w:val="00A27487"/>
    <w:rsid w:val="00A6711A"/>
    <w:rsid w:val="00A76265"/>
    <w:rsid w:val="00AF541C"/>
    <w:rsid w:val="00B22839"/>
    <w:rsid w:val="00BA79BC"/>
    <w:rsid w:val="00BF2E53"/>
    <w:rsid w:val="00C30193"/>
    <w:rsid w:val="00CD4221"/>
    <w:rsid w:val="00CE0534"/>
    <w:rsid w:val="00D01111"/>
    <w:rsid w:val="00D200FD"/>
    <w:rsid w:val="00DD2179"/>
    <w:rsid w:val="00DF35DD"/>
    <w:rsid w:val="00E72DE6"/>
    <w:rsid w:val="00F618EE"/>
    <w:rsid w:val="00FD1103"/>
    <w:rsid w:val="00FD4BE2"/>
    <w:rsid w:val="06520B61"/>
    <w:rsid w:val="08AA14A4"/>
    <w:rsid w:val="1358F026"/>
    <w:rsid w:val="1913393F"/>
    <w:rsid w:val="28D318C2"/>
    <w:rsid w:val="36A36584"/>
    <w:rsid w:val="44EC547A"/>
    <w:rsid w:val="4596BAEE"/>
    <w:rsid w:val="4887F941"/>
    <w:rsid w:val="5A093249"/>
    <w:rsid w:val="6373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9A6F"/>
  <w15:chartTrackingRefBased/>
  <w15:docId w15:val="{5ABB10B6-9BAE-455E-BDC7-40A596F98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E72DE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5">
    <w:name w:val="heading 5"/>
    <w:basedOn w:val="Normal"/>
    <w:next w:val="Normal"/>
    <w:link w:val="Titre5Car"/>
    <w:qFormat/>
    <w:rsid w:val="00E72DE6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itre8">
    <w:name w:val="heading 8"/>
    <w:basedOn w:val="Normal"/>
    <w:next w:val="Normal"/>
    <w:link w:val="Titre8Car"/>
    <w:qFormat/>
    <w:rsid w:val="00E72DE6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72DE6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E72DE6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rsid w:val="00E72DE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E72DE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E72DE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rsid w:val="00E72DE6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E72DE6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Corpsdetexte">
    <w:name w:val="Body Text"/>
    <w:basedOn w:val="Normal"/>
    <w:link w:val="CorpsdetexteCar"/>
    <w:uiPriority w:val="99"/>
    <w:rsid w:val="005C216D"/>
    <w:pPr>
      <w:widowControl w:val="0"/>
      <w:autoSpaceDE w:val="0"/>
      <w:autoSpaceDN w:val="0"/>
      <w:adjustRightInd w:val="0"/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5C216D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Tableausimple2">
    <w:name w:val="Plain Table 2"/>
    <w:basedOn w:val="TableauNormal"/>
    <w:uiPriority w:val="42"/>
    <w:rsid w:val="005C216D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aragraphedeliste">
    <w:name w:val="List Paragraph"/>
    <w:aliases w:val="normal cecile1"/>
    <w:basedOn w:val="Normal"/>
    <w:link w:val="ParagraphedelisteCar"/>
    <w:uiPriority w:val="34"/>
    <w:qFormat/>
    <w:rsid w:val="00BA79BC"/>
    <w:pPr>
      <w:spacing w:after="200" w:line="276" w:lineRule="auto"/>
      <w:ind w:left="720"/>
      <w:contextualSpacing/>
    </w:pPr>
    <w:rPr>
      <w:rFonts w:eastAsiaTheme="minorEastAsia"/>
      <w:lang w:eastAsia="fr-FR"/>
    </w:rPr>
  </w:style>
  <w:style w:type="character" w:customStyle="1" w:styleId="ParagraphedelisteCar">
    <w:name w:val="Paragraphe de liste Car"/>
    <w:aliases w:val="normal cecile1 Car"/>
    <w:link w:val="Paragraphedeliste"/>
    <w:uiPriority w:val="34"/>
    <w:rsid w:val="00BA79BC"/>
    <w:rPr>
      <w:rFonts w:eastAsiaTheme="minorEastAsia"/>
      <w:lang w:eastAsia="fr-FR"/>
    </w:rPr>
  </w:style>
  <w:style w:type="table" w:styleId="Tableausimple1">
    <w:name w:val="Plain Table 1"/>
    <w:basedOn w:val="TableauNormal"/>
    <w:uiPriority w:val="41"/>
    <w:rsid w:val="00BA79B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table" w:styleId="Grilledetableauclaire">
    <w:name w:val="Grid Table Light"/>
    <w:basedOn w:val="TableauNormal"/>
    <w:uiPriority w:val="40"/>
    <w:rsid w:val="00101E31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DF628242BE124BA3E64340338C8AFE" ma:contentTypeVersion="13" ma:contentTypeDescription="Crée un document." ma:contentTypeScope="" ma:versionID="e3fa667e913707b48df70999d7f08286">
  <xsd:schema xmlns:xsd="http://www.w3.org/2001/XMLSchema" xmlns:xs="http://www.w3.org/2001/XMLSchema" xmlns:p="http://schemas.microsoft.com/office/2006/metadata/properties" xmlns:ns2="d64e428f-a604-4ab4-a76f-0d535b5e42a6" xmlns:ns3="f050c1af-32bb-4813-a83e-7edf209bee23" targetNamespace="http://schemas.microsoft.com/office/2006/metadata/properties" ma:root="true" ma:fieldsID="cc0d4fcb60ea5c581a908f5b330d6a5e" ns2:_="" ns3:_="">
    <xsd:import namespace="d64e428f-a604-4ab4-a76f-0d535b5e42a6"/>
    <xsd:import namespace="f050c1af-32bb-4813-a83e-7edf209bee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4e428f-a604-4ab4-a76f-0d535b5e42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aba44a8f-0b61-4b82-a97d-a3ed47a2d6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50c1af-32bb-4813-a83e-7edf209bee2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a202988-6f9b-407f-a4f6-d7b6fc106c5b}" ma:internalName="TaxCatchAll" ma:showField="CatchAllData" ma:web="f050c1af-32bb-4813-a83e-7edf209bee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4e428f-a604-4ab4-a76f-0d535b5e42a6">
      <Terms xmlns="http://schemas.microsoft.com/office/infopath/2007/PartnerControls"/>
    </lcf76f155ced4ddcb4097134ff3c332f>
    <TaxCatchAll xmlns="f050c1af-32bb-4813-a83e-7edf209bee23" xsi:nil="true"/>
  </documentManagement>
</p:properties>
</file>

<file path=customXml/itemProps1.xml><?xml version="1.0" encoding="utf-8"?>
<ds:datastoreItem xmlns:ds="http://schemas.openxmlformats.org/officeDocument/2006/customXml" ds:itemID="{D69928CE-EA69-47DB-BECA-A6801A4175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4e428f-a604-4ab4-a76f-0d535b5e42a6"/>
    <ds:schemaRef ds:uri="f050c1af-32bb-4813-a83e-7edf209bee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4A23A6-06E0-430B-8F77-1449F062A6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63BD79-DFE2-4A45-8F62-F7C0709F2F73}">
  <ds:schemaRefs>
    <ds:schemaRef ds:uri="http://schemas.microsoft.com/office/2006/metadata/properties"/>
    <ds:schemaRef ds:uri="http://schemas.microsoft.com/office/infopath/2007/PartnerControls"/>
    <ds:schemaRef ds:uri="cfef19a3-c09d-47a7-be67-31d5efb6aa01"/>
    <ds:schemaRef ds:uri="08712f21-0aa0-4183-99b8-9cbf826e3600"/>
    <ds:schemaRef ds:uri="d64e428f-a604-4ab4-a76f-0d535b5e42a6"/>
    <ds:schemaRef ds:uri="f050c1af-32bb-4813-a83e-7edf209bee2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988</Words>
  <Characters>5436</Characters>
  <Application>Microsoft Office Word</Application>
  <DocSecurity>0</DocSecurity>
  <Lines>45</Lines>
  <Paragraphs>12</Paragraphs>
  <ScaleCrop>false</ScaleCrop>
  <Company>HP Inc.</Company>
  <LinksUpToDate>false</LinksUpToDate>
  <CharactersWithSpaces>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PERNIN</dc:creator>
  <cp:keywords/>
  <dc:description/>
  <cp:lastModifiedBy>Magali PERNIN</cp:lastModifiedBy>
  <cp:revision>45</cp:revision>
  <dcterms:created xsi:type="dcterms:W3CDTF">2022-05-09T10:22:00Z</dcterms:created>
  <dcterms:modified xsi:type="dcterms:W3CDTF">2025-03-11T09:17:00Z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0x0101008EDF628242BE124BA3E64340338C8AFE</vt:lpwstr>
  </property>
  <property fmtid="{D5CDD505-2E9C-101B-9397-08002B2CF9AE}" pid="3" name="MediaServiceImageTags">
    <vt:lpwstr/>
  </property>
</Properties>
</file>