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DB9C3A" w14:textId="0F73396A" w:rsidR="001E195B" w:rsidRDefault="004F27D2" w:rsidP="001E195B">
      <w:pPr>
        <w:jc w:val="center"/>
        <w:rPr>
          <w:b/>
          <w:sz w:val="32"/>
        </w:rPr>
      </w:pPr>
      <w:r>
        <w:rPr>
          <w:rFonts w:ascii="Verdana" w:hAnsi="Verdana"/>
          <w:noProof/>
        </w:rPr>
        <w:drawing>
          <wp:inline distT="0" distB="0" distL="0" distR="0" wp14:anchorId="4FB1CEC2" wp14:editId="526E4FB4">
            <wp:extent cx="1322705" cy="54864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270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C47917" w14:textId="77777777" w:rsidR="009974EA" w:rsidRDefault="009974EA" w:rsidP="009974EA">
      <w:pPr>
        <w:suppressAutoHyphens/>
        <w:spacing w:after="0"/>
        <w:jc w:val="center"/>
        <w:rPr>
          <w:rFonts w:ascii="Verdana" w:hAnsi="Verdana" w:cs="Verdana"/>
          <w:b/>
          <w:lang w:eastAsia="ar-SA"/>
        </w:rPr>
      </w:pPr>
      <w:r w:rsidRPr="002C6999">
        <w:rPr>
          <w:rFonts w:ascii="Verdana" w:hAnsi="Verdana" w:cs="Verdana"/>
          <w:b/>
          <w:lang w:eastAsia="ar-SA"/>
        </w:rPr>
        <w:t>ACCORD-CADRE (AC</w:t>
      </w:r>
      <w:r>
        <w:rPr>
          <w:rFonts w:ascii="Verdana" w:hAnsi="Verdana" w:cs="Verdana"/>
          <w:b/>
          <w:lang w:eastAsia="ar-SA"/>
        </w:rPr>
        <w:t xml:space="preserve">) </w:t>
      </w:r>
      <w:r w:rsidRPr="005F0E63">
        <w:rPr>
          <w:rFonts w:ascii="Verdana" w:hAnsi="Verdana" w:cs="Verdana"/>
          <w:b/>
          <w:lang w:eastAsia="ar-SA"/>
        </w:rPr>
        <w:t>TRAVAUX DE VRD SUR LES SITES DE L’UNIVERSITE D’AIX</w:t>
      </w:r>
      <w:r>
        <w:rPr>
          <w:rFonts w:ascii="Verdana" w:hAnsi="Verdana" w:cs="Verdana"/>
          <w:b/>
          <w:lang w:eastAsia="ar-SA"/>
        </w:rPr>
        <w:t>-</w:t>
      </w:r>
      <w:r w:rsidRPr="005F0E63">
        <w:rPr>
          <w:rFonts w:ascii="Verdana" w:hAnsi="Verdana" w:cs="Verdana"/>
          <w:b/>
          <w:lang w:eastAsia="ar-SA"/>
        </w:rPr>
        <w:t>MARSEILLE</w:t>
      </w:r>
    </w:p>
    <w:p w14:paraId="59663B93" w14:textId="77777777" w:rsidR="009974EA" w:rsidRPr="00921ACC" w:rsidRDefault="009974EA" w:rsidP="009974EA">
      <w:pPr>
        <w:suppressAutoHyphens/>
        <w:spacing w:after="0"/>
        <w:jc w:val="center"/>
        <w:rPr>
          <w:rFonts w:ascii="Verdana" w:hAnsi="Verdana" w:cs="Verdana"/>
          <w:b/>
          <w:smallCaps/>
          <w:sz w:val="18"/>
          <w:szCs w:val="18"/>
          <w:lang w:eastAsia="ar-SA"/>
        </w:rPr>
      </w:pPr>
    </w:p>
    <w:p w14:paraId="42085689" w14:textId="77777777" w:rsidR="009974EA" w:rsidRPr="00921ACC" w:rsidRDefault="009974EA" w:rsidP="009974EA">
      <w:pPr>
        <w:suppressAutoHyphens/>
        <w:spacing w:after="0"/>
        <w:jc w:val="center"/>
        <w:rPr>
          <w:rFonts w:ascii="Verdana" w:hAnsi="Verdana" w:cs="Verdana"/>
          <w:b/>
          <w:sz w:val="18"/>
          <w:szCs w:val="18"/>
          <w:lang w:eastAsia="ar-SA"/>
        </w:rPr>
      </w:pPr>
      <w:r w:rsidRPr="00921ACC">
        <w:rPr>
          <w:rFonts w:ascii="Verdana" w:hAnsi="Verdana" w:cs="Verdana"/>
          <w:b/>
          <w:sz w:val="18"/>
          <w:szCs w:val="18"/>
          <w:lang w:eastAsia="ar-SA"/>
        </w:rPr>
        <w:t>Lot 1 : MARSEILLE – AIX-EN-PROVENCE – LA CIOTAT</w:t>
      </w:r>
    </w:p>
    <w:p w14:paraId="54ECA155" w14:textId="77777777" w:rsidR="009974EA" w:rsidRPr="00921ACC" w:rsidRDefault="009974EA" w:rsidP="009974EA">
      <w:pPr>
        <w:suppressAutoHyphens/>
        <w:spacing w:after="0"/>
        <w:jc w:val="center"/>
        <w:rPr>
          <w:rFonts w:ascii="Verdana" w:hAnsi="Verdana" w:cs="Verdana"/>
          <w:b/>
          <w:sz w:val="18"/>
          <w:szCs w:val="18"/>
          <w:lang w:eastAsia="ar-SA"/>
        </w:rPr>
      </w:pPr>
      <w:r w:rsidRPr="00921ACC">
        <w:rPr>
          <w:rFonts w:ascii="Verdana" w:hAnsi="Verdana" w:cs="Verdana"/>
          <w:b/>
          <w:sz w:val="18"/>
          <w:szCs w:val="18"/>
          <w:lang w:eastAsia="ar-SA"/>
        </w:rPr>
        <w:t>Lot 2 : ARLES – AVIGNON – SALON</w:t>
      </w:r>
    </w:p>
    <w:p w14:paraId="14F6125F" w14:textId="77777777" w:rsidR="009974EA" w:rsidRDefault="009974EA" w:rsidP="009974EA">
      <w:pPr>
        <w:jc w:val="center"/>
        <w:rPr>
          <w:rFonts w:ascii="Verdana" w:hAnsi="Verdana"/>
          <w:b/>
          <w:sz w:val="40"/>
          <w:szCs w:val="32"/>
          <w:u w:val="single"/>
        </w:rPr>
      </w:pPr>
      <w:r w:rsidRPr="00921ACC">
        <w:rPr>
          <w:rFonts w:ascii="Verdana" w:hAnsi="Verdana" w:cs="Verdana"/>
          <w:b/>
          <w:sz w:val="18"/>
          <w:szCs w:val="18"/>
          <w:lang w:eastAsia="ar-SA"/>
        </w:rPr>
        <w:t>Lot 3 : DIGNE-LES-BAINS – GAP</w:t>
      </w:r>
    </w:p>
    <w:p w14:paraId="5E051364" w14:textId="548FA05B" w:rsidR="001E195B" w:rsidRDefault="00C84F1A" w:rsidP="001E195B">
      <w:pPr>
        <w:jc w:val="center"/>
        <w:rPr>
          <w:b/>
          <w:sz w:val="32"/>
        </w:rPr>
      </w:pPr>
      <w:r>
        <w:rPr>
          <w:b/>
          <w:sz w:val="32"/>
        </w:rPr>
        <w:t>ANNEXE 2</w:t>
      </w:r>
      <w:r w:rsidR="001E195B" w:rsidRPr="00E36D88">
        <w:rPr>
          <w:b/>
          <w:sz w:val="32"/>
        </w:rPr>
        <w:t xml:space="preserve"> à l’acte d’engagement (AE)</w:t>
      </w:r>
    </w:p>
    <w:p w14:paraId="03C5D79F" w14:textId="1D62F830" w:rsidR="001E195B" w:rsidRPr="005C4B89" w:rsidRDefault="001E195B" w:rsidP="001E195B">
      <w:pPr>
        <w:jc w:val="center"/>
        <w:rPr>
          <w:b/>
          <w:i/>
          <w:sz w:val="32"/>
        </w:rPr>
      </w:pPr>
      <w:r w:rsidRPr="005C4B89">
        <w:rPr>
          <w:b/>
          <w:sz w:val="32"/>
        </w:rPr>
        <w:t xml:space="preserve">LOT </w:t>
      </w:r>
      <w:r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 w:rsidR="009974EA">
        <w:rPr>
          <w:rFonts w:ascii="Arial" w:hAnsi="Arial" w:cs="Arial"/>
        </w:rPr>
      </w:r>
      <w:r w:rsidR="009974EA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 w:rsidRPr="005C4B89">
        <w:rPr>
          <w:b/>
          <w:sz w:val="32"/>
        </w:rPr>
        <w:t>1</w:t>
      </w:r>
      <w:r>
        <w:rPr>
          <w:b/>
          <w:sz w:val="32"/>
        </w:rPr>
        <w:t xml:space="preserve"> </w:t>
      </w:r>
      <w:r w:rsidRPr="005C4B89">
        <w:rPr>
          <w:b/>
          <w:sz w:val="32"/>
        </w:rPr>
        <w:t>-</w:t>
      </w:r>
      <w:r>
        <w:rPr>
          <w:b/>
          <w:sz w:val="32"/>
        </w:rPr>
        <w:t xml:space="preserve"> </w:t>
      </w:r>
      <w:r w:rsidRPr="005C4B8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4B89">
        <w:rPr>
          <w:rFonts w:ascii="Arial" w:hAnsi="Arial" w:cs="Arial"/>
        </w:rPr>
        <w:instrText xml:space="preserve"> FORMCHECKBOX </w:instrText>
      </w:r>
      <w:r w:rsidR="009974EA">
        <w:rPr>
          <w:rFonts w:ascii="Arial" w:hAnsi="Arial" w:cs="Arial"/>
        </w:rPr>
      </w:r>
      <w:r w:rsidR="009974EA">
        <w:rPr>
          <w:rFonts w:ascii="Arial" w:hAnsi="Arial" w:cs="Arial"/>
        </w:rPr>
        <w:fldChar w:fldCharType="separate"/>
      </w:r>
      <w:r w:rsidRPr="005C4B89">
        <w:rPr>
          <w:rFonts w:ascii="Arial" w:hAnsi="Arial" w:cs="Arial"/>
        </w:rPr>
        <w:fldChar w:fldCharType="end"/>
      </w:r>
      <w:r w:rsidRPr="005C4B89">
        <w:rPr>
          <w:b/>
          <w:sz w:val="32"/>
        </w:rPr>
        <w:t>2</w:t>
      </w:r>
      <w:r>
        <w:rPr>
          <w:b/>
          <w:sz w:val="32"/>
        </w:rPr>
        <w:t xml:space="preserve"> </w:t>
      </w:r>
      <w:r w:rsidRPr="005C4B89">
        <w:rPr>
          <w:b/>
          <w:sz w:val="32"/>
        </w:rPr>
        <w:t>-</w:t>
      </w:r>
      <w:r>
        <w:rPr>
          <w:b/>
          <w:sz w:val="32"/>
        </w:rPr>
        <w:t xml:space="preserve"> </w:t>
      </w:r>
      <w:r w:rsidRPr="005C4B89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C4B89">
        <w:rPr>
          <w:rFonts w:ascii="Arial" w:hAnsi="Arial" w:cs="Arial"/>
        </w:rPr>
        <w:instrText xml:space="preserve"> FORMCHECKBOX </w:instrText>
      </w:r>
      <w:r w:rsidR="009974EA">
        <w:rPr>
          <w:rFonts w:ascii="Arial" w:hAnsi="Arial" w:cs="Arial"/>
        </w:rPr>
      </w:r>
      <w:r w:rsidR="009974EA">
        <w:rPr>
          <w:rFonts w:ascii="Arial" w:hAnsi="Arial" w:cs="Arial"/>
        </w:rPr>
        <w:fldChar w:fldCharType="separate"/>
      </w:r>
      <w:r w:rsidRPr="005C4B89">
        <w:rPr>
          <w:rFonts w:ascii="Arial" w:hAnsi="Arial" w:cs="Arial"/>
        </w:rPr>
        <w:fldChar w:fldCharType="end"/>
      </w:r>
      <w:r w:rsidRPr="005C4B89">
        <w:rPr>
          <w:b/>
          <w:sz w:val="32"/>
        </w:rPr>
        <w:t xml:space="preserve">3 </w:t>
      </w:r>
      <w:r w:rsidRPr="005C4B89">
        <w:rPr>
          <w:b/>
          <w:i/>
          <w:sz w:val="32"/>
        </w:rPr>
        <w:t>(cocher la case du lot concerné)</w:t>
      </w:r>
    </w:p>
    <w:p w14:paraId="57ED9EA4" w14:textId="77777777" w:rsidR="001E195B" w:rsidRDefault="001E195B" w:rsidP="001E195B">
      <w:pPr>
        <w:jc w:val="center"/>
        <w:rPr>
          <w:rFonts w:ascii="Verdana" w:hAnsi="Verdana" w:cs="Arial"/>
          <w:b/>
          <w:sz w:val="28"/>
          <w:szCs w:val="18"/>
        </w:rPr>
      </w:pPr>
      <w:r w:rsidRPr="00C24524">
        <w:rPr>
          <w:rFonts w:ascii="Verdana" w:hAnsi="Verdana" w:cs="Arial"/>
          <w:b/>
          <w:sz w:val="28"/>
          <w:szCs w:val="18"/>
        </w:rPr>
        <w:t xml:space="preserve"> « </w:t>
      </w:r>
      <w:r>
        <w:rPr>
          <w:rFonts w:ascii="Verdana" w:hAnsi="Verdana" w:cs="Arial"/>
          <w:b/>
          <w:sz w:val="28"/>
          <w:szCs w:val="18"/>
        </w:rPr>
        <w:t>Prix appliqués aux prestations hors BPU</w:t>
      </w:r>
      <w:r w:rsidRPr="00C24524">
        <w:rPr>
          <w:rFonts w:ascii="Verdana" w:hAnsi="Verdana" w:cs="Arial"/>
          <w:b/>
          <w:sz w:val="28"/>
          <w:szCs w:val="18"/>
        </w:rPr>
        <w:t> »</w:t>
      </w:r>
    </w:p>
    <w:p w14:paraId="51EBD60A" w14:textId="77777777" w:rsidR="001E195B" w:rsidRPr="00883826" w:rsidRDefault="001E195B" w:rsidP="00BA27EB">
      <w:pPr>
        <w:jc w:val="both"/>
        <w:rPr>
          <w:rFonts w:ascii="Verdana" w:hAnsi="Verdana" w:cs="Arial"/>
          <w:b/>
          <w:sz w:val="18"/>
          <w:szCs w:val="18"/>
        </w:rPr>
      </w:pPr>
      <w:r w:rsidRPr="00347B99">
        <w:rPr>
          <w:rFonts w:ascii="Verdana" w:hAnsi="Verdana" w:cs="Arial"/>
          <w:b/>
          <w:sz w:val="18"/>
          <w:szCs w:val="18"/>
        </w:rPr>
        <w:t>Le montant des prestations hors BPU est fixé en tenant compte des coefficients complétés comme suit :</w:t>
      </w:r>
      <w:bookmarkStart w:id="0" w:name="_MON_1484635010"/>
      <w:bookmarkStart w:id="1" w:name="_MON_1485348641"/>
      <w:bookmarkStart w:id="2" w:name="_MON_1484635053"/>
      <w:bookmarkStart w:id="3" w:name="_MON_1484634534"/>
      <w:bookmarkEnd w:id="0"/>
      <w:bookmarkEnd w:id="1"/>
      <w:bookmarkEnd w:id="2"/>
      <w:bookmarkEnd w:id="3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03"/>
        <w:gridCol w:w="6717"/>
        <w:gridCol w:w="1742"/>
      </w:tblGrid>
      <w:tr w:rsidR="001E195B" w:rsidRPr="00347B99" w14:paraId="76C967F7" w14:textId="77777777" w:rsidTr="00E67280">
        <w:tc>
          <w:tcPr>
            <w:tcW w:w="603" w:type="dxa"/>
            <w:tcBorders>
              <w:right w:val="nil"/>
            </w:tcBorders>
          </w:tcPr>
          <w:p w14:paraId="5F7F1D04" w14:textId="77777777" w:rsidR="001E195B" w:rsidRPr="00347B99" w:rsidRDefault="001E195B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6717" w:type="dxa"/>
            <w:tcBorders>
              <w:left w:val="nil"/>
              <w:bottom w:val="single" w:sz="4" w:space="0" w:color="auto"/>
            </w:tcBorders>
          </w:tcPr>
          <w:p w14:paraId="2A89050F" w14:textId="77777777" w:rsidR="001E195B" w:rsidRPr="00347B99" w:rsidRDefault="001E195B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47B99">
              <w:rPr>
                <w:rFonts w:ascii="Verdana" w:hAnsi="Verdana" w:cs="Arial"/>
                <w:b/>
                <w:sz w:val="18"/>
                <w:szCs w:val="18"/>
              </w:rPr>
              <w:t>désignation</w:t>
            </w:r>
          </w:p>
        </w:tc>
        <w:tc>
          <w:tcPr>
            <w:tcW w:w="1742" w:type="dxa"/>
          </w:tcPr>
          <w:p w14:paraId="6593EBC9" w14:textId="77777777" w:rsidR="001E195B" w:rsidRPr="00347B99" w:rsidRDefault="001E195B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347B99">
              <w:rPr>
                <w:rFonts w:ascii="Verdana" w:hAnsi="Verdana" w:cs="Arial"/>
                <w:b/>
                <w:sz w:val="18"/>
                <w:szCs w:val="18"/>
              </w:rPr>
              <w:t>Colonne à renseigner par le candidat</w:t>
            </w:r>
            <w:r>
              <w:rPr>
                <w:rFonts w:ascii="Verdana" w:hAnsi="Verdana" w:cs="Arial"/>
                <w:b/>
                <w:sz w:val="18"/>
                <w:szCs w:val="18"/>
              </w:rPr>
              <w:t xml:space="preserve"> dans les cases vides grisées</w:t>
            </w:r>
          </w:p>
        </w:tc>
      </w:tr>
      <w:tr w:rsidR="00C40E58" w:rsidRPr="00347B99" w14:paraId="25E9D789" w14:textId="77777777" w:rsidTr="009974EA">
        <w:trPr>
          <w:trHeight w:val="450"/>
        </w:trPr>
        <w:tc>
          <w:tcPr>
            <w:tcW w:w="9062" w:type="dxa"/>
            <w:gridSpan w:val="3"/>
            <w:vAlign w:val="center"/>
          </w:tcPr>
          <w:p w14:paraId="742E0E5C" w14:textId="36F8AF31" w:rsidR="00C40E58" w:rsidRPr="00347B99" w:rsidRDefault="00C40E58" w:rsidP="00C40E58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 w:rsidRPr="00347B99">
              <w:rPr>
                <w:rFonts w:ascii="Verdana" w:hAnsi="Verdana" w:cs="Arial"/>
                <w:b/>
                <w:sz w:val="18"/>
                <w:szCs w:val="18"/>
              </w:rPr>
              <w:t xml:space="preserve">Coefficient (1) </w:t>
            </w:r>
            <w:r w:rsidRPr="00D73780">
              <w:rPr>
                <w:rFonts w:ascii="Verdana" w:hAnsi="Verdana" w:cs="Arial"/>
                <w:b/>
                <w:sz w:val="18"/>
                <w:szCs w:val="18"/>
              </w:rPr>
              <w:t>appliqué sur les prix catalogues revendeurs ou prix publics fournisseur</w:t>
            </w:r>
          </w:p>
        </w:tc>
      </w:tr>
      <w:tr w:rsidR="001E195B" w:rsidRPr="00347B99" w14:paraId="6299B1FD" w14:textId="77777777" w:rsidTr="009974EA">
        <w:trPr>
          <w:trHeight w:val="1260"/>
        </w:trPr>
        <w:tc>
          <w:tcPr>
            <w:tcW w:w="603" w:type="dxa"/>
            <w:tcBorders>
              <w:bottom w:val="nil"/>
            </w:tcBorders>
            <w:vAlign w:val="center"/>
          </w:tcPr>
          <w:p w14:paraId="16FE5CD7" w14:textId="77777777" w:rsidR="001E195B" w:rsidRPr="001D25C7" w:rsidRDefault="001E195B" w:rsidP="006721FC">
            <w:pPr>
              <w:jc w:val="center"/>
              <w:rPr>
                <w:rFonts w:ascii="Verdana" w:hAnsi="Verdana" w:cs="Arial"/>
                <w:b/>
                <w:bCs/>
                <w:sz w:val="18"/>
              </w:rPr>
            </w:pPr>
            <w:r>
              <w:rPr>
                <w:rFonts w:ascii="Verdana" w:hAnsi="Verdana" w:cs="Arial"/>
                <w:b/>
                <w:bCs/>
                <w:sz w:val="18"/>
              </w:rPr>
              <w:t>N°</w:t>
            </w:r>
            <w:r w:rsidRPr="001D25C7">
              <w:rPr>
                <w:rFonts w:ascii="Verdana" w:hAnsi="Verdana" w:cs="Arial"/>
                <w:b/>
                <w:bCs/>
                <w:sz w:val="18"/>
              </w:rPr>
              <w:t>1</w:t>
            </w:r>
          </w:p>
        </w:tc>
        <w:tc>
          <w:tcPr>
            <w:tcW w:w="6717" w:type="dxa"/>
            <w:tcBorders>
              <w:bottom w:val="nil"/>
              <w:right w:val="single" w:sz="18" w:space="0" w:color="auto"/>
            </w:tcBorders>
            <w:vAlign w:val="center"/>
          </w:tcPr>
          <w:p w14:paraId="373C752E" w14:textId="293F5219" w:rsidR="001E195B" w:rsidRDefault="001E195B" w:rsidP="001E195B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</w:rPr>
            </w:pPr>
            <w:r w:rsidRPr="00D67597">
              <w:rPr>
                <w:rFonts w:ascii="Verdana" w:hAnsi="Verdana" w:cs="Arial"/>
                <w:bCs/>
                <w:sz w:val="18"/>
              </w:rPr>
              <w:t xml:space="preserve">Produits de pavage, dalles de pierre, dalle de béton, </w:t>
            </w:r>
            <w:r w:rsidR="00D07214" w:rsidRPr="00D67597">
              <w:rPr>
                <w:rFonts w:ascii="Verdana" w:hAnsi="Verdana" w:cs="Arial"/>
                <w:bCs/>
                <w:sz w:val="18"/>
              </w:rPr>
              <w:t>dallettes préfabriqués</w:t>
            </w:r>
          </w:p>
          <w:p w14:paraId="25682DB8" w14:textId="70EB3CE6" w:rsidR="001E195B" w:rsidRPr="00D9141B" w:rsidRDefault="001E195B" w:rsidP="001E195B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</w:rPr>
            </w:pPr>
            <w:r w:rsidRPr="00D67597">
              <w:rPr>
                <w:rFonts w:ascii="Verdana" w:hAnsi="Verdana"/>
                <w:sz w:val="18"/>
              </w:rPr>
              <w:t>Préfabriqué béton pour voirie (bordures, accessoires,</w:t>
            </w:r>
            <w:r w:rsidR="00D07214">
              <w:rPr>
                <w:rFonts w:ascii="Verdana" w:hAnsi="Verdana"/>
                <w:sz w:val="18"/>
              </w:rPr>
              <w:t xml:space="preserve"> </w:t>
            </w:r>
            <w:r w:rsidRPr="00D67597">
              <w:rPr>
                <w:rFonts w:ascii="Verdana" w:hAnsi="Verdana"/>
                <w:sz w:val="18"/>
              </w:rPr>
              <w:t>...)</w:t>
            </w:r>
          </w:p>
          <w:p w14:paraId="28AEB4AD" w14:textId="1644C536" w:rsidR="001E195B" w:rsidRPr="00D9141B" w:rsidRDefault="001E195B" w:rsidP="001E195B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</w:rPr>
            </w:pPr>
            <w:r w:rsidRPr="00D67597">
              <w:rPr>
                <w:rFonts w:ascii="Verdana" w:hAnsi="Verdana"/>
                <w:sz w:val="18"/>
              </w:rPr>
              <w:t>Préfabriqué béton pour réseau divers (canalisation, regards, tampons, accessoires,</w:t>
            </w:r>
            <w:r w:rsidR="00D07214">
              <w:rPr>
                <w:rFonts w:ascii="Verdana" w:hAnsi="Verdana"/>
                <w:sz w:val="18"/>
              </w:rPr>
              <w:t xml:space="preserve"> </w:t>
            </w:r>
            <w:r w:rsidRPr="00D67597">
              <w:rPr>
                <w:rFonts w:ascii="Verdana" w:hAnsi="Verdana"/>
                <w:sz w:val="18"/>
              </w:rPr>
              <w:t>...)</w:t>
            </w:r>
          </w:p>
          <w:p w14:paraId="5156199A" w14:textId="77777777" w:rsidR="001E195B" w:rsidRPr="00D67597" w:rsidRDefault="001E195B" w:rsidP="001E195B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Verdana" w:hAnsi="Verdana" w:cs="Arial"/>
                <w:bCs/>
                <w:sz w:val="18"/>
              </w:rPr>
            </w:pPr>
            <w:r w:rsidRPr="00D67597">
              <w:rPr>
                <w:rFonts w:ascii="Verdana" w:hAnsi="Verdana"/>
                <w:sz w:val="18"/>
              </w:rPr>
              <w:t>matériaux béton désactivé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6F211118" w14:textId="77777777" w:rsidR="001E195B" w:rsidRDefault="001E195B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E195B" w:rsidRPr="00347B99" w14:paraId="51DBB29D" w14:textId="77777777" w:rsidTr="009974EA">
        <w:trPr>
          <w:trHeight w:val="1025"/>
        </w:trPr>
        <w:tc>
          <w:tcPr>
            <w:tcW w:w="603" w:type="dxa"/>
            <w:tcBorders>
              <w:bottom w:val="nil"/>
            </w:tcBorders>
            <w:vAlign w:val="center"/>
          </w:tcPr>
          <w:p w14:paraId="3D4E22E2" w14:textId="77777777" w:rsidR="001E195B" w:rsidRPr="001D25C7" w:rsidRDefault="001E195B" w:rsidP="006721FC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N°</w:t>
            </w:r>
            <w:r w:rsidRPr="001D25C7">
              <w:rPr>
                <w:rFonts w:ascii="Verdana" w:hAnsi="Verdana"/>
                <w:b/>
                <w:sz w:val="18"/>
              </w:rPr>
              <w:t>2</w:t>
            </w:r>
          </w:p>
        </w:tc>
        <w:tc>
          <w:tcPr>
            <w:tcW w:w="6717" w:type="dxa"/>
            <w:tcBorders>
              <w:bottom w:val="nil"/>
              <w:right w:val="single" w:sz="18" w:space="0" w:color="auto"/>
            </w:tcBorders>
            <w:vAlign w:val="center"/>
          </w:tcPr>
          <w:p w14:paraId="799D081F" w14:textId="44B9D02F" w:rsidR="001E195B" w:rsidRDefault="001E195B" w:rsidP="001E195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18"/>
              </w:rPr>
            </w:pPr>
            <w:r w:rsidRPr="00D67597">
              <w:rPr>
                <w:rFonts w:ascii="Verdana" w:hAnsi="Verdana"/>
                <w:sz w:val="18"/>
              </w:rPr>
              <w:t>FONTE et ACIER pour ASSAINISSEMENT (canalisations, vannes, grilles, tampon, avaloir, poteaux incendie, ventouses, clapets antiretours, compteur, ...)</w:t>
            </w:r>
          </w:p>
          <w:p w14:paraId="184D8D2B" w14:textId="79A98E00" w:rsidR="001E195B" w:rsidRPr="00D67597" w:rsidRDefault="001E195B" w:rsidP="001E195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18"/>
              </w:rPr>
            </w:pPr>
            <w:r w:rsidRPr="00D67597">
              <w:rPr>
                <w:rFonts w:ascii="Verdana" w:hAnsi="Verdana"/>
                <w:sz w:val="18"/>
              </w:rPr>
              <w:t>PVC et DERIVES (canalisation, cuves, accessoires, coffrets, accessoires, regards, ...)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722D607E" w14:textId="77777777" w:rsidR="001E195B" w:rsidRDefault="001E195B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E195B" w:rsidRPr="00347B99" w14:paraId="43DB2B4D" w14:textId="77777777" w:rsidTr="009974EA">
        <w:trPr>
          <w:trHeight w:val="460"/>
        </w:trPr>
        <w:tc>
          <w:tcPr>
            <w:tcW w:w="603" w:type="dxa"/>
            <w:vAlign w:val="center"/>
          </w:tcPr>
          <w:p w14:paraId="74602027" w14:textId="77777777" w:rsidR="001E195B" w:rsidRPr="001D25C7" w:rsidRDefault="001E195B" w:rsidP="006721FC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N°</w:t>
            </w:r>
            <w:r w:rsidRPr="001D25C7">
              <w:rPr>
                <w:rFonts w:ascii="Verdana" w:hAnsi="Verdana"/>
                <w:b/>
                <w:sz w:val="18"/>
              </w:rPr>
              <w:t>3</w:t>
            </w:r>
          </w:p>
        </w:tc>
        <w:tc>
          <w:tcPr>
            <w:tcW w:w="6717" w:type="dxa"/>
            <w:tcBorders>
              <w:right w:val="single" w:sz="18" w:space="0" w:color="auto"/>
            </w:tcBorders>
            <w:vAlign w:val="center"/>
          </w:tcPr>
          <w:p w14:paraId="26BE6052" w14:textId="77777777" w:rsidR="001E195B" w:rsidRPr="00D67597" w:rsidRDefault="001E195B" w:rsidP="001E195B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Verdana" w:hAnsi="Verdana"/>
                <w:sz w:val="18"/>
              </w:rPr>
            </w:pPr>
            <w:r w:rsidRPr="00D67597">
              <w:rPr>
                <w:rFonts w:ascii="Verdana" w:hAnsi="Verdana"/>
                <w:sz w:val="18"/>
              </w:rPr>
              <w:t>ACCESSOIRES, MATERIEL, ET EQUIPEMENTS ELECTRICITE D'ECLAIRAGE ( bornes, mâts, luminaires, crosse, foyer,... )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7081EFD8" w14:textId="77777777" w:rsidR="001E195B" w:rsidRDefault="001E195B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1E195B" w:rsidRPr="00347B99" w14:paraId="19F8B8EF" w14:textId="77777777" w:rsidTr="009974EA">
        <w:trPr>
          <w:trHeight w:val="665"/>
        </w:trPr>
        <w:tc>
          <w:tcPr>
            <w:tcW w:w="603" w:type="dxa"/>
            <w:tcBorders>
              <w:bottom w:val="nil"/>
            </w:tcBorders>
            <w:vAlign w:val="center"/>
          </w:tcPr>
          <w:p w14:paraId="4A19104C" w14:textId="77777777" w:rsidR="001E195B" w:rsidRPr="001D25C7" w:rsidRDefault="001E195B" w:rsidP="006721FC">
            <w:pPr>
              <w:jc w:val="center"/>
              <w:rPr>
                <w:rFonts w:ascii="Verdana" w:hAnsi="Verdana"/>
                <w:b/>
                <w:sz w:val="18"/>
              </w:rPr>
            </w:pPr>
            <w:r>
              <w:rPr>
                <w:rFonts w:ascii="Verdana" w:hAnsi="Verdana"/>
                <w:b/>
                <w:sz w:val="18"/>
              </w:rPr>
              <w:t>N°</w:t>
            </w:r>
            <w:r w:rsidRPr="001D25C7">
              <w:rPr>
                <w:rFonts w:ascii="Verdana" w:hAnsi="Verdana"/>
                <w:b/>
                <w:sz w:val="18"/>
              </w:rPr>
              <w:t>4</w:t>
            </w:r>
          </w:p>
        </w:tc>
        <w:tc>
          <w:tcPr>
            <w:tcW w:w="6717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3E931FF5" w14:textId="4D1568D9" w:rsidR="001E195B" w:rsidRDefault="001E195B" w:rsidP="001E195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Verdana" w:hAnsi="Verdana"/>
                <w:sz w:val="18"/>
              </w:rPr>
            </w:pPr>
            <w:r w:rsidRPr="00D67597">
              <w:rPr>
                <w:rFonts w:ascii="Verdana" w:hAnsi="Verdana"/>
                <w:sz w:val="18"/>
              </w:rPr>
              <w:t>ACCESSOIRES, MATERIEL, ET EQUIPEMENTS de signalisation (mâts, poteaux, panneaux de police et jalonnement,</w:t>
            </w:r>
            <w:r w:rsidR="00D07214">
              <w:rPr>
                <w:rFonts w:ascii="Verdana" w:hAnsi="Verdana"/>
                <w:sz w:val="18"/>
              </w:rPr>
              <w:t xml:space="preserve"> </w:t>
            </w:r>
            <w:r w:rsidRPr="00D67597">
              <w:rPr>
                <w:rFonts w:ascii="Verdana" w:hAnsi="Verdana"/>
                <w:sz w:val="18"/>
              </w:rPr>
              <w:t>...)</w:t>
            </w:r>
          </w:p>
          <w:p w14:paraId="2D3DC682" w14:textId="77777777" w:rsidR="001E195B" w:rsidRPr="00D67597" w:rsidRDefault="001E195B" w:rsidP="001E195B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Verdana" w:hAnsi="Verdana"/>
                <w:sz w:val="18"/>
              </w:rPr>
            </w:pPr>
            <w:r w:rsidRPr="00D67597">
              <w:rPr>
                <w:rFonts w:ascii="Verdana" w:hAnsi="Verdana"/>
                <w:sz w:val="18"/>
              </w:rPr>
              <w:t>MOBILIER URBAIN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35F52E29" w14:textId="77777777" w:rsidR="001E195B" w:rsidRDefault="001E195B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07214" w:rsidRPr="00347B99" w14:paraId="65C54392" w14:textId="77777777" w:rsidTr="009974EA">
        <w:trPr>
          <w:trHeight w:val="520"/>
        </w:trPr>
        <w:tc>
          <w:tcPr>
            <w:tcW w:w="7320" w:type="dxa"/>
            <w:gridSpan w:val="2"/>
            <w:vAlign w:val="center"/>
          </w:tcPr>
          <w:p w14:paraId="24E12EB4" w14:textId="0345671A" w:rsidR="00D07214" w:rsidRPr="00347B99" w:rsidRDefault="00D07214" w:rsidP="00E67280">
            <w:pPr>
              <w:jc w:val="both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-Coefficient majorateur (2</w:t>
            </w:r>
            <w:r w:rsidRPr="00347B99">
              <w:rPr>
                <w:rFonts w:ascii="Verdana" w:hAnsi="Verdana" w:cs="Arial"/>
                <w:b/>
                <w:sz w:val="18"/>
                <w:szCs w:val="18"/>
              </w:rPr>
              <w:t xml:space="preserve">) </w:t>
            </w:r>
            <w:r w:rsidRPr="00D73780">
              <w:rPr>
                <w:rFonts w:ascii="Verdana" w:hAnsi="Verdana" w:cs="Arial"/>
                <w:b/>
                <w:sz w:val="18"/>
                <w:szCs w:val="18"/>
              </w:rPr>
              <w:t>appliqué sur les prix facturés par le fournisseur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6DC97CCA" w14:textId="7E5CAC6C" w:rsidR="00D07214" w:rsidRPr="00347B99" w:rsidRDefault="00D07214" w:rsidP="00E6728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07214" w:rsidRPr="00347B99" w14:paraId="2433C55F" w14:textId="77777777" w:rsidTr="00D07214">
        <w:trPr>
          <w:trHeight w:val="514"/>
        </w:trPr>
        <w:tc>
          <w:tcPr>
            <w:tcW w:w="7320" w:type="dxa"/>
            <w:gridSpan w:val="2"/>
            <w:tcBorders>
              <w:right w:val="single" w:sz="18" w:space="0" w:color="auto"/>
            </w:tcBorders>
            <w:vAlign w:val="center"/>
          </w:tcPr>
          <w:p w14:paraId="58A86D9C" w14:textId="18910400" w:rsidR="00D07214" w:rsidRPr="00D07214" w:rsidRDefault="00D07214" w:rsidP="00D072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 w:rsidRPr="00347B99">
              <w:rPr>
                <w:rFonts w:ascii="Verdana" w:hAnsi="Verdana" w:cs="Arial"/>
                <w:b/>
                <w:sz w:val="18"/>
                <w:szCs w:val="18"/>
              </w:rPr>
              <w:t xml:space="preserve">Taux horaire </w:t>
            </w:r>
            <w:r w:rsidRPr="00347B99">
              <w:rPr>
                <w:rFonts w:ascii="Verdana" w:hAnsi="Verdana" w:cs="Arial"/>
                <w:sz w:val="18"/>
                <w:szCs w:val="18"/>
              </w:rPr>
              <w:t>en € HT appliqué uniquement aux travaux hors BPU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5081F228" w14:textId="77777777" w:rsidR="00D07214" w:rsidRPr="00347B99" w:rsidRDefault="00D07214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D07214" w:rsidRPr="00347B99" w14:paraId="3CB02CF8" w14:textId="77777777" w:rsidTr="00D07214">
        <w:trPr>
          <w:trHeight w:val="522"/>
        </w:trPr>
        <w:tc>
          <w:tcPr>
            <w:tcW w:w="7320" w:type="dxa"/>
            <w:gridSpan w:val="2"/>
            <w:tcBorders>
              <w:right w:val="single" w:sz="18" w:space="0" w:color="auto"/>
            </w:tcBorders>
            <w:vAlign w:val="center"/>
          </w:tcPr>
          <w:p w14:paraId="0B1C3F3C" w14:textId="75BC646F" w:rsidR="00D07214" w:rsidRPr="00347B99" w:rsidRDefault="00D07214" w:rsidP="00D07214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-TVA </w:t>
            </w:r>
            <w:r w:rsidRPr="00D07214">
              <w:rPr>
                <w:rFonts w:ascii="Verdana" w:hAnsi="Verdana" w:cs="Arial"/>
                <w:sz w:val="18"/>
                <w:szCs w:val="18"/>
              </w:rPr>
              <w:t>(sur taux horaire appliqué aux travaux hors BPU)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5B28549" w14:textId="538EFD84" w:rsidR="00D07214" w:rsidRPr="00347B99" w:rsidRDefault="00D07214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 xml:space="preserve">                     %</w:t>
            </w:r>
          </w:p>
        </w:tc>
      </w:tr>
      <w:tr w:rsidR="00D07214" w:rsidRPr="00347B99" w14:paraId="6FCA46F9" w14:textId="77777777" w:rsidTr="00D07214">
        <w:trPr>
          <w:trHeight w:val="516"/>
        </w:trPr>
        <w:tc>
          <w:tcPr>
            <w:tcW w:w="7320" w:type="dxa"/>
            <w:gridSpan w:val="2"/>
            <w:tcBorders>
              <w:right w:val="single" w:sz="18" w:space="0" w:color="auto"/>
            </w:tcBorders>
            <w:vAlign w:val="center"/>
          </w:tcPr>
          <w:p w14:paraId="4AE72423" w14:textId="0E532648" w:rsidR="00D07214" w:rsidRPr="00027A74" w:rsidRDefault="00D07214" w:rsidP="00D07214">
            <w:pPr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-</w:t>
            </w:r>
            <w:r w:rsidRPr="00347B99">
              <w:rPr>
                <w:rFonts w:ascii="Verdana" w:hAnsi="Verdana" w:cs="Arial"/>
                <w:b/>
                <w:sz w:val="18"/>
                <w:szCs w:val="18"/>
              </w:rPr>
              <w:t xml:space="preserve">Taux horaire </w:t>
            </w:r>
            <w:r w:rsidRPr="00347B99">
              <w:rPr>
                <w:rFonts w:ascii="Verdana" w:hAnsi="Verdana" w:cs="Arial"/>
                <w:sz w:val="18"/>
                <w:szCs w:val="18"/>
              </w:rPr>
              <w:t xml:space="preserve">en € </w:t>
            </w:r>
            <w:r>
              <w:rPr>
                <w:rFonts w:ascii="Verdana" w:hAnsi="Verdana" w:cs="Arial"/>
                <w:sz w:val="18"/>
                <w:szCs w:val="18"/>
              </w:rPr>
              <w:t>TTC</w:t>
            </w:r>
            <w:r w:rsidRPr="00347B99">
              <w:rPr>
                <w:rFonts w:ascii="Verdana" w:hAnsi="Verdana" w:cs="Arial"/>
                <w:sz w:val="18"/>
                <w:szCs w:val="18"/>
              </w:rPr>
              <w:t xml:space="preserve"> appliqué uniquement aux travaux hors BPU</w:t>
            </w:r>
          </w:p>
        </w:tc>
        <w:tc>
          <w:tcPr>
            <w:tcW w:w="17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auto" w:fill="auto"/>
            <w:vAlign w:val="center"/>
          </w:tcPr>
          <w:p w14:paraId="2062224A" w14:textId="77777777" w:rsidR="00D07214" w:rsidRPr="00347B99" w:rsidRDefault="00D07214" w:rsidP="006721FC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71278302" w14:textId="77777777" w:rsidR="001E195B" w:rsidRPr="009974EA" w:rsidRDefault="001E195B" w:rsidP="001E195B">
      <w:pPr>
        <w:spacing w:after="0" w:line="240" w:lineRule="auto"/>
        <w:jc w:val="both"/>
        <w:rPr>
          <w:rFonts w:ascii="Verdana" w:hAnsi="Verdana"/>
          <w:szCs w:val="18"/>
        </w:rPr>
      </w:pPr>
    </w:p>
    <w:p w14:paraId="13D9D818" w14:textId="77777777" w:rsidR="001E195B" w:rsidRPr="009974EA" w:rsidRDefault="001E195B" w:rsidP="001E195B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9974EA">
        <w:rPr>
          <w:rFonts w:ascii="Verdana" w:hAnsi="Verdana"/>
          <w:sz w:val="18"/>
          <w:szCs w:val="18"/>
        </w:rPr>
        <w:t xml:space="preserve">(1) Un coefficient de 0,8 équivaut à 20 % de réduction et un coefficient de 1,2 équivaut à 20% de majoration. </w:t>
      </w:r>
      <w:r w:rsidRPr="009974EA">
        <w:rPr>
          <w:rFonts w:ascii="Verdana" w:hAnsi="Verdana"/>
          <w:sz w:val="18"/>
          <w:szCs w:val="18"/>
          <w:u w:val="single"/>
        </w:rPr>
        <w:t>Ces coefficients doivent être identiques à ceux mentionnés dans le BPU</w:t>
      </w:r>
      <w:r w:rsidRPr="009974EA">
        <w:rPr>
          <w:rFonts w:ascii="Verdana" w:hAnsi="Verdana"/>
          <w:sz w:val="18"/>
          <w:szCs w:val="18"/>
        </w:rPr>
        <w:t>.</w:t>
      </w:r>
    </w:p>
    <w:p w14:paraId="2743C7A5" w14:textId="123F20F9" w:rsidR="001E195B" w:rsidRPr="009974EA" w:rsidRDefault="001E195B" w:rsidP="001E195B">
      <w:pPr>
        <w:spacing w:after="120" w:line="240" w:lineRule="auto"/>
        <w:jc w:val="both"/>
        <w:rPr>
          <w:rFonts w:ascii="Verdana" w:hAnsi="Verdana"/>
          <w:sz w:val="18"/>
          <w:szCs w:val="18"/>
        </w:rPr>
      </w:pPr>
      <w:r w:rsidRPr="009974EA">
        <w:rPr>
          <w:rFonts w:ascii="Verdana" w:hAnsi="Verdana"/>
          <w:sz w:val="18"/>
          <w:szCs w:val="18"/>
        </w:rPr>
        <w:t xml:space="preserve">(2) </w:t>
      </w:r>
      <w:r w:rsidR="00656B9F" w:rsidRPr="009974EA">
        <w:rPr>
          <w:rFonts w:ascii="Verdana" w:hAnsi="Verdana"/>
          <w:sz w:val="18"/>
          <w:szCs w:val="18"/>
        </w:rPr>
        <w:t>Un</w:t>
      </w:r>
      <w:r w:rsidRPr="009974EA">
        <w:rPr>
          <w:rFonts w:ascii="Verdana" w:hAnsi="Verdana"/>
          <w:sz w:val="18"/>
          <w:szCs w:val="18"/>
        </w:rPr>
        <w:t xml:space="preserve"> coefficient de 1,30 équivaut à 30 % de majoration par rapport au prix fournisseur. Il est fixé par le</w:t>
      </w:r>
      <w:r w:rsidR="00693C98" w:rsidRPr="009974EA">
        <w:rPr>
          <w:rFonts w:ascii="Verdana" w:hAnsi="Verdana"/>
          <w:sz w:val="18"/>
          <w:szCs w:val="18"/>
        </w:rPr>
        <w:t xml:space="preserve"> titulaire</w:t>
      </w:r>
      <w:r w:rsidRPr="009974EA">
        <w:rPr>
          <w:rFonts w:ascii="Verdana" w:hAnsi="Verdana"/>
          <w:sz w:val="18"/>
          <w:szCs w:val="18"/>
        </w:rPr>
        <w:t xml:space="preserve"> </w:t>
      </w:r>
      <w:r w:rsidR="00693C98" w:rsidRPr="009974EA">
        <w:rPr>
          <w:rFonts w:ascii="Verdana" w:hAnsi="Verdana"/>
          <w:sz w:val="18"/>
          <w:szCs w:val="18"/>
        </w:rPr>
        <w:t>(cf.</w:t>
      </w:r>
      <w:r w:rsidR="0077265A" w:rsidRPr="009974EA">
        <w:rPr>
          <w:rFonts w:ascii="Verdana" w:hAnsi="Verdana"/>
          <w:sz w:val="18"/>
          <w:szCs w:val="18"/>
        </w:rPr>
        <w:t xml:space="preserve"> </w:t>
      </w:r>
      <w:r w:rsidRPr="009974EA">
        <w:rPr>
          <w:rFonts w:ascii="Verdana" w:hAnsi="Verdana"/>
          <w:sz w:val="18"/>
          <w:szCs w:val="18"/>
        </w:rPr>
        <w:t>article 10.1 du CCAP</w:t>
      </w:r>
      <w:r w:rsidR="00693C98" w:rsidRPr="009974EA">
        <w:rPr>
          <w:rFonts w:ascii="Verdana" w:hAnsi="Verdana"/>
          <w:sz w:val="18"/>
          <w:szCs w:val="18"/>
        </w:rPr>
        <w:t>)</w:t>
      </w:r>
      <w:r w:rsidRPr="009974EA">
        <w:rPr>
          <w:rFonts w:ascii="Verdana" w:hAnsi="Verdana"/>
          <w:sz w:val="18"/>
          <w:szCs w:val="18"/>
        </w:rPr>
        <w:t>.</w:t>
      </w:r>
      <w:bookmarkStart w:id="4" w:name="_GoBack"/>
      <w:bookmarkEnd w:id="4"/>
    </w:p>
    <w:p w14:paraId="6E4EBDE2" w14:textId="77777777" w:rsidR="001E195B" w:rsidRPr="009974EA" w:rsidRDefault="001E195B" w:rsidP="001E195B">
      <w:pPr>
        <w:pStyle w:val="Paragraphedeliste"/>
        <w:spacing w:after="120" w:line="240" w:lineRule="auto"/>
        <w:ind w:left="0"/>
        <w:jc w:val="both"/>
        <w:rPr>
          <w:rFonts w:ascii="Verdana" w:hAnsi="Verdana"/>
          <w:sz w:val="18"/>
          <w:szCs w:val="18"/>
        </w:rPr>
      </w:pPr>
      <w:r w:rsidRPr="009974EA">
        <w:rPr>
          <w:rFonts w:ascii="Verdana" w:hAnsi="Verdana"/>
          <w:sz w:val="18"/>
          <w:szCs w:val="18"/>
        </w:rPr>
        <w:t>Pour la tarification des travaux hors BPU et l’application de coefficients, l’extrait du catalogue revendeur- fournisseur et/ou la facture fournisseur seront joints au devis.</w:t>
      </w:r>
    </w:p>
    <w:p w14:paraId="5DD7891A" w14:textId="77777777" w:rsidR="001E195B" w:rsidRPr="009974EA" w:rsidRDefault="001E195B" w:rsidP="001E195B">
      <w:pPr>
        <w:pStyle w:val="Paragraphedeliste"/>
        <w:spacing w:after="120" w:line="240" w:lineRule="auto"/>
        <w:ind w:left="0"/>
        <w:jc w:val="both"/>
        <w:rPr>
          <w:rFonts w:ascii="Verdana" w:hAnsi="Verdana"/>
          <w:sz w:val="18"/>
          <w:szCs w:val="18"/>
        </w:rPr>
      </w:pPr>
    </w:p>
    <w:p w14:paraId="2A81E914" w14:textId="10ADD5CA" w:rsidR="00CF3D69" w:rsidRPr="009974EA" w:rsidRDefault="001E195B" w:rsidP="00D07214">
      <w:pPr>
        <w:pStyle w:val="Paragraphedeliste"/>
        <w:ind w:left="0"/>
        <w:jc w:val="both"/>
        <w:rPr>
          <w:rFonts w:ascii="Verdana" w:hAnsi="Verdana"/>
          <w:sz w:val="18"/>
          <w:szCs w:val="18"/>
        </w:rPr>
      </w:pPr>
      <w:r w:rsidRPr="009974EA">
        <w:rPr>
          <w:rFonts w:ascii="Verdana" w:hAnsi="Verdana"/>
          <w:sz w:val="18"/>
          <w:szCs w:val="18"/>
        </w:rPr>
        <w:t>Aucune commande ne devra être passée sans ces justificatifs de prix</w:t>
      </w:r>
      <w:r w:rsidR="00D07214" w:rsidRPr="009974EA">
        <w:rPr>
          <w:rFonts w:ascii="Verdana" w:hAnsi="Verdana"/>
          <w:sz w:val="18"/>
          <w:szCs w:val="18"/>
        </w:rPr>
        <w:t>.</w:t>
      </w:r>
    </w:p>
    <w:sectPr w:rsidR="00CF3D69" w:rsidRPr="009974EA" w:rsidSect="001E195B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A3834" w14:textId="77777777" w:rsidR="001E195B" w:rsidRDefault="001E195B" w:rsidP="001E195B">
      <w:pPr>
        <w:spacing w:after="0" w:line="240" w:lineRule="auto"/>
      </w:pPr>
      <w:r>
        <w:separator/>
      </w:r>
    </w:p>
  </w:endnote>
  <w:endnote w:type="continuationSeparator" w:id="0">
    <w:p w14:paraId="7129E93D" w14:textId="77777777" w:rsidR="001E195B" w:rsidRDefault="001E195B" w:rsidP="001E1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90D2E2" w14:textId="77777777" w:rsidR="001E195B" w:rsidRDefault="001E195B" w:rsidP="001E195B">
      <w:pPr>
        <w:spacing w:after="0" w:line="240" w:lineRule="auto"/>
      </w:pPr>
      <w:r>
        <w:separator/>
      </w:r>
    </w:p>
  </w:footnote>
  <w:footnote w:type="continuationSeparator" w:id="0">
    <w:p w14:paraId="250443E4" w14:textId="77777777" w:rsidR="001E195B" w:rsidRDefault="001E195B" w:rsidP="001E1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049" w:type="dxa"/>
      <w:jc w:val="center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8781"/>
      <w:gridCol w:w="1268"/>
    </w:tblGrid>
    <w:tr w:rsidR="001E195B" w:rsidRPr="00B123FB" w14:paraId="7E0D43DA" w14:textId="77777777" w:rsidTr="006721FC">
      <w:trPr>
        <w:trHeight w:val="443"/>
        <w:jc w:val="center"/>
      </w:trPr>
      <w:tc>
        <w:tcPr>
          <w:tcW w:w="8781" w:type="dxa"/>
          <w:vAlign w:val="center"/>
        </w:tcPr>
        <w:p w14:paraId="59181865" w14:textId="2789D898" w:rsidR="001E195B" w:rsidRPr="00CA2DFF" w:rsidRDefault="001E195B" w:rsidP="001E195B">
          <w:pPr>
            <w:tabs>
              <w:tab w:val="center" w:pos="7655"/>
              <w:tab w:val="left" w:pos="8222"/>
            </w:tabs>
            <w:overflowPunct w:val="0"/>
            <w:autoSpaceDE w:val="0"/>
            <w:autoSpaceDN w:val="0"/>
            <w:adjustRightInd w:val="0"/>
            <w:spacing w:after="0"/>
            <w:ind w:left="34"/>
            <w:textAlignment w:val="baseline"/>
            <w:rPr>
              <w:rFonts w:ascii="Verdana" w:hAnsi="Verdana" w:cs="Times New Roman"/>
              <w:b/>
              <w:sz w:val="18"/>
              <w:szCs w:val="18"/>
            </w:rPr>
          </w:pPr>
          <w:r w:rsidRPr="00CA2DFF">
            <w:rPr>
              <w:rFonts w:ascii="Verdana" w:hAnsi="Verdana" w:cs="Times New Roman"/>
              <w:b/>
              <w:sz w:val="18"/>
              <w:szCs w:val="18"/>
            </w:rPr>
            <w:t>Procédure</w:t>
          </w:r>
          <w:r w:rsidR="00C84F1A">
            <w:rPr>
              <w:rFonts w:ascii="Verdana" w:hAnsi="Verdana" w:cs="Times New Roman"/>
              <w:b/>
              <w:sz w:val="18"/>
              <w:szCs w:val="18"/>
            </w:rPr>
            <w:t xml:space="preserve"> </w:t>
          </w:r>
          <w:r w:rsidR="00C84F1A" w:rsidRPr="00D07214">
            <w:rPr>
              <w:rFonts w:ascii="Verdana" w:hAnsi="Verdana" w:cs="Times New Roman"/>
              <w:b/>
              <w:sz w:val="18"/>
              <w:szCs w:val="18"/>
            </w:rPr>
            <w:t xml:space="preserve">adaptée n° </w:t>
          </w:r>
          <w:r w:rsidR="00C655D3" w:rsidRPr="00D07214">
            <w:rPr>
              <w:rFonts w:ascii="Verdana" w:hAnsi="Verdana" w:cs="Times New Roman"/>
              <w:b/>
              <w:sz w:val="18"/>
              <w:szCs w:val="18"/>
            </w:rPr>
            <w:t>AMU28-2025</w:t>
          </w:r>
        </w:p>
        <w:p w14:paraId="0C6CCFCF" w14:textId="360B6028" w:rsidR="001E195B" w:rsidRPr="00B123FB" w:rsidRDefault="001E195B" w:rsidP="001E195B">
          <w:pPr>
            <w:tabs>
              <w:tab w:val="center" w:pos="7655"/>
              <w:tab w:val="left" w:pos="8222"/>
            </w:tabs>
            <w:overflowPunct w:val="0"/>
            <w:autoSpaceDE w:val="0"/>
            <w:autoSpaceDN w:val="0"/>
            <w:adjustRightInd w:val="0"/>
            <w:spacing w:after="0" w:line="240" w:lineRule="auto"/>
            <w:ind w:left="34"/>
            <w:textAlignment w:val="baseline"/>
            <w:rPr>
              <w:rFonts w:ascii="Verdana" w:eastAsia="Times New Roman" w:hAnsi="Verdana" w:cs="Times New Roman"/>
              <w:i/>
              <w:strike/>
              <w:color w:val="FF0000"/>
              <w:sz w:val="16"/>
              <w:szCs w:val="16"/>
              <w:lang w:eastAsia="fr-FR"/>
            </w:rPr>
          </w:pPr>
          <w:r w:rsidRPr="00FE5760">
            <w:rPr>
              <w:rFonts w:ascii="Verdana" w:hAnsi="Verdana" w:cs="Times New Roman"/>
              <w:b/>
              <w:sz w:val="18"/>
              <w:szCs w:val="18"/>
            </w:rPr>
            <w:t>TRAVAUX DE VRD SUR LES SITES DE L’UNIVERSITE D’AIX MARSEILLE</w:t>
          </w:r>
        </w:p>
      </w:tc>
      <w:tc>
        <w:tcPr>
          <w:tcW w:w="1268" w:type="dxa"/>
          <w:vAlign w:val="center"/>
        </w:tcPr>
        <w:p w14:paraId="456CE801" w14:textId="77777777" w:rsidR="001E195B" w:rsidRPr="00B123FB" w:rsidRDefault="001E195B" w:rsidP="001E195B">
          <w:pPr>
            <w:tabs>
              <w:tab w:val="center" w:pos="7655"/>
              <w:tab w:val="left" w:pos="8222"/>
            </w:tabs>
            <w:overflowPunct w:val="0"/>
            <w:autoSpaceDE w:val="0"/>
            <w:autoSpaceDN w:val="0"/>
            <w:adjustRightInd w:val="0"/>
            <w:spacing w:after="0" w:line="240" w:lineRule="auto"/>
            <w:ind w:left="-57"/>
            <w:jc w:val="center"/>
            <w:textAlignment w:val="baseline"/>
            <w:rPr>
              <w:rFonts w:ascii="Verdana" w:eastAsia="Times New Roman" w:hAnsi="Verdana" w:cs="Times New Roman"/>
              <w:sz w:val="16"/>
              <w:szCs w:val="16"/>
              <w:lang w:eastAsia="fr-FR"/>
            </w:rPr>
          </w:pP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t xml:space="preserve">PAGE </w:t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fldChar w:fldCharType="begin"/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instrText xml:space="preserve"> PAGE </w:instrText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fldChar w:fldCharType="separate"/>
          </w:r>
          <w:r w:rsidR="00C84F1A">
            <w:rPr>
              <w:rFonts w:ascii="Verdana" w:eastAsia="Times New Roman" w:hAnsi="Verdana" w:cs="Times New Roman"/>
              <w:noProof/>
              <w:sz w:val="16"/>
              <w:szCs w:val="16"/>
              <w:lang w:eastAsia="fr-FR"/>
            </w:rPr>
            <w:t>1</w:t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fldChar w:fldCharType="end"/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t>/</w:t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fldChar w:fldCharType="begin"/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instrText xml:space="preserve"> NUMPAGES </w:instrText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fldChar w:fldCharType="separate"/>
          </w:r>
          <w:r w:rsidR="00C84F1A">
            <w:rPr>
              <w:rFonts w:ascii="Verdana" w:eastAsia="Times New Roman" w:hAnsi="Verdana" w:cs="Times New Roman"/>
              <w:noProof/>
              <w:sz w:val="16"/>
              <w:szCs w:val="16"/>
              <w:lang w:eastAsia="fr-FR"/>
            </w:rPr>
            <w:t>1</w:t>
          </w:r>
          <w:r w:rsidRPr="00B123FB">
            <w:rPr>
              <w:rFonts w:ascii="Verdana" w:eastAsia="Times New Roman" w:hAnsi="Verdana" w:cs="Times New Roman"/>
              <w:sz w:val="16"/>
              <w:szCs w:val="16"/>
              <w:lang w:eastAsia="fr-FR"/>
            </w:rPr>
            <w:fldChar w:fldCharType="end"/>
          </w:r>
        </w:p>
      </w:tc>
    </w:tr>
  </w:tbl>
  <w:p w14:paraId="5DF10C10" w14:textId="77777777" w:rsidR="001E195B" w:rsidRDefault="001E19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4806DD"/>
    <w:multiLevelType w:val="hybridMultilevel"/>
    <w:tmpl w:val="6BF87D6E"/>
    <w:lvl w:ilvl="0" w:tplc="26620AC4">
      <w:start w:val="2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B41C43"/>
    <w:multiLevelType w:val="hybridMultilevel"/>
    <w:tmpl w:val="908E0244"/>
    <w:lvl w:ilvl="0" w:tplc="8976FDBA">
      <w:start w:val="20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3D7ECB"/>
    <w:multiLevelType w:val="hybridMultilevel"/>
    <w:tmpl w:val="6B4466C4"/>
    <w:lvl w:ilvl="0" w:tplc="D160D89C">
      <w:start w:val="20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195B"/>
    <w:rsid w:val="00027A74"/>
    <w:rsid w:val="00102673"/>
    <w:rsid w:val="001109BF"/>
    <w:rsid w:val="00124F81"/>
    <w:rsid w:val="001E195B"/>
    <w:rsid w:val="00266765"/>
    <w:rsid w:val="003232F4"/>
    <w:rsid w:val="004F27D2"/>
    <w:rsid w:val="00656B9F"/>
    <w:rsid w:val="00693C98"/>
    <w:rsid w:val="0069405B"/>
    <w:rsid w:val="0077265A"/>
    <w:rsid w:val="009974EA"/>
    <w:rsid w:val="00AE51AC"/>
    <w:rsid w:val="00BA27EB"/>
    <w:rsid w:val="00C40E58"/>
    <w:rsid w:val="00C655D3"/>
    <w:rsid w:val="00C84F1A"/>
    <w:rsid w:val="00D07214"/>
    <w:rsid w:val="00DC3999"/>
    <w:rsid w:val="00E61E89"/>
    <w:rsid w:val="00E661C0"/>
    <w:rsid w:val="00E6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DAD493"/>
  <w15:chartTrackingRefBased/>
  <w15:docId w15:val="{138E3FD6-072D-44E9-A426-79544586E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E19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E195B"/>
    <w:pPr>
      <w:spacing w:after="200" w:line="276" w:lineRule="auto"/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E1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195B"/>
  </w:style>
  <w:style w:type="paragraph" w:styleId="Pieddepage">
    <w:name w:val="footer"/>
    <w:basedOn w:val="Normal"/>
    <w:link w:val="PieddepageCar"/>
    <w:uiPriority w:val="99"/>
    <w:unhideWhenUsed/>
    <w:rsid w:val="001E1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195B"/>
  </w:style>
  <w:style w:type="character" w:styleId="Marquedecommentaire">
    <w:name w:val="annotation reference"/>
    <w:basedOn w:val="Policepardfaut"/>
    <w:uiPriority w:val="99"/>
    <w:semiHidden/>
    <w:unhideWhenUsed/>
    <w:rsid w:val="001109B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109B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109B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109B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109B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347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AMU</Company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RENARD Patrice</dc:creator>
  <cp:keywords/>
  <dc:description/>
  <cp:lastModifiedBy>AGIUS Nathalie</cp:lastModifiedBy>
  <cp:revision>5</cp:revision>
  <dcterms:created xsi:type="dcterms:W3CDTF">2025-03-27T09:26:00Z</dcterms:created>
  <dcterms:modified xsi:type="dcterms:W3CDTF">2025-04-04T09:09:00Z</dcterms:modified>
</cp:coreProperties>
</file>