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6D8D7E0B" w14:textId="77777777" w:rsidR="00ED1ECB" w:rsidRDefault="00ED1ECB" w:rsidP="00ED1ECB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 xml:space="preserve">ACCORD-CADRE – </w:t>
      </w:r>
      <w:r w:rsidRPr="00CC2D81">
        <w:rPr>
          <w:rFonts w:ascii="Calibri" w:eastAsia="Calibri" w:hAnsi="Calibri" w:cs="Calibri"/>
          <w:b/>
          <w:color w:val="000000"/>
          <w:sz w:val="28"/>
          <w:lang w:val="fr-FR"/>
        </w:rPr>
        <w:t>SERVICES SOCIAUX ET AUTRES SERVICES SPECIFIQUES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DE1091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37FC1E63" w:rsidR="005C34B1" w:rsidRPr="002F35B1" w:rsidRDefault="00DE1091" w:rsidP="00DE10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DE10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20250015001000 – MAPA – FORMATION : PRISE DE PAROLE EN PUBLIC – HOPITAUX HAINAUT-CAMBRESIS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82CF5F8" w14:textId="7686CBDD" w:rsidR="009312D9" w:rsidRDefault="009312D9" w:rsidP="002F35B1">
      <w:pPr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D71F092" w14:textId="083C0192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0114F770" w14:textId="1B2F0BAE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6DFC3A9" w14:textId="27D43DA9" w:rsidR="00DE1091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1DDBC640" w:rsidR="007B301D" w:rsidRPr="004B07C4" w:rsidRDefault="00DE109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DE1091">
        <w:rPr>
          <w:rFonts w:ascii="Arial" w:hAnsi="Arial" w:cs="Arial"/>
          <w:sz w:val="22"/>
          <w:lang w:val="fr-FR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51A481D" w:rsidR="00DD5BD8" w:rsidRPr="004B07C4" w:rsidRDefault="009E155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E1091">
        <w:rPr>
          <w:rFonts w:ascii="Arial" w:hAnsi="Arial" w:cs="Arial"/>
          <w:sz w:val="22"/>
        </w:rPr>
      </w:r>
      <w:r w:rsidR="00DE1091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E1091">
              <w:rPr>
                <w:rFonts w:ascii="Arial" w:hAnsi="Arial" w:cs="Arial"/>
              </w:rPr>
            </w:r>
            <w:r w:rsidR="00DE109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DE1091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E1091">
              <w:rPr>
                <w:rFonts w:ascii="Arial" w:hAnsi="Arial" w:cs="Arial"/>
              </w:rPr>
            </w:r>
            <w:r w:rsidR="00DE109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DE1091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DE1091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E1091">
              <w:rPr>
                <w:rFonts w:ascii="Arial" w:hAnsi="Arial" w:cs="Arial"/>
              </w:rPr>
            </w:r>
            <w:r w:rsidR="00DE109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DE1091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77777777" w:rsidR="002F35B1" w:rsidRDefault="002F35B1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E1091">
              <w:rPr>
                <w:rFonts w:ascii="Arial" w:hAnsi="Arial" w:cs="Arial"/>
              </w:rPr>
            </w:r>
            <w:r w:rsidR="00DE109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E1091">
              <w:rPr>
                <w:rFonts w:ascii="Arial" w:hAnsi="Arial" w:cs="Arial"/>
              </w:rPr>
            </w:r>
            <w:r w:rsidR="00DE109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E1091">
              <w:rPr>
                <w:rFonts w:ascii="Arial" w:hAnsi="Arial" w:cs="Arial"/>
              </w:rPr>
            </w:r>
            <w:r w:rsidR="00DE109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DE1091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E1091">
              <w:rPr>
                <w:rFonts w:ascii="Arial" w:hAnsi="Arial" w:cs="Arial"/>
              </w:rPr>
            </w:r>
            <w:r w:rsidR="00DE109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DE1091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DE1091">
        <w:rPr>
          <w:rFonts w:ascii="Arial" w:hAnsi="Arial" w:cs="Arial"/>
        </w:rPr>
      </w:r>
      <w:r w:rsidR="00DE1091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37C15847" w14:textId="6E0D309D" w:rsidR="00DE1091" w:rsidRPr="00DE1091" w:rsidRDefault="00DE1091" w:rsidP="00DE1091">
      <w:pPr>
        <w:pStyle w:val="ParagrapheIndent1"/>
        <w:jc w:val="both"/>
        <w:rPr>
          <w:b/>
          <w:color w:val="000000"/>
          <w:lang w:val="fr-FR"/>
        </w:rPr>
      </w:pPr>
      <w:r w:rsidRPr="00DE1091">
        <w:rPr>
          <w:b/>
          <w:color w:val="000000"/>
          <w:lang w:val="fr-FR"/>
        </w:rPr>
        <w:t>20250015001000 – MAPA – FORMATION : PRISE DE PAROLE EN PUBLIC – HOPITAUX HAINAUT-CAMBRESIS</w:t>
      </w:r>
    </w:p>
    <w:p w14:paraId="6AF97D38" w14:textId="2B0D045B" w:rsidR="003F5156" w:rsidRDefault="003F5156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2023EC6A" w:rsidR="00FF64DA" w:rsidRDefault="00DE1091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404604D1" w:rsidR="004B07C4" w:rsidRDefault="002F35B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E1091">
        <w:rPr>
          <w:rFonts w:asciiTheme="minorHAnsi" w:hAnsiTheme="minorHAnsi" w:cstheme="minorHAnsi"/>
          <w:sz w:val="22"/>
          <w:szCs w:val="22"/>
        </w:rPr>
      </w:r>
      <w:r w:rsidR="00DE1091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Pr="004B07C4">
        <w:rPr>
          <w:rFonts w:asciiTheme="minorHAnsi" w:hAnsiTheme="minorHAnsi" w:cstheme="minorHAnsi"/>
          <w:szCs w:val="22"/>
        </w:rPr>
        <w:t>……………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5933A2C3" w14:textId="77777777" w:rsidR="00DE1091" w:rsidRDefault="00DE109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4689307E" w:rsidR="00FF64DA" w:rsidRPr="004B07C4" w:rsidRDefault="002F35B1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E1091">
        <w:rPr>
          <w:rFonts w:asciiTheme="minorHAnsi" w:hAnsiTheme="minorHAnsi" w:cstheme="minorHAnsi"/>
          <w:sz w:val="22"/>
          <w:szCs w:val="22"/>
        </w:rPr>
      </w:r>
      <w:r w:rsidR="00DE1091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DE1091">
        <w:rPr>
          <w:rFonts w:asciiTheme="minorHAnsi" w:hAnsiTheme="minorHAnsi" w:cstheme="minorHAnsi"/>
          <w:szCs w:val="22"/>
        </w:rPr>
      </w:r>
      <w:r w:rsidR="00DE1091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DE1091">
        <w:rPr>
          <w:rFonts w:asciiTheme="minorHAnsi" w:hAnsiTheme="minorHAnsi" w:cstheme="minorHAnsi"/>
          <w:szCs w:val="22"/>
        </w:rPr>
      </w:r>
      <w:r w:rsidR="00DE1091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2F44736" w14:textId="4BEEEF4E" w:rsidR="00D050F7" w:rsidRDefault="00D050F7" w:rsidP="00D050F7">
      <w:pPr>
        <w:pStyle w:val="ParagrapheIndent2"/>
        <w:ind w:left="20" w:right="20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 w:rsidRPr="007908DB">
        <w:rPr>
          <w:color w:val="000000"/>
          <w:lang w:val="fr-FR"/>
        </w:rPr>
        <w:t xml:space="preserve">La procédure de passation utilisée est : la procédure adaptée. Elle est soumise aux dispositions des articles </w:t>
      </w:r>
      <w:r w:rsidRPr="007908DB">
        <w:rPr>
          <w:color w:val="000000"/>
          <w:lang w:val="fr-FR"/>
        </w:rPr>
        <w:br/>
        <w:t>L. 2123-1 et R. 2123-1 3° du code de la commande publique (accord-cadre portant sur des services sociaux et autres services spécifiques).</w:t>
      </w:r>
    </w:p>
    <w:p w14:paraId="605CA5FA" w14:textId="77777777" w:rsidR="00D050F7" w:rsidRDefault="00D050F7" w:rsidP="00D050F7">
      <w:pPr>
        <w:rPr>
          <w:lang w:val="fr-FR"/>
        </w:rPr>
      </w:pPr>
    </w:p>
    <w:p w14:paraId="5D584CF9" w14:textId="77777777" w:rsidR="00D050F7" w:rsidRPr="00CC2D81" w:rsidRDefault="00D050F7" w:rsidP="00D050F7">
      <w:pPr>
        <w:jc w:val="center"/>
        <w:rPr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1880DA85" wp14:editId="224BF164">
            <wp:extent cx="4030980" cy="193368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587" cy="203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DCE8A" w14:textId="77777777" w:rsidR="00D050F7" w:rsidRDefault="00D050F7" w:rsidP="00D050F7">
      <w:pPr>
        <w:rPr>
          <w:rFonts w:asciiTheme="minorHAnsi" w:hAnsiTheme="minorHAnsi" w:cstheme="minorHAnsi"/>
          <w:sz w:val="20"/>
          <w:szCs w:val="20"/>
        </w:rPr>
      </w:pPr>
    </w:p>
    <w:p w14:paraId="1E39550F" w14:textId="77777777" w:rsidR="00D050F7" w:rsidRPr="007908DB" w:rsidRDefault="00D050F7" w:rsidP="00D050F7">
      <w:pPr>
        <w:rPr>
          <w:rFonts w:asciiTheme="minorHAnsi" w:hAnsiTheme="minorHAnsi" w:cstheme="minorHAnsi"/>
          <w:sz w:val="20"/>
          <w:szCs w:val="20"/>
          <w:lang w:val="fr-FR"/>
        </w:rPr>
      </w:pPr>
      <w:r w:rsidRPr="007908DB">
        <w:rPr>
          <w:rFonts w:asciiTheme="minorHAnsi" w:hAnsiTheme="minorHAnsi" w:cstheme="minorHAnsi"/>
          <w:sz w:val="20"/>
          <w:szCs w:val="20"/>
          <w:lang w:val="fr-FR"/>
        </w:rPr>
        <w:t xml:space="preserve">Source : </w:t>
      </w:r>
      <w:hyperlink r:id="rId11" w:history="1">
        <w:r w:rsidRPr="007908DB">
          <w:rPr>
            <w:rStyle w:val="Lienhypertexte"/>
            <w:rFonts w:asciiTheme="minorHAnsi" w:hAnsiTheme="minorHAnsi" w:cstheme="minorHAnsi"/>
            <w:sz w:val="20"/>
            <w:szCs w:val="20"/>
            <w:lang w:val="fr-FR"/>
          </w:rPr>
          <w:t>https://www.legifrance.gouv.fr/loda/id/JORFTEXT000032297374/</w:t>
        </w:r>
      </w:hyperlink>
      <w:r w:rsidRPr="007908D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110B6A52" w14:textId="77777777" w:rsidR="00D050F7" w:rsidRDefault="00D050F7" w:rsidP="00D050F7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s’agit d’un </w:t>
      </w:r>
      <w:r w:rsidRPr="00016C20">
        <w:rPr>
          <w:color w:val="000000"/>
          <w:lang w:val="fr-FR"/>
        </w:rPr>
        <w:t>accord-cadre sans montant minimum mais avec un montant maximum</w:t>
      </w:r>
      <w:r>
        <w:rPr>
          <w:color w:val="000000"/>
          <w:lang w:val="fr-FR"/>
        </w:rPr>
        <w:t>, qui</w:t>
      </w:r>
      <w:r w:rsidRPr="00016C20">
        <w:rPr>
          <w:color w:val="000000"/>
          <w:lang w:val="fr-FR"/>
        </w:rPr>
        <w:t xml:space="preserve"> est passé en application des articles L. 2125-1 1°, R. 2162-1 à R. 2162-6, R. 2162-13 et R. 2162-14 du code de la commande publique. Il donnera lieu à l'émission de bons de commande.</w:t>
      </w:r>
    </w:p>
    <w:p w14:paraId="3FAB8BF2" w14:textId="2C14CBCC" w:rsidR="00CD3BA2" w:rsidRPr="008C5F46" w:rsidRDefault="00CD3BA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4D1863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8"/>
          <w:lang w:val="fr-FR"/>
        </w:rPr>
      </w:pPr>
    </w:p>
    <w:p w14:paraId="70B510E8" w14:textId="77777777" w:rsidR="00D050F7" w:rsidRPr="00505051" w:rsidRDefault="00D050F7" w:rsidP="00D050F7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100 000,00 € par période d’exécution.</w:t>
      </w:r>
    </w:p>
    <w:p w14:paraId="096A4BB4" w14:textId="7539C93F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7C8AFB57" w14:textId="476C1C39" w:rsid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La durée d’exécution du </w:t>
      </w:r>
      <w:r>
        <w:rPr>
          <w:rFonts w:asciiTheme="minorHAnsi" w:hAnsiTheme="minorHAnsi" w:cstheme="minorHAnsi"/>
          <w:sz w:val="20"/>
          <w:szCs w:val="20"/>
          <w:lang w:val="fr-FR"/>
        </w:rPr>
        <w:t>marché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est de .............</w:t>
      </w:r>
      <w:r w:rsidRPr="00ED1ECB">
        <w:rPr>
          <w:rFonts w:asciiTheme="minorHAnsi" w:hAnsiTheme="minorHAnsi" w:cstheme="minorHAnsi"/>
          <w:b/>
          <w:sz w:val="20"/>
          <w:szCs w:val="20"/>
          <w:lang w:val="fr-FR"/>
        </w:rPr>
        <w:t>12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............mois ou ………………… jours à compter de :</w:t>
      </w:r>
    </w:p>
    <w:p w14:paraId="2C6C5A06" w14:textId="77777777" w:rsidR="00ED1ECB" w:rsidRPr="00ED1ECB" w:rsidRDefault="00ED1ECB" w:rsidP="00ED1ECB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7AAD0BA2" w14:textId="184D6912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du marché public ;</w:t>
      </w:r>
    </w:p>
    <w:p w14:paraId="5BA451BE" w14:textId="65816E38" w:rsidR="00ED1ECB" w:rsidRPr="00ED1ECB" w:rsidRDefault="00ED1ECB" w:rsidP="00ED1ECB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Pr="00ED1ECB">
        <w:rPr>
          <w:rFonts w:asciiTheme="minorHAnsi" w:hAnsiTheme="minorHAnsi" w:cstheme="minorHAnsi"/>
          <w:sz w:val="20"/>
          <w:szCs w:val="20"/>
        </w:rPr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a date de notification de l’ordre de service ;</w:t>
      </w:r>
    </w:p>
    <w:p w14:paraId="49E0C4A8" w14:textId="4532928C" w:rsidR="00ED1ECB" w:rsidRPr="00ED1ECB" w:rsidRDefault="00ED1ECB" w:rsidP="00ED1ECB">
      <w:pPr>
        <w:tabs>
          <w:tab w:val="left" w:pos="851"/>
        </w:tabs>
        <w:ind w:left="1134" w:hanging="425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ED1EC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Pr="00ED1ECB">
        <w:rPr>
          <w:rFonts w:asciiTheme="minorHAnsi" w:hAnsiTheme="minorHAnsi" w:cstheme="minorHAnsi"/>
          <w:sz w:val="20"/>
          <w:szCs w:val="20"/>
        </w:rPr>
      </w:r>
      <w:r w:rsidRPr="00ED1ECB">
        <w:rPr>
          <w:rFonts w:asciiTheme="minorHAnsi" w:hAnsiTheme="minorHAnsi" w:cstheme="minorHAnsi"/>
          <w:sz w:val="20"/>
          <w:szCs w:val="20"/>
        </w:rPr>
        <w:fldChar w:fldCharType="end"/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     </w:t>
      </w:r>
      <w:r>
        <w:rPr>
          <w:rFonts w:asciiTheme="minorHAnsi" w:hAnsiTheme="minorHAnsi" w:cstheme="minorHAnsi"/>
          <w:sz w:val="20"/>
          <w:szCs w:val="20"/>
          <w:lang w:val="fr-FR"/>
        </w:rPr>
        <w:t>L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 xml:space="preserve">a date de début d’exécution prévue par le marché public lorsqu’elle est postérieure à la date de </w:t>
      </w:r>
      <w:r>
        <w:rPr>
          <w:rFonts w:asciiTheme="minorHAnsi" w:hAnsiTheme="minorHAnsi" w:cstheme="minorHAnsi"/>
          <w:sz w:val="20"/>
          <w:szCs w:val="20"/>
          <w:lang w:val="fr-FR"/>
        </w:rPr>
        <w:br/>
        <w:t xml:space="preserve">       </w:t>
      </w:r>
      <w:r w:rsidRPr="00ED1ECB">
        <w:rPr>
          <w:rFonts w:asciiTheme="minorHAnsi" w:hAnsiTheme="minorHAnsi" w:cstheme="minorHAnsi"/>
          <w:sz w:val="20"/>
          <w:szCs w:val="20"/>
          <w:lang w:val="fr-FR"/>
        </w:rPr>
        <w:t>notification.</w:t>
      </w:r>
    </w:p>
    <w:p w14:paraId="4EE54AA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</w:p>
    <w:p w14:paraId="4D6ED365" w14:textId="674C5789" w:rsidR="00ED1ECB" w:rsidRPr="00ED1ECB" w:rsidRDefault="00ED1ECB" w:rsidP="00ED1E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ED1ECB">
        <w:rPr>
          <w:rFonts w:asciiTheme="minorHAnsi" w:hAnsiTheme="minorHAnsi" w:cstheme="minorHAnsi"/>
        </w:rPr>
        <w:t>Le marché public est reconductible :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ECB">
        <w:rPr>
          <w:rFonts w:asciiTheme="minorHAnsi" w:hAnsiTheme="minorHAnsi" w:cstheme="minorHAnsi"/>
        </w:rPr>
        <w:instrText xml:space="preserve"> FORMCHECKBOX </w:instrText>
      </w:r>
      <w:r w:rsidRPr="00ED1ECB">
        <w:rPr>
          <w:rFonts w:asciiTheme="minorHAnsi" w:hAnsiTheme="minorHAnsi" w:cstheme="minorHAnsi"/>
        </w:rPr>
      </w:r>
      <w:r w:rsidRPr="00ED1ECB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Non</w:t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Pr="00ED1ECB">
        <w:rPr>
          <w:rFonts w:asciiTheme="minorHAnsi" w:hAnsiTheme="minorHAnsi" w:cstheme="minorHAnsi"/>
        </w:rPr>
        <w:tab/>
      </w:r>
      <w:r w:rsidR="000216B1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216B1">
        <w:rPr>
          <w:rFonts w:asciiTheme="minorHAnsi" w:hAnsiTheme="minorHAnsi" w:cstheme="minorHAnsi"/>
        </w:rPr>
        <w:instrText xml:space="preserve"> FORMCHECKBOX </w:instrText>
      </w:r>
      <w:r w:rsidR="000216B1">
        <w:rPr>
          <w:rFonts w:asciiTheme="minorHAnsi" w:hAnsiTheme="minorHAnsi" w:cstheme="minorHAnsi"/>
        </w:rPr>
      </w:r>
      <w:r w:rsidR="000216B1">
        <w:rPr>
          <w:rFonts w:asciiTheme="minorHAnsi" w:hAnsiTheme="minorHAnsi" w:cstheme="minorHAnsi"/>
        </w:rPr>
        <w:fldChar w:fldCharType="end"/>
      </w:r>
      <w:r w:rsidRPr="00ED1ECB">
        <w:rPr>
          <w:rFonts w:asciiTheme="minorHAnsi" w:hAnsiTheme="minorHAnsi" w:cstheme="minorHAnsi"/>
        </w:rPr>
        <w:tab/>
        <w:t>Oui</w:t>
      </w:r>
    </w:p>
    <w:p w14:paraId="2FB0AFE5" w14:textId="77777777" w:rsidR="00ED1ECB" w:rsidRPr="00ED1ECB" w:rsidRDefault="00ED1ECB" w:rsidP="00ED1ECB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i/>
          <w:sz w:val="20"/>
          <w:szCs w:val="20"/>
          <w:lang w:val="fr-FR"/>
        </w:rPr>
        <w:t>(Cocher la case correspondante.)</w:t>
      </w:r>
    </w:p>
    <w:p w14:paraId="2858B4BE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E1A9A9D" w14:textId="77777777" w:rsidR="00ED1ECB" w:rsidRPr="00ED1ECB" w:rsidRDefault="00ED1ECB" w:rsidP="00ED1ECB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ED1ECB">
        <w:rPr>
          <w:rFonts w:asciiTheme="minorHAnsi" w:hAnsiTheme="minorHAnsi" w:cstheme="minorHAnsi"/>
          <w:sz w:val="20"/>
          <w:szCs w:val="20"/>
          <w:lang w:val="fr-FR"/>
        </w:rPr>
        <w:t>Si oui, préciser :</w:t>
      </w:r>
    </w:p>
    <w:p w14:paraId="0DAA5EB7" w14:textId="117390F1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Nombre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>3</w:t>
      </w:r>
      <w:r w:rsidRPr="00ED1ECB">
        <w:rPr>
          <w:rFonts w:asciiTheme="minorHAnsi" w:hAnsiTheme="minorHAnsi" w:cstheme="minorHAnsi"/>
          <w:sz w:val="20"/>
          <w:szCs w:val="20"/>
        </w:rPr>
        <w:t>.............</w:t>
      </w:r>
    </w:p>
    <w:p w14:paraId="5C0058B0" w14:textId="2B8122EC" w:rsidR="00ED1ECB" w:rsidRPr="00ED1ECB" w:rsidRDefault="00ED1ECB" w:rsidP="00ED1ECB">
      <w:pPr>
        <w:numPr>
          <w:ilvl w:val="0"/>
          <w:numId w:val="19"/>
        </w:numPr>
        <w:tabs>
          <w:tab w:val="left" w:pos="426"/>
          <w:tab w:val="left" w:pos="851"/>
        </w:tabs>
        <w:suppressAutoHyphens/>
        <w:ind w:left="924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ED1ECB">
        <w:rPr>
          <w:rFonts w:asciiTheme="minorHAnsi" w:hAnsiTheme="minorHAnsi" w:cstheme="minorHAnsi"/>
          <w:sz w:val="20"/>
          <w:szCs w:val="20"/>
        </w:rPr>
        <w:t>Durée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 xml:space="preserve"> des </w:t>
      </w:r>
      <w:proofErr w:type="spellStart"/>
      <w:proofErr w:type="gramStart"/>
      <w:r w:rsidRPr="00ED1ECB">
        <w:rPr>
          <w:rFonts w:asciiTheme="minorHAnsi" w:hAnsiTheme="minorHAnsi" w:cstheme="minorHAnsi"/>
          <w:sz w:val="20"/>
          <w:szCs w:val="20"/>
        </w:rPr>
        <w:t>reconductions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 :</w:t>
      </w:r>
      <w:proofErr w:type="gramEnd"/>
      <w:r w:rsidRPr="00ED1ECB">
        <w:rPr>
          <w:rFonts w:asciiTheme="minorHAnsi" w:hAnsiTheme="minorHAnsi" w:cstheme="minorHAnsi"/>
          <w:sz w:val="20"/>
          <w:szCs w:val="20"/>
        </w:rPr>
        <w:t xml:space="preserve"> …………</w:t>
      </w:r>
      <w:r w:rsidR="000216B1" w:rsidRPr="000216B1">
        <w:rPr>
          <w:rFonts w:asciiTheme="minorHAnsi" w:hAnsiTheme="minorHAnsi" w:cstheme="minorHAnsi"/>
          <w:b/>
          <w:sz w:val="20"/>
          <w:szCs w:val="20"/>
        </w:rPr>
        <w:t xml:space="preserve">12 </w:t>
      </w:r>
      <w:proofErr w:type="spellStart"/>
      <w:r w:rsidR="000216B1" w:rsidRPr="000216B1">
        <w:rPr>
          <w:rFonts w:asciiTheme="minorHAnsi" w:hAnsiTheme="minorHAnsi" w:cstheme="minorHAnsi"/>
          <w:b/>
          <w:sz w:val="20"/>
          <w:szCs w:val="20"/>
        </w:rPr>
        <w:t>mois</w:t>
      </w:r>
      <w:proofErr w:type="spellEnd"/>
      <w:r w:rsidRPr="00ED1ECB">
        <w:rPr>
          <w:rFonts w:asciiTheme="minorHAnsi" w:hAnsiTheme="minorHAnsi" w:cstheme="minorHAnsi"/>
          <w:sz w:val="20"/>
          <w:szCs w:val="20"/>
        </w:rPr>
        <w:t>…………..</w:t>
      </w:r>
    </w:p>
    <w:p w14:paraId="273D435F" w14:textId="573EC427" w:rsidR="00EC475E" w:rsidRDefault="00EC475E">
      <w:pPr>
        <w:rPr>
          <w:lang w:val="fr-FR"/>
        </w:rPr>
      </w:pPr>
    </w:p>
    <w:p w14:paraId="1DF7F8AB" w14:textId="57877DA9" w:rsidR="00ED1ECB" w:rsidRDefault="00ED1ECB">
      <w:pPr>
        <w:rPr>
          <w:lang w:val="fr-FR"/>
        </w:rPr>
      </w:pPr>
    </w:p>
    <w:p w14:paraId="03ECA3E0" w14:textId="34EA31F2" w:rsidR="00ED1ECB" w:rsidRDefault="00ED1ECB">
      <w:pPr>
        <w:rPr>
          <w:lang w:val="fr-FR"/>
        </w:rPr>
      </w:pPr>
    </w:p>
    <w:p w14:paraId="178AF1A6" w14:textId="3FFCA56C" w:rsidR="00ED1ECB" w:rsidRDefault="00ED1ECB">
      <w:pPr>
        <w:rPr>
          <w:lang w:val="fr-FR"/>
        </w:rPr>
      </w:pPr>
    </w:p>
    <w:p w14:paraId="5A62E864" w14:textId="7E308B0A" w:rsidR="000216B1" w:rsidRDefault="000216B1">
      <w:pPr>
        <w:rPr>
          <w:lang w:val="fr-FR"/>
        </w:rPr>
      </w:pPr>
    </w:p>
    <w:p w14:paraId="27530D26" w14:textId="4D83AC03" w:rsidR="000216B1" w:rsidRDefault="000216B1">
      <w:pPr>
        <w:rPr>
          <w:lang w:val="fr-FR"/>
        </w:rPr>
      </w:pPr>
    </w:p>
    <w:p w14:paraId="4F6ACBA0" w14:textId="56449C8F" w:rsidR="000216B1" w:rsidRDefault="000216B1">
      <w:pPr>
        <w:rPr>
          <w:lang w:val="fr-FR"/>
        </w:rPr>
      </w:pPr>
    </w:p>
    <w:p w14:paraId="213708D8" w14:textId="70F93038" w:rsidR="000216B1" w:rsidRDefault="000216B1">
      <w:pPr>
        <w:rPr>
          <w:lang w:val="fr-FR"/>
        </w:rPr>
      </w:pPr>
    </w:p>
    <w:p w14:paraId="22BBBE25" w14:textId="0BE73EDD" w:rsidR="000216B1" w:rsidRDefault="000216B1">
      <w:pPr>
        <w:rPr>
          <w:lang w:val="fr-FR"/>
        </w:rPr>
      </w:pPr>
    </w:p>
    <w:p w14:paraId="41636207" w14:textId="4428D88E" w:rsidR="000216B1" w:rsidRDefault="000216B1">
      <w:pPr>
        <w:rPr>
          <w:lang w:val="fr-FR"/>
        </w:rPr>
      </w:pPr>
    </w:p>
    <w:p w14:paraId="6E089454" w14:textId="14FFDEA3" w:rsidR="000216B1" w:rsidRDefault="000216B1">
      <w:pPr>
        <w:rPr>
          <w:lang w:val="fr-FR"/>
        </w:rPr>
      </w:pPr>
    </w:p>
    <w:p w14:paraId="370CCE1C" w14:textId="77777777" w:rsidR="000216B1" w:rsidRDefault="000216B1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DE1091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E1091">
              <w:rPr>
                <w:rFonts w:asciiTheme="minorHAnsi" w:hAnsiTheme="minorHAnsi" w:cstheme="minorHAnsi"/>
                <w:sz w:val="20"/>
                <w:szCs w:val="20"/>
              </w:rPr>
            </w:r>
            <w:r w:rsidR="00DE109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DE1091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E1091">
              <w:rPr>
                <w:rFonts w:asciiTheme="minorHAnsi" w:hAnsiTheme="minorHAnsi" w:cstheme="minorHAnsi"/>
                <w:sz w:val="20"/>
                <w:szCs w:val="20"/>
              </w:rPr>
            </w:r>
            <w:r w:rsidR="00DE109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DE1091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E1091">
        <w:rPr>
          <w:rFonts w:asciiTheme="minorHAnsi" w:hAnsiTheme="minorHAnsi" w:cstheme="minorHAnsi"/>
          <w:sz w:val="20"/>
          <w:szCs w:val="20"/>
        </w:rPr>
      </w:r>
      <w:r w:rsidR="00DE109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E1091">
        <w:rPr>
          <w:rFonts w:asciiTheme="minorHAnsi" w:hAnsiTheme="minorHAnsi" w:cstheme="minorHAnsi"/>
          <w:sz w:val="20"/>
          <w:szCs w:val="20"/>
        </w:rPr>
      </w:r>
      <w:r w:rsidR="00DE1091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E1091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E1091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E1091">
        <w:rPr>
          <w:rFonts w:asciiTheme="minorHAnsi" w:hAnsiTheme="minorHAnsi" w:cstheme="minorHAnsi"/>
          <w:sz w:val="20"/>
          <w:szCs w:val="20"/>
        </w:rPr>
      </w:r>
      <w:r w:rsidR="00DE109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E1091">
        <w:rPr>
          <w:rFonts w:asciiTheme="minorHAnsi" w:hAnsiTheme="minorHAnsi" w:cstheme="minorHAnsi"/>
          <w:sz w:val="20"/>
          <w:szCs w:val="20"/>
        </w:rPr>
      </w:r>
      <w:r w:rsidR="00DE109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E1091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E1091">
        <w:rPr>
          <w:rFonts w:asciiTheme="minorHAnsi" w:hAnsiTheme="minorHAnsi" w:cstheme="minorHAnsi"/>
          <w:sz w:val="20"/>
          <w:szCs w:val="20"/>
        </w:rPr>
      </w:r>
      <w:r w:rsidR="00DE109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E1091">
        <w:rPr>
          <w:rFonts w:asciiTheme="minorHAnsi" w:hAnsiTheme="minorHAnsi" w:cstheme="minorHAnsi"/>
          <w:sz w:val="20"/>
          <w:szCs w:val="20"/>
        </w:rPr>
      </w:r>
      <w:r w:rsidR="00DE109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E1091">
        <w:rPr>
          <w:rFonts w:asciiTheme="minorHAnsi" w:hAnsiTheme="minorHAnsi" w:cstheme="minorHAnsi"/>
          <w:sz w:val="20"/>
          <w:szCs w:val="20"/>
        </w:rPr>
      </w:r>
      <w:r w:rsidR="00DE1091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78E93E6" w14:textId="77777777" w:rsidR="00CD2309" w:rsidRDefault="00CD2309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32ACD984" w14:textId="77777777" w:rsidR="00B2121A" w:rsidRPr="00505051" w:rsidRDefault="00B2121A" w:rsidP="00B2121A">
      <w:pPr>
        <w:pStyle w:val="ParagrapheIndent2"/>
        <w:jc w:val="both"/>
        <w:rPr>
          <w:color w:val="000000"/>
          <w:lang w:val="fr-FR"/>
        </w:rPr>
      </w:pPr>
      <w:r w:rsidRPr="00505051">
        <w:rPr>
          <w:color w:val="000000"/>
          <w:u w:val="single"/>
          <w:lang w:val="fr-FR"/>
        </w:rPr>
        <w:t>Montant maximum :</w:t>
      </w:r>
      <w:r w:rsidRPr="0050505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100 000,00 € par période d’exécution.</w:t>
      </w:r>
    </w:p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423639D6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2D03BE" w:rsidRPr="00E04716">
        <w:rPr>
          <w:b/>
          <w:color w:val="000000"/>
          <w:lang w:val="fr-FR"/>
        </w:rPr>
        <w:t>Fabrice D</w:t>
      </w:r>
      <w:r w:rsidRPr="00E04716">
        <w:rPr>
          <w:b/>
          <w:color w:val="000000"/>
          <w:lang w:val="fr-FR"/>
        </w:rPr>
        <w:t>ECOURCELLES</w:t>
      </w:r>
    </w:p>
    <w:p w14:paraId="5E7C7D44" w14:textId="39F7EF97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du Pôle </w:t>
      </w:r>
      <w:r w:rsidR="00B2121A">
        <w:rPr>
          <w:color w:val="000000"/>
          <w:lang w:val="fr-FR"/>
        </w:rPr>
        <w:t>Services</w:t>
      </w:r>
      <w:bookmarkStart w:id="21" w:name="_GoBack"/>
      <w:bookmarkEnd w:id="21"/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2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32D2846B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DE1091" w:rsidRDefault="00DE1091">
      <w:r>
        <w:separator/>
      </w:r>
    </w:p>
  </w:endnote>
  <w:endnote w:type="continuationSeparator" w:id="0">
    <w:p w14:paraId="088D25E0" w14:textId="77777777" w:rsidR="00DE1091" w:rsidRDefault="00DE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E1091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E1091" w:rsidRDefault="00DE1091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3B639AB0" w:rsidR="00DE1091" w:rsidRDefault="00DE1091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B2121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7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B2121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DE1091" w:rsidRDefault="00DE1091">
      <w:r>
        <w:separator/>
      </w:r>
    </w:p>
  </w:footnote>
  <w:footnote w:type="continuationSeparator" w:id="0">
    <w:p w14:paraId="2FC04F3E" w14:textId="77777777" w:rsidR="00DE1091" w:rsidRDefault="00DE1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6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3"/>
  </w:num>
  <w:num w:numId="4">
    <w:abstractNumId w:val="18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"/>
  </w:num>
  <w:num w:numId="14">
    <w:abstractNumId w:val="12"/>
  </w:num>
  <w:num w:numId="15">
    <w:abstractNumId w:val="17"/>
  </w:num>
  <w:num w:numId="16">
    <w:abstractNumId w:val="5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B3465"/>
    <w:rsid w:val="00216352"/>
    <w:rsid w:val="00277002"/>
    <w:rsid w:val="00277B01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6952A7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21BCB"/>
    <w:rsid w:val="00A220E9"/>
    <w:rsid w:val="00A42778"/>
    <w:rsid w:val="00B2121A"/>
    <w:rsid w:val="00B31653"/>
    <w:rsid w:val="00B47DEB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51009"/>
    <w:rsid w:val="00DA0F0E"/>
    <w:rsid w:val="00DD45C1"/>
    <w:rsid w:val="00DD5BD8"/>
    <w:rsid w:val="00DE1091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B1A5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loda/id/JORFTEXT000032297374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72025-75AB-49C8-ABC6-658A0B54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1342</Words>
  <Characters>9068</Characters>
  <Application>Microsoft Office Word</Application>
  <DocSecurity>0</DocSecurity>
  <Lines>75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7</cp:revision>
  <dcterms:created xsi:type="dcterms:W3CDTF">2024-10-22T16:07:00Z</dcterms:created>
  <dcterms:modified xsi:type="dcterms:W3CDTF">2025-02-26T08:37:00Z</dcterms:modified>
</cp:coreProperties>
</file>