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l7rKAIAACo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" stroked="f">
                <v:textbox>
                  <w:txbxContent>
                    <w:p w:rsidR="00B913DC" w:rsidRDefault="008D01E3" w:rsidP="00B913DC">
                      <w:pPr>
                        <w:jc w:val="right"/>
                      </w:pPr>
                      <w:r w:rsidRPr="008D01E3">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1">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3">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20">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1">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2">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3"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5">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6"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Marché n°247</w:t>
      </w:r>
      <w:r w:rsidR="002F4843">
        <w:rPr>
          <w:rFonts w:ascii="Arial" w:hAnsi="Arial" w:cs="Arial"/>
          <w:b/>
          <w:sz w:val="20"/>
          <w:szCs w:val="20"/>
        </w:rPr>
        <w:t>2</w:t>
      </w:r>
      <w:r w:rsidRPr="00B913DC">
        <w:rPr>
          <w:rFonts w:ascii="Arial" w:hAnsi="Arial" w:cs="Arial"/>
          <w:b/>
          <w:sz w:val="20"/>
          <w:szCs w:val="20"/>
        </w:rPr>
        <w:t>00</w:t>
      </w:r>
    </w:p>
    <w:p w:rsidR="00DD3404"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Formation </w:t>
      </w:r>
      <w:r w:rsidR="002F4843">
        <w:rPr>
          <w:rFonts w:ascii="Arial" w:hAnsi="Arial" w:cs="Arial"/>
          <w:b/>
          <w:sz w:val="20"/>
          <w:szCs w:val="20"/>
        </w:rPr>
        <w:t>linguistique</w:t>
      </w:r>
      <w:bookmarkStart w:id="0" w:name="_GoBack"/>
      <w:bookmarkEnd w:id="0"/>
      <w:r w:rsidR="002F4843">
        <w:rPr>
          <w:rFonts w:ascii="Arial" w:hAnsi="Arial" w:cs="Arial"/>
          <w:b/>
          <w:sz w:val="20"/>
          <w:szCs w:val="20"/>
        </w:rPr>
        <w:t xml:space="preserve"> </w:t>
      </w:r>
      <w:r w:rsidRPr="00B913DC">
        <w:rPr>
          <w:rFonts w:ascii="Arial" w:hAnsi="Arial" w:cs="Arial"/>
          <w:b/>
          <w:sz w:val="20"/>
          <w:szCs w:val="20"/>
        </w:rPr>
        <w:t>du contrat d’intégration républicaine</w:t>
      </w:r>
      <w:r w:rsidR="008F2F92">
        <w:rPr>
          <w:rFonts w:ascii="Arial" w:hAnsi="Arial" w:cs="Arial"/>
          <w:b/>
          <w:sz w:val="20"/>
          <w:szCs w:val="20"/>
        </w:rPr>
        <w:t xml:space="preserve"> à Mayotte </w:t>
      </w:r>
      <w:r w:rsidRPr="00B913DC">
        <w:rPr>
          <w:rFonts w:ascii="Arial" w:hAnsi="Arial" w:cs="Arial"/>
          <w:b/>
          <w:sz w:val="20"/>
          <w:szCs w:val="20"/>
        </w:rPr>
        <w:tab/>
      </w:r>
    </w:p>
    <w:p w:rsidR="00DD3404" w:rsidRPr="00B913DC" w:rsidRDefault="00DD3404">
      <w:pPr>
        <w:pStyle w:val="Corpsdetexte"/>
        <w:spacing w:before="9"/>
        <w:rPr>
          <w:rFonts w:ascii="Arial" w:hAnsi="Arial" w:cs="Arial"/>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8">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9"/>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1">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2">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3">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4">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5">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6">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7">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8"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9"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40">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1">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2">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3">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4">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6">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7">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9">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2">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3">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4">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5">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6">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7">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8">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9">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1"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3"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4"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4843">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4843">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484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484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2F4843"/>
    <w:rsid w:val="004A6B8B"/>
    <w:rsid w:val="006D3950"/>
    <w:rsid w:val="008D01E3"/>
    <w:rsid w:val="008F2F92"/>
    <w:rsid w:val="00B913DC"/>
    <w:rsid w:val="00CF7DD4"/>
    <w:rsid w:val="00DD3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marches.dab@ofii.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marches.dab@ofii.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0.wmf"/><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3700</Words>
  <Characters>20352</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DE SAINT THIBAULT</cp:lastModifiedBy>
  <cp:revision>8</cp:revision>
  <dcterms:created xsi:type="dcterms:W3CDTF">2024-11-26T10:44:00Z</dcterms:created>
  <dcterms:modified xsi:type="dcterms:W3CDTF">2025-02-24T11:03:00Z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