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105" w:rsidRDefault="00AC31B1" w:rsidP="00FD5105">
      <w:pPr>
        <w:jc w:val="center"/>
        <w:rPr>
          <w:b/>
          <w:bCs/>
          <w:u w:val="single"/>
        </w:rPr>
      </w:pPr>
      <w:r w:rsidRPr="00AC31B1">
        <w:rPr>
          <w:b/>
          <w:bCs/>
          <w:u w:val="single"/>
        </w:rPr>
        <w:t>MAPA N°24.746.33 – TRAVAUX, DEPANNAGES ET MAINTENANCES ELECTRIQUES ET PRESTATIONS ASSOCIEES DESTINES AUX IMMEUBLES DE LA CAISSE PRIMAIRE CENTRALE D’ASSURANCE MALADIE DES BOUCHES DU RHONE</w:t>
      </w:r>
    </w:p>
    <w:p w:rsidR="00FD5105" w:rsidRDefault="00FD5105" w:rsidP="009266D7">
      <w:pPr>
        <w:jc w:val="center"/>
        <w:rPr>
          <w:b/>
          <w:bCs/>
          <w:u w:val="single"/>
        </w:rPr>
      </w:pPr>
    </w:p>
    <w:p w:rsidR="00FD5105" w:rsidRDefault="00FD5105" w:rsidP="009266D7">
      <w:pPr>
        <w:jc w:val="center"/>
        <w:rPr>
          <w:b/>
          <w:bCs/>
          <w:u w:val="single"/>
        </w:rPr>
      </w:pPr>
    </w:p>
    <w:p w:rsidR="00DE2F05" w:rsidRDefault="00AF3009" w:rsidP="009266D7">
      <w:pPr>
        <w:jc w:val="center"/>
        <w:rPr>
          <w:b/>
          <w:bCs/>
          <w:u w:val="single"/>
        </w:rPr>
      </w:pPr>
      <w:r w:rsidRPr="00AC08F3">
        <w:rPr>
          <w:b/>
          <w:bCs/>
          <w:u w:val="single"/>
        </w:rPr>
        <w:t xml:space="preserve">ANNEXE </w:t>
      </w:r>
      <w:r w:rsidR="00C719E6">
        <w:rPr>
          <w:b/>
          <w:bCs/>
          <w:u w:val="single"/>
        </w:rPr>
        <w:t>10</w:t>
      </w:r>
      <w:r w:rsidR="009266D7">
        <w:rPr>
          <w:b/>
          <w:bCs/>
          <w:u w:val="single"/>
        </w:rPr>
        <w:t xml:space="preserve"> </w:t>
      </w:r>
      <w:r w:rsidRPr="00AC08F3">
        <w:rPr>
          <w:b/>
          <w:bCs/>
          <w:u w:val="single"/>
        </w:rPr>
        <w:t>A L’ACTE D’ENGAGEMENT</w:t>
      </w:r>
    </w:p>
    <w:p w:rsidR="00C719E6" w:rsidRPr="00414A06" w:rsidRDefault="00414A06" w:rsidP="00C719E6">
      <w:pPr>
        <w:jc w:val="center"/>
        <w:rPr>
          <w:b/>
          <w:bCs/>
          <w:u w:val="single"/>
        </w:rPr>
      </w:pPr>
      <w:r w:rsidRPr="00414A06">
        <w:rPr>
          <w:b/>
          <w:bCs/>
          <w:u w:val="single"/>
        </w:rPr>
        <w:t>CADRE DE REPONSE</w:t>
      </w:r>
    </w:p>
    <w:p w:rsidR="00C719E6" w:rsidRDefault="00C719E6" w:rsidP="00C719E6">
      <w:pPr>
        <w:jc w:val="center"/>
        <w:rPr>
          <w:b/>
          <w:bCs/>
          <w:u w:val="single"/>
        </w:rPr>
      </w:pPr>
    </w:p>
    <w:p w:rsidR="00C719E6" w:rsidRDefault="00C719E6" w:rsidP="00C719E6">
      <w:pPr>
        <w:jc w:val="center"/>
        <w:rPr>
          <w:b/>
          <w:bCs/>
          <w:u w:val="single"/>
        </w:rPr>
      </w:pPr>
    </w:p>
    <w:p w:rsidR="00C719E6" w:rsidRDefault="00C719E6" w:rsidP="00C719E6">
      <w:pPr>
        <w:jc w:val="center"/>
        <w:rPr>
          <w:b/>
          <w:bCs/>
          <w:u w:val="single"/>
        </w:rPr>
      </w:pPr>
    </w:p>
    <w:p w:rsidR="00C719E6" w:rsidRDefault="00C719E6" w:rsidP="00C719E6">
      <w:pPr>
        <w:ind w:left="-284" w:firstLine="142"/>
        <w:rPr>
          <w:b/>
          <w:bCs/>
          <w:u w:val="single"/>
        </w:rPr>
      </w:pPr>
      <w:r>
        <w:rPr>
          <w:b/>
          <w:bCs/>
          <w:u w:val="single"/>
        </w:rPr>
        <w:t>Cas pratique n°2</w:t>
      </w:r>
      <w:r w:rsidR="00414A06">
        <w:rPr>
          <w:b/>
          <w:bCs/>
          <w:u w:val="single"/>
        </w:rPr>
        <w:t xml:space="preserve">    VERIFICATION</w:t>
      </w:r>
    </w:p>
    <w:p w:rsidR="00C719E6" w:rsidRDefault="00C719E6" w:rsidP="00C719E6">
      <w:pPr>
        <w:ind w:left="-284" w:firstLine="142"/>
        <w:rPr>
          <w:b/>
          <w:bCs/>
          <w:u w:val="single"/>
        </w:rPr>
      </w:pPr>
    </w:p>
    <w:p w:rsidR="00DD2712" w:rsidRDefault="00DD2712" w:rsidP="00DD2712">
      <w:pPr>
        <w:pStyle w:val="Paragraphedeliste"/>
        <w:ind w:left="-142"/>
        <w:contextualSpacing w:val="0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L</w:t>
      </w:r>
      <w:r w:rsidRPr="00A9771F">
        <w:rPr>
          <w:rFonts w:ascii="Trebuchet MS" w:hAnsi="Trebuchet MS"/>
          <w:sz w:val="20"/>
          <w:szCs w:val="20"/>
        </w:rPr>
        <w:t>e candidat exposera de façons précises, explicite</w:t>
      </w:r>
      <w:r>
        <w:rPr>
          <w:rFonts w:ascii="Trebuchet MS" w:hAnsi="Trebuchet MS"/>
          <w:sz w:val="20"/>
          <w:szCs w:val="20"/>
        </w:rPr>
        <w:t xml:space="preserve"> sur les moyens humains, techniques et les moyens organisationnels pour les différentes vérifications sur l’ensembles des sites suivant une fréquence annuelle précisée chaque année par un plan de maintenance (fréquence </w:t>
      </w:r>
      <w:r w:rsidRPr="002D665C">
        <w:rPr>
          <w:rFonts w:ascii="Trebuchet MS" w:hAnsi="Trebuchet MS"/>
          <w:sz w:val="20"/>
          <w:szCs w:val="20"/>
          <w:highlight w:val="yellow"/>
        </w:rPr>
        <w:t>voir annexe 8 à l’AE)</w:t>
      </w:r>
    </w:p>
    <w:p w:rsidR="00DD2712" w:rsidRDefault="00DD2712" w:rsidP="00DD2712">
      <w:pPr>
        <w:pStyle w:val="Paragraphedeliste"/>
        <w:numPr>
          <w:ilvl w:val="3"/>
          <w:numId w:val="11"/>
        </w:numPr>
        <w:ind w:left="709" w:hanging="425"/>
        <w:contextualSpacing w:val="0"/>
        <w:rPr>
          <w:rFonts w:ascii="Trebuchet MS" w:hAnsi="Trebuchet MS"/>
          <w:sz w:val="20"/>
          <w:szCs w:val="20"/>
          <w:lang w:eastAsia="fr-FR"/>
        </w:rPr>
      </w:pPr>
      <w:r w:rsidRPr="00C719E6">
        <w:rPr>
          <w:rFonts w:ascii="Trebuchet MS" w:hAnsi="Trebuchet MS"/>
          <w:sz w:val="20"/>
          <w:szCs w:val="20"/>
          <w:lang w:eastAsia="fr-FR"/>
        </w:rPr>
        <w:t>L’entreprise mettra disposition un technicien lors des inspections règlementaires électriques annuelle et ce pour tous l’ensemble des sites (</w:t>
      </w:r>
      <w:r>
        <w:rPr>
          <w:rFonts w:ascii="Trebuchet MS" w:hAnsi="Trebuchet MS"/>
          <w:sz w:val="20"/>
          <w:szCs w:val="20"/>
          <w:lang w:eastAsia="fr-FR"/>
        </w:rPr>
        <w:t>34</w:t>
      </w:r>
      <w:r w:rsidRPr="00C719E6">
        <w:rPr>
          <w:rFonts w:ascii="Trebuchet MS" w:hAnsi="Trebuchet MS"/>
          <w:sz w:val="20"/>
          <w:szCs w:val="20"/>
          <w:lang w:eastAsia="fr-FR"/>
        </w:rPr>
        <w:t>)</w:t>
      </w:r>
    </w:p>
    <w:p w:rsidR="00DD2712" w:rsidRPr="00585709" w:rsidRDefault="00DD2712" w:rsidP="00DD2712">
      <w:pPr>
        <w:pStyle w:val="Paragraphedeliste"/>
        <w:numPr>
          <w:ilvl w:val="0"/>
          <w:numId w:val="11"/>
        </w:numPr>
        <w:spacing w:before="120" w:after="40"/>
        <w:ind w:right="80"/>
        <w:rPr>
          <w:rFonts w:ascii="Trebuchet MS" w:hAnsi="Trebuchet MS"/>
          <w:b/>
          <w:iCs/>
          <w:sz w:val="20"/>
          <w:szCs w:val="20"/>
        </w:rPr>
      </w:pPr>
      <w:r w:rsidRPr="00C719E6">
        <w:rPr>
          <w:rFonts w:ascii="Trebuchet MS" w:hAnsi="Trebuchet MS"/>
          <w:sz w:val="20"/>
          <w:szCs w:val="20"/>
          <w:lang w:eastAsia="fr-FR"/>
        </w:rPr>
        <w:t>Vérification de l’éclairage de sécurité</w:t>
      </w:r>
    </w:p>
    <w:p w:rsidR="00DD2712" w:rsidRPr="00585709" w:rsidRDefault="00DD2712" w:rsidP="00DD2712">
      <w:pPr>
        <w:pStyle w:val="Paragraphedeliste"/>
        <w:spacing w:before="120" w:after="40"/>
        <w:ind w:left="645" w:right="80"/>
        <w:rPr>
          <w:rFonts w:ascii="Trebuchet MS" w:hAnsi="Trebuchet MS"/>
          <w:b/>
          <w:iCs/>
          <w:sz w:val="20"/>
          <w:szCs w:val="20"/>
        </w:rPr>
      </w:pPr>
    </w:p>
    <w:p w:rsidR="00DD2712" w:rsidRPr="00585709" w:rsidRDefault="00DD2712" w:rsidP="00DD2712">
      <w:pPr>
        <w:pStyle w:val="Paragraphedeliste"/>
        <w:numPr>
          <w:ilvl w:val="0"/>
          <w:numId w:val="11"/>
        </w:numPr>
        <w:spacing w:before="120" w:after="40"/>
        <w:ind w:right="80"/>
        <w:rPr>
          <w:rFonts w:ascii="Trebuchet MS" w:hAnsi="Trebuchet MS"/>
          <w:b/>
          <w:iCs/>
          <w:sz w:val="20"/>
          <w:szCs w:val="20"/>
        </w:rPr>
      </w:pPr>
      <w:r w:rsidRPr="00C719E6">
        <w:rPr>
          <w:rFonts w:ascii="Trebuchet MS" w:hAnsi="Trebuchet MS"/>
          <w:sz w:val="20"/>
          <w:szCs w:val="20"/>
          <w:lang w:eastAsia="fr-FR"/>
        </w:rPr>
        <w:t>Vérification de l’éclairage des locaux</w:t>
      </w:r>
      <w:r>
        <w:rPr>
          <w:rFonts w:ascii="Trebuchet MS" w:hAnsi="Trebuchet MS"/>
          <w:sz w:val="20"/>
          <w:szCs w:val="20"/>
          <w:lang w:eastAsia="fr-FR"/>
        </w:rPr>
        <w:t xml:space="preserve"> techniques,</w:t>
      </w:r>
      <w:r w:rsidRPr="00C719E6">
        <w:rPr>
          <w:rFonts w:ascii="Trebuchet MS" w:hAnsi="Trebuchet MS"/>
          <w:sz w:val="20"/>
          <w:szCs w:val="20"/>
          <w:lang w:eastAsia="fr-FR"/>
        </w:rPr>
        <w:t xml:space="preserve"> circulation</w:t>
      </w:r>
      <w:r>
        <w:rPr>
          <w:rFonts w:ascii="Trebuchet MS" w:hAnsi="Trebuchet MS"/>
          <w:sz w:val="20"/>
          <w:szCs w:val="20"/>
          <w:lang w:eastAsia="fr-FR"/>
        </w:rPr>
        <w:t xml:space="preserve">s et de l’éclairage extérieur (façade, toiture, sur pilier, candélabre, potelet, </w:t>
      </w:r>
      <w:proofErr w:type="gramStart"/>
      <w:r>
        <w:rPr>
          <w:rFonts w:ascii="Trebuchet MS" w:hAnsi="Trebuchet MS"/>
          <w:sz w:val="20"/>
          <w:szCs w:val="20"/>
          <w:lang w:eastAsia="fr-FR"/>
        </w:rPr>
        <w:t>etc..</w:t>
      </w:r>
      <w:proofErr w:type="gramEnd"/>
      <w:r>
        <w:rPr>
          <w:rFonts w:ascii="Trebuchet MS" w:hAnsi="Trebuchet MS"/>
          <w:sz w:val="20"/>
          <w:szCs w:val="20"/>
          <w:lang w:eastAsia="fr-FR"/>
        </w:rPr>
        <w:t>)</w:t>
      </w:r>
    </w:p>
    <w:p w:rsidR="00DD2712" w:rsidRPr="00585709" w:rsidRDefault="00DD2712" w:rsidP="00DD2712">
      <w:pPr>
        <w:spacing w:before="120" w:after="40"/>
        <w:ind w:right="80"/>
        <w:rPr>
          <w:rFonts w:ascii="Trebuchet MS" w:hAnsi="Trebuchet MS"/>
          <w:b/>
          <w:iCs/>
          <w:sz w:val="20"/>
          <w:szCs w:val="20"/>
        </w:rPr>
      </w:pPr>
    </w:p>
    <w:p w:rsidR="00DD2712" w:rsidRPr="00C719E6" w:rsidRDefault="00DD2712" w:rsidP="00DD2712">
      <w:pPr>
        <w:pStyle w:val="Paragraphedeliste"/>
        <w:numPr>
          <w:ilvl w:val="0"/>
          <w:numId w:val="11"/>
        </w:numPr>
        <w:contextualSpacing w:val="0"/>
        <w:rPr>
          <w:rFonts w:ascii="Trebuchet MS" w:hAnsi="Trebuchet MS"/>
          <w:sz w:val="20"/>
          <w:szCs w:val="20"/>
          <w:lang w:eastAsia="fr-FR"/>
        </w:rPr>
      </w:pPr>
      <w:r w:rsidRPr="00C719E6">
        <w:rPr>
          <w:rFonts w:ascii="Trebuchet MS" w:hAnsi="Trebuchet MS"/>
          <w:sz w:val="20"/>
          <w:szCs w:val="20"/>
          <w:lang w:eastAsia="fr-FR"/>
        </w:rPr>
        <w:t xml:space="preserve">Vérification de l’éclairage des </w:t>
      </w:r>
      <w:r>
        <w:rPr>
          <w:rFonts w:ascii="Trebuchet MS" w:hAnsi="Trebuchet MS"/>
          <w:sz w:val="20"/>
          <w:szCs w:val="20"/>
          <w:lang w:eastAsia="fr-FR"/>
        </w:rPr>
        <w:t>postes de travail avec luxmètre</w:t>
      </w:r>
    </w:p>
    <w:p w:rsidR="00DD2712" w:rsidRPr="0054794B" w:rsidRDefault="00DD2712" w:rsidP="00DD2712">
      <w:pPr>
        <w:pStyle w:val="Paragraphedeliste"/>
        <w:ind w:left="645"/>
        <w:contextualSpacing w:val="0"/>
        <w:rPr>
          <w:rFonts w:ascii="Trebuchet MS" w:hAnsi="Trebuchet MS"/>
          <w:sz w:val="20"/>
          <w:szCs w:val="20"/>
          <w:lang w:eastAsia="fr-FR"/>
        </w:rPr>
      </w:pPr>
    </w:p>
    <w:p w:rsidR="00DD2712" w:rsidRPr="0054794B" w:rsidRDefault="00DD2712" w:rsidP="00DD2712">
      <w:pPr>
        <w:rPr>
          <w:rFonts w:ascii="Trebuchet MS" w:hAnsi="Trebuchet MS"/>
          <w:b/>
          <w:bCs/>
          <w:sz w:val="20"/>
          <w:szCs w:val="20"/>
        </w:rPr>
      </w:pPr>
      <w:r w:rsidRPr="0054794B">
        <w:rPr>
          <w:rFonts w:ascii="Trebuchet MS" w:hAnsi="Trebuchet MS"/>
          <w:b/>
          <w:bCs/>
          <w:sz w:val="20"/>
          <w:szCs w:val="20"/>
        </w:rPr>
        <w:t>Plus généralement, le candidat proposera les interventions qu’il estime nécessaires et cohérentes eu</w:t>
      </w:r>
      <w:r>
        <w:rPr>
          <w:rFonts w:ascii="Trebuchet MS" w:hAnsi="Trebuchet MS"/>
          <w:b/>
          <w:bCs/>
          <w:sz w:val="20"/>
          <w:szCs w:val="20"/>
        </w:rPr>
        <w:t xml:space="preserve">t égard aux caractéristiques </w:t>
      </w:r>
      <w:r w:rsidRPr="0054794B">
        <w:rPr>
          <w:rFonts w:ascii="Trebuchet MS" w:hAnsi="Trebuchet MS"/>
          <w:b/>
          <w:bCs/>
          <w:sz w:val="20"/>
          <w:szCs w:val="20"/>
        </w:rPr>
        <w:t>de chaque site.</w:t>
      </w:r>
    </w:p>
    <w:p w:rsidR="00B13BBE" w:rsidRPr="0015328E" w:rsidRDefault="00B13BBE" w:rsidP="00DD2712">
      <w:pPr>
        <w:pStyle w:val="Paragraphedeliste"/>
        <w:ind w:left="-142"/>
        <w:contextualSpacing w:val="0"/>
        <w:rPr>
          <w:b/>
          <w:bCs/>
          <w:u w:val="single"/>
        </w:rPr>
      </w:pPr>
      <w:bookmarkStart w:id="0" w:name="_GoBack"/>
      <w:bookmarkEnd w:id="0"/>
    </w:p>
    <w:sectPr w:rsidR="00B13BBE" w:rsidRPr="001532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7149B"/>
    <w:multiLevelType w:val="hybridMultilevel"/>
    <w:tmpl w:val="58924FE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D52DAD"/>
    <w:multiLevelType w:val="multilevel"/>
    <w:tmpl w:val="227AE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801CF7"/>
    <w:multiLevelType w:val="hybridMultilevel"/>
    <w:tmpl w:val="C5A27A40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B763A0"/>
    <w:multiLevelType w:val="hybridMultilevel"/>
    <w:tmpl w:val="3E2EE2FE"/>
    <w:lvl w:ilvl="0" w:tplc="479A520C">
      <w:numFmt w:val="bullet"/>
      <w:lvlText w:val=""/>
      <w:lvlJc w:val="left"/>
      <w:pPr>
        <w:ind w:left="1364" w:hanging="360"/>
      </w:pPr>
      <w:rPr>
        <w:rFonts w:ascii="Wingdings" w:eastAsiaTheme="minorHAnsi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5477296"/>
    <w:multiLevelType w:val="hybridMultilevel"/>
    <w:tmpl w:val="8C90E4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FD433E"/>
    <w:multiLevelType w:val="hybridMultilevel"/>
    <w:tmpl w:val="4698BB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314B2C"/>
    <w:multiLevelType w:val="hybridMultilevel"/>
    <w:tmpl w:val="F6C43D50"/>
    <w:lvl w:ilvl="0" w:tplc="479A520C">
      <w:numFmt w:val="bullet"/>
      <w:lvlText w:val=""/>
      <w:lvlJc w:val="left"/>
      <w:pPr>
        <w:ind w:left="644" w:hanging="360"/>
      </w:pPr>
      <w:rPr>
        <w:rFonts w:ascii="Wingdings" w:eastAsiaTheme="minorHAnsi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B61152E"/>
    <w:multiLevelType w:val="multilevel"/>
    <w:tmpl w:val="881AB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DA280F"/>
    <w:multiLevelType w:val="hybridMultilevel"/>
    <w:tmpl w:val="F5F206C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5D7734"/>
    <w:multiLevelType w:val="hybridMultilevel"/>
    <w:tmpl w:val="AA1C9F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85662F"/>
    <w:multiLevelType w:val="hybridMultilevel"/>
    <w:tmpl w:val="478C5190"/>
    <w:lvl w:ilvl="0" w:tplc="040C0001">
      <w:start w:val="1"/>
      <w:numFmt w:val="bullet"/>
      <w:lvlText w:val=""/>
      <w:lvlJc w:val="left"/>
      <w:pPr>
        <w:ind w:left="64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8"/>
  </w:num>
  <w:num w:numId="5">
    <w:abstractNumId w:val="0"/>
  </w:num>
  <w:num w:numId="6">
    <w:abstractNumId w:val="2"/>
  </w:num>
  <w:num w:numId="7">
    <w:abstractNumId w:val="1"/>
  </w:num>
  <w:num w:numId="8">
    <w:abstractNumId w:val="7"/>
  </w:num>
  <w:num w:numId="9">
    <w:abstractNumId w:val="9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01A"/>
    <w:rsid w:val="000233C6"/>
    <w:rsid w:val="000242C6"/>
    <w:rsid w:val="00027B5D"/>
    <w:rsid w:val="00095584"/>
    <w:rsid w:val="000A341F"/>
    <w:rsid w:val="000B4993"/>
    <w:rsid w:val="0015328E"/>
    <w:rsid w:val="00153606"/>
    <w:rsid w:val="001866D0"/>
    <w:rsid w:val="001941CC"/>
    <w:rsid w:val="001A1CF5"/>
    <w:rsid w:val="001C7A49"/>
    <w:rsid w:val="00215039"/>
    <w:rsid w:val="002314F7"/>
    <w:rsid w:val="00237A97"/>
    <w:rsid w:val="00245644"/>
    <w:rsid w:val="002C4E1D"/>
    <w:rsid w:val="00347682"/>
    <w:rsid w:val="00365017"/>
    <w:rsid w:val="003825CB"/>
    <w:rsid w:val="00383E39"/>
    <w:rsid w:val="00396115"/>
    <w:rsid w:val="003C789C"/>
    <w:rsid w:val="003D3553"/>
    <w:rsid w:val="003D526A"/>
    <w:rsid w:val="00414A06"/>
    <w:rsid w:val="004303CD"/>
    <w:rsid w:val="00483771"/>
    <w:rsid w:val="0051357C"/>
    <w:rsid w:val="00587AF3"/>
    <w:rsid w:val="005B14BD"/>
    <w:rsid w:val="006219A8"/>
    <w:rsid w:val="00654669"/>
    <w:rsid w:val="007078AB"/>
    <w:rsid w:val="00762233"/>
    <w:rsid w:val="007778C1"/>
    <w:rsid w:val="00793630"/>
    <w:rsid w:val="007964EA"/>
    <w:rsid w:val="007A3248"/>
    <w:rsid w:val="007B2988"/>
    <w:rsid w:val="008965A7"/>
    <w:rsid w:val="009266D7"/>
    <w:rsid w:val="00935F80"/>
    <w:rsid w:val="00954E6A"/>
    <w:rsid w:val="00963D4B"/>
    <w:rsid w:val="009C36F2"/>
    <w:rsid w:val="00A066E5"/>
    <w:rsid w:val="00AC08F3"/>
    <w:rsid w:val="00AC31B1"/>
    <w:rsid w:val="00AF3009"/>
    <w:rsid w:val="00B13BBE"/>
    <w:rsid w:val="00B609B7"/>
    <w:rsid w:val="00BA1F3B"/>
    <w:rsid w:val="00BB1ACD"/>
    <w:rsid w:val="00C263B3"/>
    <w:rsid w:val="00C5671E"/>
    <w:rsid w:val="00C65257"/>
    <w:rsid w:val="00C65392"/>
    <w:rsid w:val="00C719E6"/>
    <w:rsid w:val="00CC33CB"/>
    <w:rsid w:val="00D937D8"/>
    <w:rsid w:val="00DD2712"/>
    <w:rsid w:val="00DE2F05"/>
    <w:rsid w:val="00E0001A"/>
    <w:rsid w:val="00EA21B8"/>
    <w:rsid w:val="00EA6A2C"/>
    <w:rsid w:val="00EB281F"/>
    <w:rsid w:val="00ED29E5"/>
    <w:rsid w:val="00F26CC4"/>
    <w:rsid w:val="00F510CF"/>
    <w:rsid w:val="00F77C1A"/>
    <w:rsid w:val="00FB3C25"/>
    <w:rsid w:val="00FC370F"/>
    <w:rsid w:val="00FD368A"/>
    <w:rsid w:val="00FD5105"/>
    <w:rsid w:val="00FE3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3579DC-0841-4B0F-92DC-900F9E3DD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B2988"/>
    <w:pPr>
      <w:ind w:left="720"/>
      <w:contextualSpacing/>
    </w:pPr>
  </w:style>
  <w:style w:type="paragraph" w:styleId="Sansinterligne">
    <w:name w:val="No Spacing"/>
    <w:uiPriority w:val="1"/>
    <w:qFormat/>
    <w:rsid w:val="00F510CF"/>
    <w:pPr>
      <w:spacing w:after="0" w:line="240" w:lineRule="auto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441</TotalTime>
  <Pages>1</Pages>
  <Words>171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ceccherrini</dc:creator>
  <cp:keywords/>
  <dc:description/>
  <cp:lastModifiedBy>DROUET CAROLINE (CPAM BOUCHES-DU-RHONE)</cp:lastModifiedBy>
  <cp:revision>58</cp:revision>
  <dcterms:created xsi:type="dcterms:W3CDTF">2019-12-05T14:44:00Z</dcterms:created>
  <dcterms:modified xsi:type="dcterms:W3CDTF">2025-04-15T14:05:00Z</dcterms:modified>
</cp:coreProperties>
</file>